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Larson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Corporate Controller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12/23/2013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3,000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20.365</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18,231.67</w:t>
            </w:r>
            <w:r>
              <w:rPr>
                <w:rFonts w:ascii="Arial" w:cs="Arial" w:eastAsia="Arial" w:hAnsi="Arial"/>
                <w:sz w:val="22"/>
                <w:szCs w:val="22"/>
                <w:color w:val="008000"/>
                <w:w w:val="83"/>
                <w:vertAlign w:val="superscript"/>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12/23/2013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3,000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61.88</w:t>
            </w:r>
            <w:r>
              <w:rPr>
                <w:rFonts w:ascii="Arial" w:cs="Arial" w:eastAsia="Arial" w:hAnsi="Arial"/>
                <w:sz w:val="22"/>
                <w:szCs w:val="22"/>
                <w:color w:val="008000"/>
                <w:w w:val="87"/>
                <w:vertAlign w:val="superscript"/>
              </w:rPr>
              <w:t>(2)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15,231.67</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3,453.364</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3,637.344</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9"/>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20.365</w:t>
            </w:r>
          </w:p>
        </w:tc>
        <w:tc>
          <w:tcPr>
            <w:tcW w:w="1140" w:type="dxa"/>
            <w:vAlign w:val="bottom"/>
          </w:tcPr>
          <w:p>
            <w:pPr>
              <w:ind w:left="260"/>
              <w:spacing w:after="0"/>
              <w:rPr>
                <w:sz w:val="20"/>
                <w:szCs w:val="20"/>
                <w:color w:val="auto"/>
              </w:rPr>
            </w:pPr>
            <w:r>
              <w:rPr>
                <w:rFonts w:ascii="Arial" w:cs="Arial" w:eastAsia="Arial" w:hAnsi="Arial"/>
                <w:sz w:val="14"/>
                <w:szCs w:val="14"/>
                <w:color w:val="0000FF"/>
              </w:rPr>
              <w:t>12/23/2013</w:t>
            </w:r>
          </w:p>
        </w:tc>
        <w:tc>
          <w:tcPr>
            <w:tcW w:w="114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20" w:type="dxa"/>
            <w:vAlign w:val="bottom"/>
          </w:tcPr>
          <w:p>
            <w:pPr>
              <w:ind w:left="340"/>
              <w:spacing w:after="0"/>
              <w:rPr>
                <w:sz w:val="20"/>
                <w:szCs w:val="20"/>
                <w:color w:val="auto"/>
              </w:rPr>
            </w:pPr>
            <w:r>
              <w:rPr>
                <w:rFonts w:ascii="Arial" w:cs="Arial" w:eastAsia="Arial" w:hAnsi="Arial"/>
                <w:sz w:val="14"/>
                <w:szCs w:val="14"/>
                <w:color w:val="0000FF"/>
              </w:rPr>
              <w:t>3,000</w:t>
            </w: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12/01/2019</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ind w:left="180"/>
              <w:spacing w:after="0" w:line="200" w:lineRule="exact"/>
              <w:rPr>
                <w:sz w:val="20"/>
                <w:szCs w:val="20"/>
                <w:color w:val="auto"/>
              </w:rPr>
            </w:pPr>
            <w:r>
              <w:rPr>
                <w:rFonts w:ascii="Arial" w:cs="Arial" w:eastAsia="Arial" w:hAnsi="Arial"/>
                <w:sz w:val="18"/>
                <w:szCs w:val="18"/>
                <w:color w:val="0000FF"/>
              </w:rPr>
              <w:t>3,000</w:t>
            </w:r>
          </w:p>
        </w:tc>
        <w:tc>
          <w:tcPr>
            <w:tcW w:w="40" w:type="dxa"/>
            <w:vAlign w:val="bottom"/>
          </w:tcPr>
          <w:p>
            <w:pPr>
              <w:spacing w:after="0"/>
              <w:rPr>
                <w:sz w:val="17"/>
                <w:szCs w:val="17"/>
                <w:color w:val="auto"/>
              </w:rPr>
            </w:pP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ind w:left="260"/>
              <w:spacing w:after="0"/>
              <w:rPr>
                <w:sz w:val="20"/>
                <w:szCs w:val="20"/>
                <w:color w:val="auto"/>
              </w:rPr>
            </w:pPr>
            <w:r>
              <w:rPr>
                <w:rFonts w:ascii="Arial" w:cs="Arial" w:eastAsia="Arial" w:hAnsi="Arial"/>
                <w:sz w:val="14"/>
                <w:szCs w:val="14"/>
                <w:color w:val="0000FF"/>
              </w:rPr>
              <w:t>1,000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4,125.908 shares of restricted stock and related dividend reinvestment shares that vest in full on the third anniversary of the date of grant, which was March 30, 2011.</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$61.75 to $62.00,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1, 2009.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12/26/2013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1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2019-12-17T02:24:19Z</dcterms:created>
  <dcterms:modified xsi:type="dcterms:W3CDTF">2019-12-17T02:24:19Z</dcterms:modified>
</cp:coreProperties>
</file>