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December 9, 2008</w:t>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4"/>
          <w:szCs w:val="24"/>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787" w:right="25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260"/>
        <w:spacing w:after="0"/>
        <w:rPr>
          <w:sz w:val="20"/>
          <w:szCs w:val="20"/>
          <w:color w:val="auto"/>
        </w:rPr>
      </w:pPr>
      <w:r>
        <w:rPr>
          <w:rFonts w:ascii="Arial" w:cs="Arial" w:eastAsia="Arial" w:hAnsi="Arial"/>
          <w:sz w:val="16"/>
          <w:szCs w:val="16"/>
          <w:u w:val="single" w:color="auto"/>
          <w:color w:val="auto"/>
        </w:rPr>
        <w:t>(Address of principal executive offices)</w:t>
      </w:r>
    </w:p>
    <w:p>
      <w:pPr>
        <w:spacing w:after="0" w:line="2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u w:val="single" w:color="auto"/>
          <w:color w:val="auto"/>
        </w:rPr>
        <w:t>(Zip Code)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60" w:space="120"/>
            <w:col w:w="4320"/>
          </w:cols>
          <w:pgMar w:left="240" w:top="787"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December 9, 2008, The Toro Company announced its earnings for the three and twelve months ended October 31, 2008.</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December 9, 2008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20" w:type="dxa"/>
            <w:vAlign w:val="bottom"/>
          </w:tcPr>
          <w:p>
            <w:pPr>
              <w:ind w:left="1200"/>
              <w:spacing w:after="0"/>
              <w:rPr>
                <w:sz w:val="20"/>
                <w:szCs w:val="20"/>
                <w:color w:val="auto"/>
              </w:rPr>
            </w:pPr>
            <w:r>
              <w:rPr>
                <w:rFonts w:ascii="Arial" w:cs="Arial" w:eastAsia="Arial" w:hAnsi="Arial"/>
                <w:sz w:val="18"/>
                <w:szCs w:val="18"/>
                <w:color w:val="auto"/>
              </w:rPr>
              <w:t>THE TORO COMPANY</w:t>
            </w:r>
          </w:p>
        </w:tc>
      </w:tr>
      <w:tr>
        <w:trPr>
          <w:trHeight w:val="230"/>
        </w:trPr>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20" w:type="dxa"/>
            <w:vAlign w:val="bottom"/>
          </w:tcPr>
          <w:p>
            <w:pPr>
              <w:ind w:left="1200"/>
              <w:spacing w:after="0"/>
              <w:rPr>
                <w:sz w:val="20"/>
                <w:szCs w:val="20"/>
                <w:color w:val="auto"/>
              </w:rPr>
            </w:pPr>
            <w:r>
              <w:rPr>
                <w:rFonts w:ascii="Arial" w:cs="Arial" w:eastAsia="Arial" w:hAnsi="Arial"/>
                <w:sz w:val="18"/>
                <w:szCs w:val="18"/>
                <w:color w:val="auto"/>
              </w:rPr>
              <w:t>(Registrant)</w:t>
            </w:r>
          </w:p>
        </w:tc>
      </w:tr>
      <w:tr>
        <w:trPr>
          <w:trHeight w:val="419"/>
        </w:trPr>
        <w:tc>
          <w:tcPr>
            <w:tcW w:w="2060" w:type="dxa"/>
            <w:vAlign w:val="bottom"/>
          </w:tcPr>
          <w:p>
            <w:pPr>
              <w:spacing w:after="0"/>
              <w:rPr>
                <w:sz w:val="20"/>
                <w:szCs w:val="20"/>
                <w:color w:val="auto"/>
              </w:rPr>
            </w:pPr>
            <w:r>
              <w:rPr>
                <w:rFonts w:ascii="Arial" w:cs="Arial" w:eastAsia="Arial" w:hAnsi="Arial"/>
                <w:sz w:val="18"/>
                <w:szCs w:val="18"/>
                <w:color w:val="auto"/>
              </w:rPr>
              <w:t>Date: December 9, 2008</w:t>
            </w:r>
          </w:p>
        </w:tc>
        <w:tc>
          <w:tcPr>
            <w:tcW w:w="9360" w:type="dxa"/>
            <w:vAlign w:val="bottom"/>
            <w:gridSpan w:val="3"/>
          </w:tcPr>
          <w:p>
            <w:pPr>
              <w:ind w:left="240"/>
              <w:spacing w:after="0"/>
              <w:rPr>
                <w:sz w:val="20"/>
                <w:szCs w:val="20"/>
                <w:color w:val="auto"/>
              </w:rPr>
            </w:pPr>
            <w:r>
              <w:rPr>
                <w:rFonts w:ascii="Arial" w:cs="Arial" w:eastAsia="Arial" w:hAnsi="Arial"/>
                <w:sz w:val="18"/>
                <w:szCs w:val="18"/>
                <w:color w:val="auto"/>
              </w:rPr>
              <w:t>By /s/ Stephen P. Wolfe</w:t>
            </w:r>
          </w:p>
        </w:tc>
      </w:tr>
      <w:tr>
        <w:trPr>
          <w:trHeight w:val="20"/>
        </w:trPr>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22"/>
        </w:trPr>
        <w:tc>
          <w:tcPr>
            <w:tcW w:w="2060" w:type="dxa"/>
            <w:vAlign w:val="bottom"/>
          </w:tcPr>
          <w:p>
            <w:pPr>
              <w:spacing w:after="0"/>
              <w:rPr>
                <w:sz w:val="19"/>
                <w:szCs w:val="19"/>
                <w:color w:val="auto"/>
              </w:rPr>
            </w:pPr>
          </w:p>
        </w:tc>
        <w:tc>
          <w:tcPr>
            <w:tcW w:w="9360" w:type="dxa"/>
            <w:vAlign w:val="bottom"/>
            <w:gridSpan w:val="3"/>
          </w:tcPr>
          <w:p>
            <w:pPr>
              <w:ind w:left="240"/>
              <w:spacing w:after="0"/>
              <w:rPr>
                <w:sz w:val="20"/>
                <w:szCs w:val="20"/>
                <w:color w:val="auto"/>
              </w:rPr>
            </w:pPr>
            <w:r>
              <w:rPr>
                <w:rFonts w:ascii="Arial" w:cs="Arial" w:eastAsia="Arial" w:hAnsi="Arial"/>
                <w:sz w:val="18"/>
                <w:szCs w:val="18"/>
                <w:color w:val="auto"/>
              </w:rPr>
              <w:t>Stephen P. Wolfe</w:t>
            </w:r>
          </w:p>
        </w:tc>
      </w:tr>
      <w:tr>
        <w:trPr>
          <w:trHeight w:val="216"/>
        </w:trPr>
        <w:tc>
          <w:tcPr>
            <w:tcW w:w="2060" w:type="dxa"/>
            <w:vAlign w:val="bottom"/>
          </w:tcPr>
          <w:p>
            <w:pPr>
              <w:spacing w:after="0"/>
              <w:rPr>
                <w:sz w:val="18"/>
                <w:szCs w:val="18"/>
                <w:color w:val="auto"/>
              </w:rPr>
            </w:pPr>
          </w:p>
        </w:tc>
        <w:tc>
          <w:tcPr>
            <w:tcW w:w="9360" w:type="dxa"/>
            <w:vAlign w:val="bottom"/>
            <w:gridSpan w:val="3"/>
          </w:tcPr>
          <w:p>
            <w:pPr>
              <w:ind w:left="240"/>
              <w:spacing w:after="0"/>
              <w:rPr>
                <w:sz w:val="20"/>
                <w:szCs w:val="20"/>
                <w:color w:val="auto"/>
              </w:rPr>
            </w:pPr>
            <w:r>
              <w:rPr>
                <w:rFonts w:ascii="Arial" w:cs="Arial" w:eastAsia="Arial" w:hAnsi="Arial"/>
                <w:sz w:val="18"/>
                <w:szCs w:val="18"/>
                <w:color w:val="auto"/>
              </w:rPr>
              <w:t>Vice President, Finance</w:t>
            </w:r>
          </w:p>
        </w:tc>
      </w:tr>
      <w:tr>
        <w:trPr>
          <w:trHeight w:val="216"/>
        </w:trPr>
        <w:tc>
          <w:tcPr>
            <w:tcW w:w="2060" w:type="dxa"/>
            <w:vAlign w:val="bottom"/>
          </w:tcPr>
          <w:p>
            <w:pPr>
              <w:spacing w:after="0"/>
              <w:rPr>
                <w:sz w:val="18"/>
                <w:szCs w:val="18"/>
                <w:color w:val="auto"/>
              </w:rPr>
            </w:pPr>
          </w:p>
        </w:tc>
        <w:tc>
          <w:tcPr>
            <w:tcW w:w="9360" w:type="dxa"/>
            <w:vAlign w:val="bottom"/>
            <w:gridSpan w:val="3"/>
          </w:tcPr>
          <w:p>
            <w:pPr>
              <w:ind w:left="24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2060" w:type="dxa"/>
            <w:vAlign w:val="bottom"/>
          </w:tcPr>
          <w:p>
            <w:pPr>
              <w:spacing w:after="0"/>
              <w:rPr>
                <w:sz w:val="20"/>
                <w:szCs w:val="20"/>
                <w:color w:val="auto"/>
              </w:rPr>
            </w:pPr>
          </w:p>
        </w:tc>
        <w:tc>
          <w:tcPr>
            <w:tcW w:w="9360" w:type="dxa"/>
            <w:vAlign w:val="bottom"/>
            <w:gridSpan w:val="3"/>
          </w:tcPr>
          <w:p>
            <w:pPr>
              <w:ind w:left="24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902"/>
        </w:trPr>
        <w:tc>
          <w:tcPr>
            <w:tcW w:w="20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8780" w:type="dxa"/>
            <w:vAlign w:val="bottom"/>
          </w:tcPr>
          <w:p>
            <w:pPr>
              <w:spacing w:after="0"/>
              <w:rPr>
                <w:sz w:val="24"/>
                <w:szCs w:val="24"/>
                <w:color w:val="auto"/>
              </w:rPr>
            </w:pPr>
          </w:p>
        </w:tc>
      </w:tr>
      <w:tr>
        <w:trPr>
          <w:trHeight w:val="196"/>
        </w:trPr>
        <w:tc>
          <w:tcPr>
            <w:tcW w:w="8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780" w:type="dxa"/>
            <w:vAlign w:val="bottom"/>
          </w:tcPr>
          <w:p>
            <w:pPr>
              <w:spacing w:after="0"/>
              <w:rPr>
                <w:sz w:val="17"/>
                <w:szCs w:val="17"/>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Press release dated December 9, 2008 (furnished herewith).</w:t>
            </w:r>
          </w:p>
        </w:tc>
      </w:tr>
      <w:tr>
        <w:trPr>
          <w:trHeight w:val="902"/>
        </w:trPr>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1929765" cy="1269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right="920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887-8930,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TORO REPORTS FISCAL 2008 FULL YEAR RESULTS</w:t>
      </w:r>
    </w:p>
    <w:p>
      <w:pPr>
        <w:spacing w:after="0" w:line="256" w:lineRule="exact"/>
        <w:rPr>
          <w:sz w:val="20"/>
          <w:szCs w:val="20"/>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reports net earnings per share of $3.10</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sales grow 12 percent offsetting weakness in domestic business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Improved asset management drives record operating cash flow</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BLOOMINGTON, Minn. (December 9, 2008) – The Toro Company (NYSE: TTC) today reported net earnings of $119.7 million, or $3.10 per share, on net sales of $1,878.2 million for its fiscal year ended October 31, 2008. The company’s results for fiscal 2008 were reduced by a pre-tax charge of $4.7 million, or $0.08 per share on an after-tax basis, taken in its fiscal fourth quarter to account for workforce adjustments. In fiscal 2007, the company posted net earnings of $142.4 million, or $3.40 per share, on net sales of $1,876.9 million.</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fourth quarter ended October 31, 2008, Toro reported breakeven net earnings on net sales of $341.2 million. Net earnings in the company’s fourth quarter were reduced by the charge noted above. In the comparable fiscal 2007 period, the company reported net earnings of $6.5 million, or $0.16 per share, on net sales of $332.5 million.</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a strong focus on asset management, the company achieved significant improvements in working capital and cash flow. During fiscal 2008, the company generated a record $216 million in cash from operating activities – an improvement of $32 million over the previous year. In addition, the company returned $133 million to shareholders through dividend payments and share repurchases. Entering the new fiscal year, the company’s liquidity position is solid as indicated by a strong cash balance and supporting committed credit facilities.</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our revenue growth was impacted for the year due to persistently difficult domestic market conditions, Toro and field inventories are down significantly and should benefit us in the coming year,” said Michael J. Hoffman, Toro’s chairman and chief executive officer. “As a result of our heightened focus around Lean and asset management, and despite the soft sales environment, we made measurable progress to improve our working capital position and generated record operating cash flow.”</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2 – Toro Reports Fiscal 2008 Full Year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660" w:hanging="139"/>
        <w:spacing w:after="0" w:line="29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Professional segment net sales for fiscal 2008 increased 1 percent to $1,283.1 million. For the year, the company saw strong worldwide demand for golf equipment and irrigation systems from the successful introduction of several new products, and increased shipments of micro irrigation products in Europe and Australia. Additionally, incremental sales from the acquisitions of Rain Master® and Turf Guard™ contributed to the slight increase. These gains helped offset declines in domestic sales of professionally-installed residential and commercial irrigation products and landscape contractor equipment. For the fiscal 2008 fourth quarter, professional segment net sales declined 4.5 percent to $208.4 million.</w:t>
      </w:r>
    </w:p>
    <w:p>
      <w:pPr>
        <w:spacing w:after="0" w:line="185"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earnings for fiscal 2008 were $234.8 million, down 7.6 percent compared with the same period last year. For the fiscal 2008 fourth quarter, professional segment earnings totaled $14.6 million, compared with $26.7 million in the prior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660" w:hanging="13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net sales for fiscal 2008 were essentially flat with fiscal 2007 at $563.9 million. Strong orders for snowthrowers and international sales growth in most residential categories offset declines in domestic shipments for walk power mowers. For the fiscal 2008 fourth quarter, residential segment net sales gained 21.2 percent to $122.2 million. The improvement resulted primarily from increased sales of snowthrowers and walk power mowers due to strong fall demand.</w:t>
      </w:r>
    </w:p>
    <w:p>
      <w:pPr>
        <w:spacing w:after="0" w:line="213"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earnings for fiscal 2008 were $33.9 million, down 19.1 percent compared with the same period last year. For the fiscal 2008 fourth quarter, residential segment earnings totaled $6.5 million, compared with $1.5 million in the prior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Gross margin for fiscal 2008 was 34.8 percent compared with 36.1 percent in fiscal 2007. For the fiscal 2008 fourth quarter, gross margin was 29.9 percent compared with 34.9 percent in the comparable fiscal 2007 period. The margin decline in both periods was primarily due to higher commodity and freight costs and lower production volumes.</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Selling, general and administrative (SG&amp;A) expenses for fiscal 2008 were 24.2 percent of net sales, flat with fiscal 2007. For the fiscal 2008 fourth quarter, SG&amp;A expenses were 29.7 percent of net sales, an improvement from 31.9 percent in the comparable fiscal 2007 period. SG&amp;A expenses in both periods include charges associated with the workforce adjustments noted above.</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for fiscal 2008 was $19.3 million, down slightly compared to fiscal 2007. For the fiscal 2008 fourth quarter, interest expense totaled $4.4 million, up slightly from the comparable fiscal 2007 period.</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 tax rate for fiscal 2008 was 34.0 percent compared with 33.2 percent in fiscal 2007. While the federal Research &amp; Engineering Tax Credit impacted the tax rate in both years, the credit was more favorable in fiscal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3 – Toro Reports Fiscal 2008 Full Year Results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receivable at the end of fiscal 2008 totaled $256.3 million, down $26.9 million or 9.5 percent, on a sales increase of 2.6 percent in the fiscal 2008 fourth quarter. Net inventories were $207.1 million, down $44.2 million or 17.6 percent, compared with fiscal 2007. The company continues to focus on reducing working capital as a percent of sales and in fiscal 2008 generated an additional $32 million in cash flow from operating activities over the prior year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expects the weak market conditions to continue well into fiscal 2009 with even more uncertainties and challenges. “While we don’t know how deep and prolonged these difficult economic conditions will be, we will run our business in the coming year with an emphasis on driving demand with innovative new products, lowering our cost structure, and further reducing working capital through improved asset management,” said Hoffman.</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Given the ongoing global economic weakness and tightening credit markets, the outlook for the year ahead is more uncertain and the resulting impact on the business will be even more difficult to predict. The company currently expects fiscal 2009 net earnings per share to be $2.50 to $2.70 on a revenue decline of approximately 5 percent compared with fiscal 2008. For its fiscal first quarter, a seasonally smaller revenue period, the company expects to report net earnings per share of $0.15 to $0.25.</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9,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The Toro Company will conduct a conference call and webcast for investors beginning at 10:00 a.m. Central Time (CST) on December 9, 2008.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resins and other commodities; fluctuating fuel and other costs of transportation; the impact of abnormal weather patterns and natural disasters; the level of growth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600" w:type="dxa"/>
            <w:vAlign w:val="bottom"/>
            <w:gridSpan w:val="5"/>
          </w:tcPr>
          <w:p>
            <w:pPr>
              <w:jc w:val="right"/>
              <w:ind w:right="74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341,240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1,878,184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101,867</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116,151</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652,710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678,375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 percent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101,367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454,301</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454,726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Earnings from operations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10,147</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198,409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(19,333)</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(Loss) earnings before income taxes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181,289</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213,227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61,638</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earnings</w:t>
            </w: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6,534</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119,651</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142,436</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Diluted net earnings per share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stock outstanding – Basic</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36,403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37,736</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stock outstanding – Diluted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38,579</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41,864</w:t>
            </w:r>
          </w:p>
        </w:tc>
        <w:tc>
          <w:tcPr>
            <w:tcW w:w="0" w:type="dxa"/>
            <w:vAlign w:val="bottom"/>
          </w:tcPr>
          <w:p>
            <w:pPr>
              <w:spacing w:after="0"/>
              <w:rPr>
                <w:sz w:val="1"/>
                <w:szCs w:val="1"/>
                <w:color w:val="auto"/>
              </w:rPr>
            </w:pPr>
          </w:p>
        </w:tc>
      </w:tr>
      <w:tr>
        <w:trPr>
          <w:trHeight w:val="1388"/>
        </w:trPr>
        <w:tc>
          <w:tcPr>
            <w:tcW w:w="20" w:type="dxa"/>
            <w:vAlign w:val="bottom"/>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rPr>
              <w:t>Fiscal Years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10"/>
              <w:spacing w:after="0" w:line="194" w:lineRule="exact"/>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Professional</w:t>
            </w:r>
          </w:p>
        </w:tc>
        <w:tc>
          <w:tcPr>
            <w:tcW w:w="2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208,433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1,283,111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122,242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100,839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563,876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160"/>
              <w:spacing w:after="0"/>
              <w:rPr>
                <w:sz w:val="20"/>
                <w:szCs w:val="20"/>
                <w:color w:val="auto"/>
              </w:rPr>
            </w:pPr>
            <w:r>
              <w:rPr>
                <w:rFonts w:ascii="Arial" w:cs="Arial" w:eastAsia="Arial" w:hAnsi="Arial"/>
                <w:sz w:val="18"/>
                <w:szCs w:val="18"/>
                <w:color w:val="auto"/>
              </w:rPr>
              <w:t>Total *</w:t>
            </w:r>
          </w:p>
        </w:tc>
        <w:tc>
          <w:tcPr>
            <w:tcW w:w="2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341,240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332,456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1,878,184</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1,876,904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 Includes international sales of</w:t>
            </w:r>
          </w:p>
        </w:tc>
        <w:tc>
          <w:tcPr>
            <w:tcW w:w="2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113,370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101,806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608,279</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543,599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rPr>
              <w:t>Fiscal Years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w w:val="89"/>
              </w:rPr>
              <w:t>Segment (Loss) Earnings Before Income Taxes</w:t>
            </w: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10"/>
              <w:spacing w:after="0" w:line="194" w:lineRule="exact"/>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Professional</w:t>
            </w:r>
          </w:p>
        </w:tc>
        <w:tc>
          <w:tcPr>
            <w:tcW w:w="2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33,854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(19,075)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160"/>
              <w:spacing w:after="0"/>
              <w:rPr>
                <w:sz w:val="20"/>
                <w:szCs w:val="20"/>
                <w:color w:val="auto"/>
              </w:rPr>
            </w:pPr>
            <w:r>
              <w:rPr>
                <w:rFonts w:ascii="Arial" w:cs="Arial" w:eastAsia="Arial" w:hAnsi="Arial"/>
                <w:sz w:val="18"/>
                <w:szCs w:val="18"/>
                <w:color w:val="auto"/>
              </w:rPr>
              <w:t>Total</w:t>
            </w:r>
          </w:p>
        </w:tc>
        <w:tc>
          <w:tcPr>
            <w:tcW w:w="2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181,289</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213,227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9"/>
              </w:rPr>
              <w:t>THE TORO COMPANY AND SUBSIDIARIES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9"/>
          </w:tcPr>
          <w:p>
            <w:pPr>
              <w:jc w:val="center"/>
              <w:ind w:right="102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27,491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2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CEEFF"/>
            </w:tcBorders>
            <w:gridSpan w:val="4"/>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643,948</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664,928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932,260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950,837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gridSpan w:val="8"/>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Short-term debt</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324,451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w w:val="95"/>
              </w:rPr>
              <w:t>Deferred revenue and other long-term liabilities</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364,675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932,260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950,837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1"/>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Fiscal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earnings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119,651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provided by operating activities:</w:t>
            </w: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Equity losses from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depreciation and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a business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income 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Inventories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29,949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Accounts payable, accrued expenses, and other long-termliabilities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asset disposals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Increase in investment in affiliates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other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Proceeds from sale of a business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 net of cash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(51,560)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short-term debt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Issuance of long-term debt, net of costs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net of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(110,355)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(124,061)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952"/>
    </w:lvl>
  </w:abstractNum>
  <w:abstractNum w:abstractNumId="3">
    <w:nsid w:val="3D1B58BA"/>
    <w:multiLevelType w:val="hybridMultilevel"/>
    <w:lvl w:ilvl="0">
      <w:lvlJc w:val="left"/>
      <w:lvlText w:val="(%1)"/>
      <w:numFmt w:val="decimal"/>
      <w:start w:val="95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2019-12-13T13:41:44Z</dcterms:created>
  <dcterms:modified xsi:type="dcterms:W3CDTF">2019-12-13T13:41:44Z</dcterms:modified>
</cp:coreProperties>
</file>