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74352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7435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80"/>
          </w:cols>
          <w:pgMar w:left="240" w:top="226" w:right="159" w:bottom="688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HIMAN DENNIS P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10/01/2003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0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Vice President &amp; General Manag</w:t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43"/>
          </w:cols>
          <w:pgMar w:left="240" w:top="226" w:right="159" w:bottom="688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3840" w:type="dxa"/>
            <w:vAlign w:val="bottom"/>
            <w:gridSpan w:val="6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360" w:type="dxa"/>
            <w:vAlign w:val="bottom"/>
            <w:gridSpan w:val="3"/>
          </w:tcPr>
          <w:p>
            <w:pPr>
              <w:ind w:left="198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10/02/2003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820" w:type="dxa"/>
            <w:vAlign w:val="bottom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00" w:type="dxa"/>
            <w:vAlign w:val="bottom"/>
            <w:gridSpan w:val="4"/>
          </w:tcPr>
          <w:p>
            <w:pPr>
              <w:ind w:left="3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222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80" w:type="dxa"/>
            <w:vAlign w:val="bottom"/>
            <w:tcBorders>
              <w:top w:val="single" w:sz="8" w:color="2C2C2C"/>
            </w:tcBorders>
            <w:gridSpan w:val="9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1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</w:tcPr>
          <w:p>
            <w:pPr>
              <w:ind w:left="1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</w:tcPr>
          <w:p>
            <w:pPr>
              <w:ind w:left="1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  <w:vMerge w:val="restart"/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10/01/2003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315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12.469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jc w:val="right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3,617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  <w:vMerge w:val="restart"/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10/01/2003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46.66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jc w:val="right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3,533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05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person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105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The Toro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105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Company</w:t>
      </w:r>
    </w:p>
    <w:p>
      <w:pPr>
        <w:ind w:left="80"/>
        <w:spacing w:after="0"/>
        <w:tabs>
          <w:tab w:leader="none" w:pos="8540" w:val="left"/>
          <w:tab w:leader="none" w:pos="9920" w:val="left"/>
          <w:tab w:leader="none" w:pos="104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Common Stock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0000FF"/>
        </w:rPr>
        <w:t>208.668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0000FF"/>
        </w:rPr>
        <w:t>I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Investment,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05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Savings &amp;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05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ESOP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 Units</w:t>
            </w:r>
          </w:p>
        </w:tc>
        <w:tc>
          <w:tcPr>
            <w:tcW w:w="4420" w:type="dxa"/>
            <w:vAlign w:val="bottom"/>
          </w:tcPr>
          <w:p>
            <w:pPr>
              <w:jc w:val="center"/>
              <w:ind w:left="29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7,169.733</w:t>
            </w:r>
          </w:p>
        </w:tc>
        <w:tc>
          <w:tcPr>
            <w:tcW w:w="18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Matching Units</w:t>
            </w:r>
          </w:p>
        </w:tc>
        <w:tc>
          <w:tcPr>
            <w:tcW w:w="4420" w:type="dxa"/>
            <w:vAlign w:val="bottom"/>
          </w:tcPr>
          <w:p>
            <w:pPr>
              <w:jc w:val="center"/>
              <w:ind w:left="29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3,584.862</w:t>
            </w:r>
          </w:p>
        </w:tc>
        <w:tc>
          <w:tcPr>
            <w:tcW w:w="18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Performance Share Units</w:t>
            </w:r>
          </w:p>
        </w:tc>
        <w:tc>
          <w:tcPr>
            <w:tcW w:w="4420" w:type="dxa"/>
            <w:vAlign w:val="bottom"/>
          </w:tcPr>
          <w:p>
            <w:pPr>
              <w:jc w:val="center"/>
              <w:ind w:lef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23,591.025</w:t>
            </w:r>
          </w:p>
        </w:tc>
        <w:tc>
          <w:tcPr>
            <w:tcW w:w="18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  <w:right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243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12.469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10/01/2003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315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11/18/1998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11/18/2008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8,020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12.4688</w:t>
            </w:r>
          </w:p>
        </w:tc>
        <w:tc>
          <w:tcPr>
            <w:tcW w:w="9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11,285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Ongoing acquisition on account under Investment, Savings and Employee Stock Ownership Plan, exempt from Section 16(a) under Rule 16a-3(f)(1)(i)(B) and from Section 16(b) under Rule 16b-3(c).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N. Jeanne Ryan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10/02/2003</w:t>
            </w:r>
          </w:p>
        </w:tc>
      </w:tr>
      <w:tr>
        <w:trPr>
          <w:trHeight w:val="20"/>
        </w:trPr>
        <w:tc>
          <w:tcPr>
            <w:tcW w:w="1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6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00"/>
      </w:cols>
      <w:pgMar w:left="240" w:top="226" w:right="159" w:bottom="688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7146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2019-12-16T04:22:12Z</dcterms:created>
  <dcterms:modified xsi:type="dcterms:W3CDTF">2019-12-16T04:22:12Z</dcterms:modified>
</cp:coreProperties>
</file>