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6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372110</wp:posOffset>
            </wp:positionV>
            <wp:extent cx="7272020"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34925"/>
                    </a:xfrm>
                    <a:prstGeom prst="rect">
                      <a:avLst/>
                    </a:prstGeom>
                    <a:noFill/>
                  </pic:spPr>
                </pic:pic>
              </a:graphicData>
            </a:graphic>
          </wp:anchor>
        </w:drawing>
        <w:t>UNITED STATES</w:t>
      </w:r>
    </w:p>
    <w:p>
      <w:pPr>
        <w:spacing w:after="0" w:line="209" w:lineRule="exact"/>
        <w:rPr>
          <w:sz w:val="24"/>
          <w:szCs w:val="24"/>
          <w:color w:val="auto"/>
        </w:rPr>
      </w:pPr>
    </w:p>
    <w:p>
      <w:pPr>
        <w:jc w:val="center"/>
        <w:ind w:right="-667"/>
        <w:spacing w:after="0"/>
        <w:rPr>
          <w:sz w:val="20"/>
          <w:szCs w:val="20"/>
          <w:color w:val="auto"/>
        </w:rPr>
      </w:pPr>
      <w:r>
        <w:rPr>
          <w:rFonts w:ascii="Arial" w:cs="Arial" w:eastAsia="Arial" w:hAnsi="Arial"/>
          <w:sz w:val="18"/>
          <w:szCs w:val="18"/>
          <w:b w:val="1"/>
          <w:bCs w:val="1"/>
          <w:color w:val="auto"/>
        </w:rPr>
        <w:t>SECURITIES AND EXCHANGE COMMISSION</w:t>
      </w:r>
    </w:p>
    <w:p>
      <w:pPr>
        <w:spacing w:after="0" w:line="215" w:lineRule="exact"/>
        <w:rPr>
          <w:sz w:val="24"/>
          <w:szCs w:val="24"/>
          <w:color w:val="auto"/>
        </w:rPr>
      </w:pPr>
    </w:p>
    <w:p>
      <w:pPr>
        <w:jc w:val="center"/>
        <w:ind w:right="-667"/>
        <w:spacing w:after="0"/>
        <w:rPr>
          <w:sz w:val="20"/>
          <w:szCs w:val="20"/>
          <w:color w:val="auto"/>
        </w:rPr>
      </w:pPr>
      <w:r>
        <w:rPr>
          <w:rFonts w:ascii="Arial" w:cs="Arial" w:eastAsia="Arial" w:hAnsi="Arial"/>
          <w:sz w:val="15"/>
          <w:szCs w:val="15"/>
          <w:b w:val="1"/>
          <w:bCs w:val="1"/>
          <w:color w:val="auto"/>
        </w:rPr>
        <w:t>Washington, D.C. 20549</w:t>
      </w:r>
    </w:p>
    <w:p>
      <w:pPr>
        <w:spacing w:after="0" w:line="214" w:lineRule="exact"/>
        <w:rPr>
          <w:sz w:val="24"/>
          <w:szCs w:val="24"/>
          <w:color w:val="auto"/>
        </w:rPr>
      </w:pPr>
    </w:p>
    <w:p>
      <w:pPr>
        <w:jc w:val="center"/>
        <w:ind w:right="-667"/>
        <w:spacing w:after="0"/>
        <w:rPr>
          <w:sz w:val="20"/>
          <w:szCs w:val="20"/>
          <w:color w:val="auto"/>
        </w:rPr>
      </w:pPr>
      <w:r>
        <w:rPr>
          <w:rFonts w:ascii="Arial" w:cs="Arial" w:eastAsia="Arial" w:hAnsi="Arial"/>
          <w:sz w:val="18"/>
          <w:szCs w:val="18"/>
          <w:b w:val="1"/>
          <w:bCs w:val="1"/>
          <w:color w:val="auto"/>
        </w:rPr>
        <w:t>FORM 8-K</w:t>
      </w:r>
    </w:p>
    <w:p>
      <w:pPr>
        <w:spacing w:after="0" w:line="215" w:lineRule="exact"/>
        <w:rPr>
          <w:sz w:val="24"/>
          <w:szCs w:val="24"/>
          <w:color w:val="auto"/>
        </w:rPr>
      </w:pPr>
    </w:p>
    <w:p>
      <w:pPr>
        <w:jc w:val="center"/>
        <w:ind w:right="-667"/>
        <w:spacing w:after="0"/>
        <w:rPr>
          <w:sz w:val="20"/>
          <w:szCs w:val="20"/>
          <w:color w:val="auto"/>
        </w:rPr>
      </w:pPr>
      <w:r>
        <w:rPr>
          <w:rFonts w:ascii="Arial" w:cs="Arial" w:eastAsia="Arial" w:hAnsi="Arial"/>
          <w:sz w:val="15"/>
          <w:szCs w:val="15"/>
          <w:b w:val="1"/>
          <w:bCs w:val="1"/>
          <w:color w:val="auto"/>
        </w:rPr>
        <w:t>CURRENT REPORT</w:t>
      </w:r>
    </w:p>
    <w:p>
      <w:pPr>
        <w:spacing w:after="0" w:line="220" w:lineRule="exact"/>
        <w:rPr>
          <w:sz w:val="24"/>
          <w:szCs w:val="24"/>
          <w:color w:val="auto"/>
        </w:rPr>
      </w:pPr>
    </w:p>
    <w:p>
      <w:pPr>
        <w:jc w:val="center"/>
        <w:ind w:right="-667"/>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243" w:lineRule="exact"/>
        <w:rPr>
          <w:sz w:val="24"/>
          <w:szCs w:val="24"/>
          <w:color w:val="auto"/>
        </w:rPr>
      </w:pPr>
    </w:p>
    <w:p>
      <w:pPr>
        <w:jc w:val="center"/>
        <w:ind w:right="-667"/>
        <w:spacing w:after="0"/>
        <w:rPr>
          <w:sz w:val="20"/>
          <w:szCs w:val="20"/>
          <w:color w:val="auto"/>
        </w:rPr>
      </w:pPr>
      <w:r>
        <w:rPr>
          <w:rFonts w:ascii="Arial" w:cs="Arial" w:eastAsia="Arial" w:hAnsi="Arial"/>
          <w:sz w:val="14"/>
          <w:szCs w:val="14"/>
          <w:b w:val="1"/>
          <w:bCs w:val="1"/>
          <w:color w:val="auto"/>
        </w:rPr>
        <w:t>Date of Report (Date of earliest event reported): December 6, 2007</w:t>
      </w:r>
    </w:p>
    <w:p>
      <w:pPr>
        <w:spacing w:after="0" w:line="200" w:lineRule="exact"/>
        <w:rPr>
          <w:sz w:val="24"/>
          <w:szCs w:val="24"/>
          <w:color w:val="auto"/>
        </w:rPr>
      </w:pPr>
    </w:p>
    <w:p>
      <w:pPr>
        <w:spacing w:after="0" w:line="220" w:lineRule="exact"/>
        <w:rPr>
          <w:sz w:val="24"/>
          <w:szCs w:val="24"/>
          <w:color w:val="auto"/>
        </w:rPr>
      </w:pPr>
    </w:p>
    <w:p>
      <w:pPr>
        <w:ind w:left="4248"/>
        <w:spacing w:after="0"/>
        <w:rPr>
          <w:sz w:val="20"/>
          <w:szCs w:val="20"/>
          <w:color w:val="auto"/>
        </w:rPr>
      </w:pPr>
      <w:r>
        <w:rPr>
          <w:rFonts w:ascii="Arial" w:cs="Arial" w:eastAsia="Arial" w:hAnsi="Arial"/>
          <w:sz w:val="28"/>
          <w:szCs w:val="28"/>
          <w:b w:val="1"/>
          <w:bCs w:val="1"/>
          <w:color w:val="auto"/>
        </w:rPr>
        <w:t>THE TORO COMPANY</w:t>
      </w:r>
    </w:p>
    <w:p>
      <w:pPr>
        <w:sectPr>
          <w:pgSz w:w="11900" w:h="16838" w:orient="portrait"/>
          <w:cols w:equalWidth="0" w:num="1">
            <w:col w:w="10788"/>
          </w:cols>
          <w:pgMar w:left="232" w:top="902" w:right="879" w:bottom="1440" w:gutter="0" w:footer="0" w:header="0"/>
        </w:sectPr>
      </w:pPr>
    </w:p>
    <w:p>
      <w:pPr>
        <w:spacing w:after="0" w:line="28" w:lineRule="exact"/>
        <w:rPr>
          <w:sz w:val="24"/>
          <w:szCs w:val="24"/>
          <w:color w:val="auto"/>
        </w:rPr>
      </w:pPr>
    </w:p>
    <w:p>
      <w:pPr>
        <w:ind w:left="4128"/>
        <w:spacing w:after="0"/>
        <w:rPr>
          <w:sz w:val="20"/>
          <w:szCs w:val="20"/>
          <w:color w:val="auto"/>
        </w:rPr>
      </w:pPr>
      <w:r>
        <w:rPr>
          <w:rFonts w:ascii="Arial" w:cs="Arial" w:eastAsia="Arial" w:hAnsi="Arial"/>
          <w:sz w:val="15"/>
          <w:szCs w:val="15"/>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p>
      <w:pPr>
        <w:ind w:left="1588"/>
        <w:spacing w:after="0"/>
        <w:tabs>
          <w:tab w:leader="none" w:pos="5487" w:val="left"/>
        </w:tabs>
        <w:rPr>
          <w:sz w:val="20"/>
          <w:szCs w:val="20"/>
          <w:color w:val="auto"/>
        </w:rPr>
      </w:pPr>
      <w:r>
        <w:rPr>
          <w:rFonts w:ascii="Arial" w:cs="Arial" w:eastAsia="Arial" w:hAnsi="Arial"/>
          <w:sz w:val="15"/>
          <w:szCs w:val="15"/>
          <w:b w:val="1"/>
          <w:bCs w:val="1"/>
          <w:color w:val="auto"/>
        </w:rPr>
        <w:t>Delaware</w:t>
      </w:r>
      <w:r>
        <w:rPr>
          <w:sz w:val="20"/>
          <w:szCs w:val="20"/>
          <w:color w:val="auto"/>
        </w:rPr>
        <w:tab/>
      </w:r>
      <w:r>
        <w:rPr>
          <w:rFonts w:ascii="Arial" w:cs="Arial" w:eastAsia="Arial" w:hAnsi="Arial"/>
          <w:sz w:val="15"/>
          <w:szCs w:val="15"/>
          <w:b w:val="1"/>
          <w:bCs w:val="1"/>
          <w:color w:val="auto"/>
        </w:rPr>
        <w:t>1-8649</w:t>
      </w:r>
    </w:p>
    <w:p>
      <w:pPr>
        <w:spacing w:after="0" w:line="29" w:lineRule="exact"/>
        <w:rPr>
          <w:sz w:val="24"/>
          <w:szCs w:val="24"/>
          <w:color w:val="auto"/>
        </w:rPr>
      </w:pPr>
    </w:p>
    <w:p>
      <w:pPr>
        <w:ind w:left="1188"/>
        <w:spacing w:after="0"/>
        <w:tabs>
          <w:tab w:leader="none" w:pos="4847" w:val="left"/>
        </w:tabs>
        <w:rPr>
          <w:sz w:val="20"/>
          <w:szCs w:val="20"/>
          <w:color w:val="auto"/>
        </w:rPr>
      </w:pPr>
      <w:r>
        <w:rPr>
          <w:rFonts w:ascii="Arial" w:cs="Arial" w:eastAsia="Arial" w:hAnsi="Arial"/>
          <w:sz w:val="15"/>
          <w:szCs w:val="15"/>
          <w:color w:val="auto"/>
        </w:rPr>
        <w:t>(State of Incorporation)</w:t>
      </w:r>
      <w:r>
        <w:rPr>
          <w:sz w:val="20"/>
          <w:szCs w:val="20"/>
          <w:color w:val="auto"/>
        </w:rPr>
        <w:tab/>
      </w:r>
      <w:r>
        <w:rPr>
          <w:rFonts w:ascii="Arial" w:cs="Arial" w:eastAsia="Arial" w:hAnsi="Arial"/>
          <w:sz w:val="14"/>
          <w:szCs w:val="14"/>
          <w:color w:val="auto"/>
        </w:rPr>
        <w:t>(Commission File Number)</w:t>
      </w:r>
    </w:p>
    <w:p>
      <w:pPr>
        <w:spacing w:after="0" w:line="200" w:lineRule="exact"/>
        <w:rPr>
          <w:sz w:val="24"/>
          <w:szCs w:val="24"/>
          <w:color w:val="auto"/>
        </w:rPr>
      </w:pPr>
    </w:p>
    <w:p>
      <w:pPr>
        <w:spacing w:after="0" w:line="212" w:lineRule="exact"/>
        <w:rPr>
          <w:sz w:val="24"/>
          <w:szCs w:val="24"/>
          <w:color w:val="auto"/>
        </w:rPr>
      </w:pPr>
    </w:p>
    <w:p>
      <w:pPr>
        <w:jc w:val="center"/>
        <w:ind w:right="2132"/>
        <w:spacing w:after="0"/>
        <w:rPr>
          <w:sz w:val="20"/>
          <w:szCs w:val="20"/>
          <w:color w:val="auto"/>
        </w:rPr>
      </w:pPr>
      <w:r>
        <w:rPr>
          <w:rFonts w:ascii="Arial" w:cs="Arial" w:eastAsia="Arial" w:hAnsi="Arial"/>
          <w:sz w:val="15"/>
          <w:szCs w:val="15"/>
          <w:b w:val="1"/>
          <w:bCs w:val="1"/>
          <w:color w:val="auto"/>
        </w:rPr>
        <w:t>8111 Lyndale Avenue South</w:t>
      </w:r>
    </w:p>
    <w:p>
      <w:pPr>
        <w:spacing w:after="0" w:line="29" w:lineRule="exact"/>
        <w:rPr>
          <w:sz w:val="24"/>
          <w:szCs w:val="24"/>
          <w:color w:val="auto"/>
        </w:rPr>
      </w:pPr>
    </w:p>
    <w:p>
      <w:pPr>
        <w:jc w:val="center"/>
        <w:ind w:right="2132"/>
        <w:spacing w:after="0"/>
        <w:rPr>
          <w:sz w:val="20"/>
          <w:szCs w:val="20"/>
          <w:color w:val="auto"/>
        </w:rPr>
      </w:pPr>
      <w:r>
        <w:rPr>
          <w:rFonts w:ascii="Arial" w:cs="Arial" w:eastAsia="Arial" w:hAnsi="Arial"/>
          <w:sz w:val="15"/>
          <w:szCs w:val="15"/>
          <w:b w:val="1"/>
          <w:bCs w:val="1"/>
          <w:color w:val="auto"/>
        </w:rPr>
        <w:t>Bloomington, Minnesota</w:t>
      </w:r>
    </w:p>
    <w:p>
      <w:pPr>
        <w:spacing w:after="0" w:line="12" w:lineRule="exact"/>
        <w:rPr>
          <w:sz w:val="24"/>
          <w:szCs w:val="24"/>
          <w:color w:val="auto"/>
        </w:rPr>
      </w:pPr>
    </w:p>
    <w:p>
      <w:pPr>
        <w:jc w:val="center"/>
        <w:ind w:right="2132"/>
        <w:spacing w:after="0"/>
        <w:rPr>
          <w:sz w:val="20"/>
          <w:szCs w:val="20"/>
          <w:color w:val="auto"/>
        </w:rPr>
      </w:pPr>
      <w:r>
        <w:rPr>
          <w:rFonts w:ascii="Arial" w:cs="Arial" w:eastAsia="Arial" w:hAnsi="Arial"/>
          <w:sz w:val="15"/>
          <w:szCs w:val="15"/>
          <w:u w:val="single" w:color="auto"/>
          <w:color w:val="auto"/>
        </w:rPr>
        <w:t>(Address of principal executive offices)</w:t>
      </w:r>
    </w:p>
    <w:p>
      <w:pPr>
        <w:spacing w:after="0" w:line="250" w:lineRule="exact"/>
        <w:rPr>
          <w:sz w:val="24"/>
          <w:szCs w:val="24"/>
          <w:color w:val="auto"/>
        </w:rPr>
      </w:pPr>
    </w:p>
    <w:p>
      <w:pPr>
        <w:jc w:val="right"/>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(952) 888-8801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41-0580470</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(I.R.S. Employer Identification Number)</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860"/>
        <w:spacing w:after="0"/>
        <w:rPr>
          <w:sz w:val="20"/>
          <w:szCs w:val="20"/>
          <w:color w:val="auto"/>
        </w:rPr>
      </w:pPr>
      <w:r>
        <w:rPr>
          <w:rFonts w:ascii="Arial" w:cs="Arial" w:eastAsia="Arial" w:hAnsi="Arial"/>
          <w:sz w:val="15"/>
          <w:szCs w:val="15"/>
          <w:b w:val="1"/>
          <w:bCs w:val="1"/>
          <w:color w:val="auto"/>
        </w:rPr>
        <w:t>55420</w:t>
      </w:r>
    </w:p>
    <w:p>
      <w:pPr>
        <w:spacing w:after="0" w:line="29" w:lineRule="exact"/>
        <w:rPr>
          <w:sz w:val="24"/>
          <w:szCs w:val="24"/>
          <w:color w:val="auto"/>
        </w:rPr>
      </w:pPr>
    </w:p>
    <w:p>
      <w:pPr>
        <w:jc w:val="center"/>
        <w:ind w:right="1860"/>
        <w:spacing w:after="0"/>
        <w:rPr>
          <w:sz w:val="20"/>
          <w:szCs w:val="20"/>
          <w:color w:val="auto"/>
        </w:rPr>
      </w:pPr>
      <w:r>
        <w:rPr>
          <w:rFonts w:ascii="Arial" w:cs="Arial" w:eastAsia="Arial" w:hAnsi="Arial"/>
          <w:sz w:val="14"/>
          <w:szCs w:val="14"/>
          <w:u w:val="single" w:color="auto"/>
          <w:color w:val="auto"/>
        </w:rPr>
        <w:t>(Zip Code)</w:t>
      </w:r>
    </w:p>
    <w:p>
      <w:pPr>
        <w:spacing w:after="0" w:line="610" w:lineRule="exact"/>
        <w:rPr>
          <w:sz w:val="24"/>
          <w:szCs w:val="24"/>
          <w:color w:val="auto"/>
        </w:rPr>
      </w:pPr>
    </w:p>
    <w:p>
      <w:pPr>
        <w:sectPr>
          <w:pgSz w:w="11900" w:h="16838" w:orient="portrait"/>
          <w:cols w:equalWidth="0" w:num="2">
            <w:col w:w="7848" w:space="400"/>
            <w:col w:w="2540"/>
          </w:cols>
          <w:pgMar w:left="232" w:top="902" w:right="879" w:bottom="1440" w:gutter="0" w:footer="0" w:header="0"/>
          <w:type w:val="continuous"/>
        </w:sectPr>
      </w:pPr>
    </w:p>
    <w:p>
      <w:pPr>
        <w:spacing w:after="0" w:line="234" w:lineRule="exact"/>
        <w:rPr>
          <w:sz w:val="24"/>
          <w:szCs w:val="24"/>
          <w:color w:val="auto"/>
        </w:rPr>
      </w:pPr>
    </w:p>
    <w:p>
      <w:pPr>
        <w:jc w:val="center"/>
        <w:ind w:right="-667"/>
        <w:spacing w:after="0"/>
        <w:rPr>
          <w:sz w:val="20"/>
          <w:szCs w:val="20"/>
          <w:color w:val="auto"/>
        </w:rPr>
      </w:pPr>
      <w:r>
        <w:rPr>
          <w:rFonts w:ascii="Arial" w:cs="Arial" w:eastAsia="Arial" w:hAnsi="Arial"/>
          <w:sz w:val="15"/>
          <w:szCs w:val="15"/>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2747010</wp:posOffset>
            </wp:positionH>
            <wp:positionV relativeFrom="paragraph">
              <wp:posOffset>-6985</wp:posOffset>
            </wp:positionV>
            <wp:extent cx="17722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2285" cy="7620"/>
                    </a:xfrm>
                    <a:prstGeom prst="rect">
                      <a:avLst/>
                    </a:prstGeom>
                    <a:noFill/>
                  </pic:spPr>
                </pic:pic>
              </a:graphicData>
            </a:graphic>
          </wp:anchor>
        </w:drawing>
      </w:r>
    </w:p>
    <w:p>
      <w:pPr>
        <w:spacing w:after="0" w:line="3" w:lineRule="exact"/>
        <w:rPr>
          <w:sz w:val="24"/>
          <w:szCs w:val="24"/>
          <w:color w:val="auto"/>
        </w:rPr>
      </w:pPr>
    </w:p>
    <w:p>
      <w:pPr>
        <w:jc w:val="center"/>
        <w:ind w:right="-667"/>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210" w:lineRule="exact"/>
        <w:rPr>
          <w:sz w:val="24"/>
          <w:szCs w:val="24"/>
          <w:color w:val="auto"/>
        </w:rPr>
      </w:pPr>
    </w:p>
    <w:p>
      <w:pPr>
        <w:ind w:left="8"/>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Written communications pursuant to Rule 425 under the Securities Act (17 CFR 230.425)</w:t>
      </w:r>
    </w:p>
    <w:p>
      <w:pPr>
        <w:spacing w:after="0" w:line="220" w:lineRule="exact"/>
        <w:rPr>
          <w:rFonts w:ascii="Arial" w:cs="Arial" w:eastAsia="Arial" w:hAnsi="Arial"/>
          <w:sz w:val="15"/>
          <w:szCs w:val="15"/>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Soliciting material pursuant to Rule 14a-12 under the Exchange Act (17 CFR 240.14a-12)</w:t>
      </w:r>
    </w:p>
    <w:p>
      <w:pPr>
        <w:spacing w:after="0" w:line="220" w:lineRule="exact"/>
        <w:rPr>
          <w:rFonts w:ascii="Arial" w:cs="Arial" w:eastAsia="Arial" w:hAnsi="Arial"/>
          <w:sz w:val="15"/>
          <w:szCs w:val="15"/>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14d-2(b) under the Exchange Act (17 CFR 240.14d-2(b))</w:t>
      </w:r>
    </w:p>
    <w:p>
      <w:pPr>
        <w:spacing w:after="0" w:line="220" w:lineRule="exact"/>
        <w:rPr>
          <w:rFonts w:ascii="Arial" w:cs="Arial" w:eastAsia="Arial" w:hAnsi="Arial"/>
          <w:sz w:val="15"/>
          <w:szCs w:val="15"/>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341630</wp:posOffset>
            </wp:positionV>
            <wp:extent cx="727202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370"/>
                    </a:xfrm>
                    <a:prstGeom prst="rect">
                      <a:avLst/>
                    </a:prstGeom>
                    <a:noFill/>
                  </pic:spPr>
                </pic:pic>
              </a:graphicData>
            </a:graphic>
          </wp:anchor>
        </w:drawing>
      </w:r>
    </w:p>
    <w:p>
      <w:pPr>
        <w:sectPr>
          <w:pgSz w:w="11900" w:h="16838" w:orient="portrait"/>
          <w:cols w:equalWidth="0" w:num="1">
            <w:col w:w="10788"/>
          </w:cols>
          <w:pgMar w:left="232" w:top="902" w:right="8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Section 2 — Financial Information</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226" w:lineRule="exact"/>
        <w:rPr>
          <w:sz w:val="20"/>
          <w:szCs w:val="20"/>
          <w:color w:val="auto"/>
        </w:rPr>
      </w:pPr>
    </w:p>
    <w:p>
      <w:pPr>
        <w:ind w:left="680"/>
        <w:spacing w:after="0"/>
        <w:rPr>
          <w:sz w:val="20"/>
          <w:szCs w:val="20"/>
          <w:color w:val="auto"/>
        </w:rPr>
      </w:pPr>
      <w:r>
        <w:rPr>
          <w:rFonts w:ascii="Arial" w:cs="Arial" w:eastAsia="Arial" w:hAnsi="Arial"/>
          <w:sz w:val="15"/>
          <w:szCs w:val="15"/>
          <w:color w:val="auto"/>
        </w:rPr>
        <w:t>On December 6, 2007, The Toro Company announced its earnings for the three and twelve months ended October 31, 2007.</w:t>
      </w:r>
    </w:p>
    <w:p>
      <w:pPr>
        <w:spacing w:after="0" w:line="220" w:lineRule="exact"/>
        <w:rPr>
          <w:sz w:val="20"/>
          <w:szCs w:val="20"/>
          <w:color w:val="auto"/>
        </w:rPr>
      </w:pPr>
    </w:p>
    <w:p>
      <w:pPr>
        <w:ind w:left="680"/>
        <w:spacing w:after="0" w:line="267" w:lineRule="auto"/>
        <w:rPr>
          <w:sz w:val="20"/>
          <w:szCs w:val="20"/>
          <w:color w:val="auto"/>
        </w:rPr>
      </w:pPr>
      <w:r>
        <w:rPr>
          <w:rFonts w:ascii="Arial" w:cs="Arial" w:eastAsia="Arial" w:hAnsi="Arial"/>
          <w:sz w:val="15"/>
          <w:szCs w:val="15"/>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331" w:right="2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Section 9 — Financial Statements and Exhibits</w:t>
      </w:r>
    </w:p>
    <w:p>
      <w:pPr>
        <w:spacing w:after="0" w:line="220"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1320" w:type="dxa"/>
            <w:vAlign w:val="bottom"/>
          </w:tcPr>
          <w:p>
            <w:pPr>
              <w:ind w:left="1080"/>
              <w:spacing w:after="0"/>
              <w:rPr>
                <w:sz w:val="20"/>
                <w:szCs w:val="20"/>
                <w:color w:val="auto"/>
              </w:rPr>
            </w:pPr>
            <w:r>
              <w:rPr>
                <w:rFonts w:ascii="Arial" w:cs="Arial" w:eastAsia="Arial" w:hAnsi="Arial"/>
                <w:sz w:val="15"/>
                <w:szCs w:val="15"/>
                <w:color w:val="auto"/>
              </w:rPr>
              <w:t>(d)</w:t>
            </w:r>
          </w:p>
        </w:tc>
        <w:tc>
          <w:tcPr>
            <w:tcW w:w="6180" w:type="dxa"/>
            <w:vAlign w:val="bottom"/>
            <w:gridSpan w:val="2"/>
          </w:tcPr>
          <w:p>
            <w:pPr>
              <w:ind w:left="280"/>
              <w:spacing w:after="0"/>
              <w:rPr>
                <w:sz w:val="20"/>
                <w:szCs w:val="20"/>
                <w:color w:val="auto"/>
              </w:rPr>
            </w:pPr>
            <w:r>
              <w:rPr>
                <w:rFonts w:ascii="Arial" w:cs="Arial" w:eastAsia="Arial" w:hAnsi="Arial"/>
                <w:sz w:val="15"/>
                <w:szCs w:val="15"/>
                <w:color w:val="auto"/>
              </w:rPr>
              <w:t>Exhibits.</w:t>
            </w:r>
          </w:p>
        </w:tc>
      </w:tr>
      <w:tr>
        <w:trPr>
          <w:trHeight w:val="358"/>
        </w:trPr>
        <w:tc>
          <w:tcPr>
            <w:tcW w:w="2060" w:type="dxa"/>
            <w:vAlign w:val="bottom"/>
            <w:gridSpan w:val="2"/>
          </w:tcPr>
          <w:p>
            <w:pPr>
              <w:spacing w:after="0"/>
              <w:rPr>
                <w:sz w:val="20"/>
                <w:szCs w:val="20"/>
                <w:color w:val="auto"/>
              </w:rPr>
            </w:pPr>
            <w:r>
              <w:rPr>
                <w:rFonts w:ascii="Arial" w:cs="Arial" w:eastAsia="Arial" w:hAnsi="Arial"/>
                <w:sz w:val="15"/>
                <w:szCs w:val="15"/>
                <w:b w:val="1"/>
                <w:bCs w:val="1"/>
                <w:color w:val="auto"/>
              </w:rPr>
              <w:t>Exhibit No.</w:t>
            </w:r>
          </w:p>
        </w:tc>
        <w:tc>
          <w:tcPr>
            <w:tcW w:w="618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7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222"/>
        </w:trPr>
        <w:tc>
          <w:tcPr>
            <w:tcW w:w="740" w:type="dxa"/>
            <w:vAlign w:val="bottom"/>
          </w:tcPr>
          <w:p>
            <w:pPr>
              <w:spacing w:after="0"/>
              <w:rPr>
                <w:sz w:val="20"/>
                <w:szCs w:val="20"/>
                <w:color w:val="auto"/>
              </w:rPr>
            </w:pPr>
            <w:r>
              <w:rPr>
                <w:rFonts w:ascii="Arial" w:cs="Arial" w:eastAsia="Arial" w:hAnsi="Arial"/>
                <w:sz w:val="15"/>
                <w:szCs w:val="15"/>
                <w:color w:val="auto"/>
              </w:rPr>
              <w:t>99.1</w:t>
            </w:r>
          </w:p>
        </w:tc>
        <w:tc>
          <w:tcPr>
            <w:tcW w:w="13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5"/>
                <w:szCs w:val="15"/>
                <w:color w:val="auto"/>
                <w:w w:val="91"/>
              </w:rPr>
              <w:t>Press release dated December 6, 2007 related to the announcement of earnings (furnished herewith).</w:t>
            </w:r>
          </w:p>
        </w:tc>
      </w:tr>
    </w:tbl>
    <w:p>
      <w:pPr>
        <w:sectPr>
          <w:pgSz w:w="11900" w:h="16838" w:orient="portrait"/>
          <w:cols w:equalWidth="0" w:num="1">
            <w:col w:w="10219"/>
          </w:cols>
          <w:pgMar w:left="240" w:top="331" w:right="1440"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5"/>
          <w:szCs w:val="15"/>
          <w:b w:val="1"/>
          <w:bCs w:val="1"/>
          <w:color w:val="auto"/>
        </w:rPr>
        <w:t>SIGNATURES</w:t>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6100" w:type="dxa"/>
            <w:vAlign w:val="bottom"/>
            <w:gridSpan w:val="3"/>
          </w:tcPr>
          <w:p>
            <w:pPr>
              <w:ind w:left="1440"/>
              <w:spacing w:after="0"/>
              <w:rPr>
                <w:sz w:val="20"/>
                <w:szCs w:val="20"/>
                <w:color w:val="auto"/>
              </w:rPr>
            </w:pPr>
            <w:r>
              <w:rPr>
                <w:rFonts w:ascii="Arial" w:cs="Arial" w:eastAsia="Arial" w:hAnsi="Arial"/>
                <w:sz w:val="15"/>
                <w:szCs w:val="15"/>
                <w:color w:val="auto"/>
              </w:rPr>
              <w:t>THE TORO COMPANY</w:t>
            </w:r>
          </w:p>
        </w:tc>
      </w:tr>
      <w:tr>
        <w:trPr>
          <w:trHeight w:val="195"/>
        </w:trPr>
        <w:tc>
          <w:tcPr>
            <w:tcW w:w="2980" w:type="dxa"/>
            <w:vAlign w:val="bottom"/>
          </w:tcPr>
          <w:p>
            <w:pPr>
              <w:spacing w:after="0"/>
              <w:rPr>
                <w:sz w:val="16"/>
                <w:szCs w:val="16"/>
                <w:color w:val="auto"/>
              </w:rPr>
            </w:pPr>
          </w:p>
        </w:tc>
        <w:tc>
          <w:tcPr>
            <w:tcW w:w="6100" w:type="dxa"/>
            <w:vAlign w:val="bottom"/>
            <w:gridSpan w:val="3"/>
          </w:tcPr>
          <w:p>
            <w:pPr>
              <w:ind w:left="1440"/>
              <w:spacing w:after="0"/>
              <w:rPr>
                <w:sz w:val="20"/>
                <w:szCs w:val="20"/>
                <w:color w:val="auto"/>
              </w:rPr>
            </w:pPr>
            <w:r>
              <w:rPr>
                <w:rFonts w:ascii="Arial" w:cs="Arial" w:eastAsia="Arial" w:hAnsi="Arial"/>
                <w:sz w:val="15"/>
                <w:szCs w:val="15"/>
                <w:color w:val="auto"/>
              </w:rPr>
              <w:t>(Registrant)</w:t>
            </w:r>
          </w:p>
        </w:tc>
      </w:tr>
      <w:tr>
        <w:trPr>
          <w:trHeight w:val="358"/>
        </w:trPr>
        <w:tc>
          <w:tcPr>
            <w:tcW w:w="2980" w:type="dxa"/>
            <w:vAlign w:val="bottom"/>
          </w:tcPr>
          <w:p>
            <w:pPr>
              <w:spacing w:after="0"/>
              <w:rPr>
                <w:sz w:val="20"/>
                <w:szCs w:val="20"/>
                <w:color w:val="auto"/>
              </w:rPr>
            </w:pPr>
            <w:r>
              <w:rPr>
                <w:rFonts w:ascii="Arial" w:cs="Arial" w:eastAsia="Arial" w:hAnsi="Arial"/>
                <w:sz w:val="15"/>
                <w:szCs w:val="15"/>
                <w:color w:val="auto"/>
              </w:rPr>
              <w:t>Date: December 6, 2007</w:t>
            </w:r>
          </w:p>
        </w:tc>
        <w:tc>
          <w:tcPr>
            <w:tcW w:w="6100" w:type="dxa"/>
            <w:vAlign w:val="bottom"/>
            <w:gridSpan w:val="3"/>
          </w:tcPr>
          <w:p>
            <w:pPr>
              <w:ind w:left="2720"/>
              <w:spacing w:after="0"/>
              <w:rPr>
                <w:sz w:val="20"/>
                <w:szCs w:val="20"/>
                <w:color w:val="auto"/>
              </w:rPr>
            </w:pPr>
            <w:r>
              <w:rPr>
                <w:rFonts w:ascii="Arial" w:cs="Arial" w:eastAsia="Arial" w:hAnsi="Arial"/>
                <w:sz w:val="15"/>
                <w:szCs w:val="15"/>
                <w:color w:val="auto"/>
              </w:rPr>
              <w:t>By /s/ Stephen P. Wolfe</w:t>
            </w:r>
          </w:p>
        </w:tc>
      </w:tr>
      <w:tr>
        <w:trPr>
          <w:trHeight w:val="20"/>
        </w:trPr>
        <w:tc>
          <w:tcPr>
            <w:tcW w:w="2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9"/>
        </w:trPr>
        <w:tc>
          <w:tcPr>
            <w:tcW w:w="2980" w:type="dxa"/>
            <w:vAlign w:val="bottom"/>
          </w:tcPr>
          <w:p>
            <w:pPr>
              <w:spacing w:after="0"/>
              <w:rPr>
                <w:sz w:val="16"/>
                <w:szCs w:val="16"/>
                <w:color w:val="auto"/>
              </w:rPr>
            </w:pPr>
          </w:p>
        </w:tc>
        <w:tc>
          <w:tcPr>
            <w:tcW w:w="6100" w:type="dxa"/>
            <w:vAlign w:val="bottom"/>
            <w:gridSpan w:val="3"/>
          </w:tcPr>
          <w:p>
            <w:pPr>
              <w:ind w:left="2720"/>
              <w:spacing w:after="0"/>
              <w:rPr>
                <w:sz w:val="20"/>
                <w:szCs w:val="20"/>
                <w:color w:val="auto"/>
              </w:rPr>
            </w:pPr>
            <w:r>
              <w:rPr>
                <w:rFonts w:ascii="Arial" w:cs="Arial" w:eastAsia="Arial" w:hAnsi="Arial"/>
                <w:sz w:val="15"/>
                <w:szCs w:val="15"/>
                <w:color w:val="auto"/>
              </w:rPr>
              <w:t>Stephen P. Wolfe</w:t>
            </w:r>
          </w:p>
        </w:tc>
      </w:tr>
      <w:tr>
        <w:trPr>
          <w:trHeight w:val="185"/>
        </w:trPr>
        <w:tc>
          <w:tcPr>
            <w:tcW w:w="2980" w:type="dxa"/>
            <w:vAlign w:val="bottom"/>
          </w:tcPr>
          <w:p>
            <w:pPr>
              <w:spacing w:after="0"/>
              <w:rPr>
                <w:sz w:val="16"/>
                <w:szCs w:val="16"/>
                <w:color w:val="auto"/>
              </w:rPr>
            </w:pPr>
          </w:p>
        </w:tc>
        <w:tc>
          <w:tcPr>
            <w:tcW w:w="6100" w:type="dxa"/>
            <w:vAlign w:val="bottom"/>
            <w:gridSpan w:val="3"/>
          </w:tcPr>
          <w:p>
            <w:pPr>
              <w:ind w:left="2720"/>
              <w:spacing w:after="0"/>
              <w:rPr>
                <w:sz w:val="20"/>
                <w:szCs w:val="20"/>
                <w:color w:val="auto"/>
              </w:rPr>
            </w:pPr>
            <w:r>
              <w:rPr>
                <w:rFonts w:ascii="Arial" w:cs="Arial" w:eastAsia="Arial" w:hAnsi="Arial"/>
                <w:sz w:val="15"/>
                <w:szCs w:val="15"/>
                <w:color w:val="auto"/>
              </w:rPr>
              <w:t>Vice President, Finance</w:t>
            </w:r>
          </w:p>
        </w:tc>
      </w:tr>
      <w:tr>
        <w:trPr>
          <w:trHeight w:val="185"/>
        </w:trPr>
        <w:tc>
          <w:tcPr>
            <w:tcW w:w="2980" w:type="dxa"/>
            <w:vAlign w:val="bottom"/>
          </w:tcPr>
          <w:p>
            <w:pPr>
              <w:spacing w:after="0"/>
              <w:rPr>
                <w:sz w:val="16"/>
                <w:szCs w:val="16"/>
                <w:color w:val="auto"/>
              </w:rPr>
            </w:pPr>
          </w:p>
        </w:tc>
        <w:tc>
          <w:tcPr>
            <w:tcW w:w="6100" w:type="dxa"/>
            <w:vAlign w:val="bottom"/>
            <w:gridSpan w:val="3"/>
          </w:tcPr>
          <w:p>
            <w:pPr>
              <w:ind w:left="2720"/>
              <w:spacing w:after="0"/>
              <w:rPr>
                <w:sz w:val="20"/>
                <w:szCs w:val="20"/>
                <w:color w:val="auto"/>
              </w:rPr>
            </w:pPr>
            <w:r>
              <w:rPr>
                <w:rFonts w:ascii="Arial" w:cs="Arial" w:eastAsia="Arial" w:hAnsi="Arial"/>
                <w:sz w:val="15"/>
                <w:szCs w:val="15"/>
                <w:color w:val="auto"/>
              </w:rPr>
              <w:t>and Chief Financial Officer</w:t>
            </w:r>
          </w:p>
        </w:tc>
      </w:tr>
      <w:tr>
        <w:trPr>
          <w:trHeight w:val="195"/>
        </w:trPr>
        <w:tc>
          <w:tcPr>
            <w:tcW w:w="2980" w:type="dxa"/>
            <w:vAlign w:val="bottom"/>
          </w:tcPr>
          <w:p>
            <w:pPr>
              <w:spacing w:after="0"/>
              <w:rPr>
                <w:sz w:val="16"/>
                <w:szCs w:val="16"/>
                <w:color w:val="auto"/>
              </w:rPr>
            </w:pPr>
          </w:p>
        </w:tc>
        <w:tc>
          <w:tcPr>
            <w:tcW w:w="6100" w:type="dxa"/>
            <w:vAlign w:val="bottom"/>
            <w:gridSpan w:val="3"/>
          </w:tcPr>
          <w:p>
            <w:pPr>
              <w:ind w:left="2720"/>
              <w:spacing w:after="0"/>
              <w:rPr>
                <w:sz w:val="20"/>
                <w:szCs w:val="20"/>
                <w:color w:val="auto"/>
              </w:rPr>
            </w:pPr>
            <w:r>
              <w:rPr>
                <w:rFonts w:ascii="Arial" w:cs="Arial" w:eastAsia="Arial" w:hAnsi="Arial"/>
                <w:sz w:val="15"/>
                <w:szCs w:val="15"/>
                <w:color w:val="auto"/>
                <w:w w:val="95"/>
              </w:rPr>
              <w:t>(duly authorized officer and principal financial officer)</w:t>
            </w:r>
          </w:p>
        </w:tc>
      </w:tr>
    </w:tbl>
    <w:p>
      <w:pPr>
        <w:sectPr>
          <w:pgSz w:w="11900" w:h="16838" w:orient="portrait"/>
          <w:cols w:equalWidth="0" w:num="1">
            <w:col w:w="11280"/>
          </w:cols>
          <w:pgMar w:left="240" w:top="331" w:right="37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80" w:type="dxa"/>
            <w:vAlign w:val="bottom"/>
          </w:tcPr>
          <w:p>
            <w:pPr>
              <w:ind w:left="1560"/>
              <w:spacing w:after="0"/>
              <w:rPr>
                <w:sz w:val="20"/>
                <w:szCs w:val="20"/>
                <w:color w:val="auto"/>
              </w:rPr>
            </w:pPr>
            <w:r>
              <w:rPr>
                <w:rFonts w:ascii="Arial" w:cs="Arial" w:eastAsia="Arial" w:hAnsi="Arial"/>
                <w:sz w:val="15"/>
                <w:szCs w:val="15"/>
                <w:b w:val="1"/>
                <w:bCs w:val="1"/>
                <w:color w:val="auto"/>
              </w:rPr>
              <w:t>EXHIBIT INDEX</w:t>
            </w:r>
          </w:p>
        </w:tc>
      </w:tr>
      <w:tr>
        <w:trPr>
          <w:trHeight w:val="208"/>
        </w:trPr>
        <w:tc>
          <w:tcPr>
            <w:tcW w:w="1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tcPr>
          <w:p>
            <w:pPr>
              <w:spacing w:after="0"/>
              <w:rPr>
                <w:sz w:val="18"/>
                <w:szCs w:val="18"/>
                <w:color w:val="auto"/>
              </w:rPr>
            </w:pPr>
          </w:p>
        </w:tc>
      </w:tr>
      <w:tr>
        <w:trPr>
          <w:trHeight w:val="142"/>
        </w:trPr>
        <w:tc>
          <w:tcPr>
            <w:tcW w:w="1380" w:type="dxa"/>
            <w:vAlign w:val="bottom"/>
            <w:tcBorders>
              <w:bottom w:val="single" w:sz="8" w:color="auto"/>
            </w:tcBorders>
          </w:tcPr>
          <w:p>
            <w:pPr>
              <w:spacing w:after="0" w:line="142" w:lineRule="exact"/>
              <w:rPr>
                <w:sz w:val="20"/>
                <w:szCs w:val="20"/>
                <w:color w:val="auto"/>
              </w:rPr>
            </w:pPr>
            <w:r>
              <w:rPr>
                <w:rFonts w:ascii="Arial" w:cs="Arial" w:eastAsia="Arial" w:hAnsi="Arial"/>
                <w:sz w:val="15"/>
                <w:szCs w:val="15"/>
                <w:b w:val="1"/>
                <w:bCs w:val="1"/>
                <w:color w:val="auto"/>
              </w:rPr>
              <w:t>EXHIBIT NUMBER</w:t>
            </w:r>
          </w:p>
        </w:tc>
        <w:tc>
          <w:tcPr>
            <w:tcW w:w="1100" w:type="dxa"/>
            <w:vAlign w:val="bottom"/>
          </w:tcPr>
          <w:p>
            <w:pPr>
              <w:spacing w:after="0"/>
              <w:rPr>
                <w:sz w:val="12"/>
                <w:szCs w:val="12"/>
                <w:color w:val="auto"/>
              </w:rPr>
            </w:pPr>
          </w:p>
        </w:tc>
        <w:tc>
          <w:tcPr>
            <w:tcW w:w="1080" w:type="dxa"/>
            <w:vAlign w:val="bottom"/>
            <w:tcBorders>
              <w:bottom w:val="single" w:sz="8" w:color="auto"/>
            </w:tcBorders>
          </w:tcPr>
          <w:p>
            <w:pPr>
              <w:spacing w:after="0" w:line="142" w:lineRule="exact"/>
              <w:rPr>
                <w:sz w:val="20"/>
                <w:szCs w:val="20"/>
                <w:color w:val="auto"/>
              </w:rPr>
            </w:pPr>
            <w:r>
              <w:rPr>
                <w:rFonts w:ascii="Arial" w:cs="Arial" w:eastAsia="Arial" w:hAnsi="Arial"/>
                <w:sz w:val="15"/>
                <w:szCs w:val="15"/>
                <w:b w:val="1"/>
                <w:bCs w:val="1"/>
                <w:color w:val="auto"/>
              </w:rPr>
              <w:t>DESCRIPTION</w:t>
            </w:r>
          </w:p>
        </w:tc>
        <w:tc>
          <w:tcPr>
            <w:tcW w:w="7880" w:type="dxa"/>
            <w:vAlign w:val="bottom"/>
          </w:tcPr>
          <w:p>
            <w:pPr>
              <w:spacing w:after="0"/>
              <w:rPr>
                <w:sz w:val="12"/>
                <w:szCs w:val="12"/>
                <w:color w:val="auto"/>
              </w:rPr>
            </w:pPr>
          </w:p>
        </w:tc>
      </w:tr>
      <w:tr>
        <w:trPr>
          <w:trHeight w:val="226"/>
        </w:trPr>
        <w:tc>
          <w:tcPr>
            <w:tcW w:w="1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99.1</w:t>
            </w:r>
          </w:p>
        </w:tc>
        <w:tc>
          <w:tcPr>
            <w:tcW w:w="110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Press release dated December 6, 2007 related to the announcement of earnings (furnished herewith).</w:t>
            </w:r>
          </w:p>
        </w:tc>
      </w:tr>
      <w:tr>
        <w:trPr>
          <w:trHeight w:val="515"/>
        </w:trPr>
        <w:tc>
          <w:tcPr>
            <w:tcW w:w="13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276860</wp:posOffset>
            </wp:positionV>
            <wp:extent cx="727202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872490" cy="564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72490" cy="56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Investor Relations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5"/>
          <w:szCs w:val="15"/>
          <w:color w:val="auto"/>
        </w:rPr>
        <w:t>John Wright, Director, Investor Relations</w:t>
      </w:r>
    </w:p>
    <w:p>
      <w:pPr>
        <w:spacing w:after="0" w:line="12" w:lineRule="exact"/>
        <w:rPr>
          <w:sz w:val="20"/>
          <w:szCs w:val="20"/>
          <w:color w:val="auto"/>
        </w:rPr>
      </w:pPr>
    </w:p>
    <w:p>
      <w:pPr>
        <w:ind w:left="368" w:hanging="368"/>
        <w:spacing w:after="0"/>
        <w:tabs>
          <w:tab w:leader="none" w:pos="368"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887-8865, </w:t>
      </w:r>
      <w:r>
        <w:rPr>
          <w:rFonts w:ascii="Arial" w:cs="Arial" w:eastAsia="Arial" w:hAnsi="Arial"/>
          <w:sz w:val="15"/>
          <w:szCs w:val="15"/>
          <w:u w:val="single" w:color="auto"/>
          <w:color w:val="auto"/>
        </w:rPr>
        <w:t>invest@toro.com</w:t>
      </w:r>
    </w:p>
    <w:p>
      <w:pPr>
        <w:spacing w:after="0" w:line="20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Media Relations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5"/>
          <w:szCs w:val="15"/>
          <w:color w:val="auto"/>
        </w:rPr>
        <w:t>Connie Kotke, Manager, Corporate Communications</w:t>
      </w:r>
    </w:p>
    <w:p>
      <w:pPr>
        <w:spacing w:after="0" w:line="12" w:lineRule="exact"/>
        <w:rPr>
          <w:sz w:val="20"/>
          <w:szCs w:val="20"/>
          <w:color w:val="auto"/>
        </w:rPr>
      </w:pPr>
    </w:p>
    <w:p>
      <w:pPr>
        <w:ind w:left="8" w:right="9660" w:hanging="8"/>
        <w:spacing w:after="0" w:line="310" w:lineRule="auto"/>
        <w:tabs>
          <w:tab w:leader="none" w:pos="37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887-8984, </w:t>
      </w:r>
      <w:r>
        <w:rPr>
          <w:rFonts w:ascii="Arial" w:cs="Arial" w:eastAsia="Arial" w:hAnsi="Arial"/>
          <w:sz w:val="14"/>
          <w:szCs w:val="14"/>
          <w:u w:val="single" w:color="auto"/>
          <w:color w:val="auto"/>
        </w:rPr>
        <w:t>pr@toro.com</w:t>
      </w:r>
      <w:r>
        <w:rPr>
          <w:rFonts w:ascii="Arial" w:cs="Arial" w:eastAsia="Arial" w:hAnsi="Arial"/>
          <w:sz w:val="14"/>
          <w:szCs w:val="14"/>
          <w:color w:val="auto"/>
        </w:rPr>
        <w:t xml:space="preserve"> www.thetorocompany.com</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For Immediate Release</w:t>
      </w:r>
    </w:p>
    <w:p>
      <w:pPr>
        <w:spacing w:after="0" w:line="214" w:lineRule="exact"/>
        <w:rPr>
          <w:sz w:val="20"/>
          <w:szCs w:val="20"/>
          <w:color w:val="auto"/>
        </w:rPr>
      </w:pPr>
    </w:p>
    <w:p>
      <w:pPr>
        <w:ind w:left="8"/>
        <w:spacing w:after="0"/>
        <w:rPr>
          <w:sz w:val="20"/>
          <w:szCs w:val="20"/>
          <w:color w:val="auto"/>
        </w:rPr>
      </w:pPr>
      <w:r>
        <w:rPr>
          <w:rFonts w:ascii="Arial" w:cs="Arial" w:eastAsia="Arial" w:hAnsi="Arial"/>
          <w:sz w:val="15"/>
          <w:szCs w:val="15"/>
          <w:b w:val="1"/>
          <w:bCs w:val="1"/>
          <w:u w:val="single" w:color="auto"/>
          <w:color w:val="auto"/>
        </w:rPr>
        <w:t>TORO REPORTS RECORD FISCAL 2007 EARNINGS</w:t>
      </w:r>
    </w:p>
    <w:p>
      <w:pPr>
        <w:spacing w:after="0" w:line="29" w:lineRule="exact"/>
        <w:rPr>
          <w:sz w:val="20"/>
          <w:szCs w:val="20"/>
          <w:color w:val="auto"/>
        </w:rPr>
      </w:pPr>
    </w:p>
    <w:p>
      <w:pPr>
        <w:ind w:left="548" w:hanging="124"/>
        <w:spacing w:after="0"/>
        <w:tabs>
          <w:tab w:leader="none" w:pos="548"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Earnings Per Share Up 16.8 Percent to $3.40</w:t>
      </w:r>
    </w:p>
    <w:p>
      <w:pPr>
        <w:spacing w:after="0" w:line="12" w:lineRule="exact"/>
        <w:rPr>
          <w:rFonts w:ascii="Arial" w:cs="Arial" w:eastAsia="Arial" w:hAnsi="Arial"/>
          <w:sz w:val="15"/>
          <w:szCs w:val="15"/>
          <w:color w:val="auto"/>
        </w:rPr>
      </w:pPr>
    </w:p>
    <w:p>
      <w:pPr>
        <w:ind w:left="548" w:hanging="124"/>
        <w:spacing w:after="0"/>
        <w:tabs>
          <w:tab w:leader="none" w:pos="548" w:val="left"/>
        </w:tabs>
        <w:numPr>
          <w:ilvl w:val="0"/>
          <w:numId w:val="4"/>
        </w:numPr>
        <w:rPr>
          <w:rFonts w:ascii="Arial" w:cs="Arial" w:eastAsia="Arial" w:hAnsi="Arial"/>
          <w:sz w:val="15"/>
          <w:szCs w:val="15"/>
          <w:color w:val="auto"/>
        </w:rPr>
      </w:pPr>
      <w:r>
        <w:rPr>
          <w:rFonts w:ascii="Arial" w:cs="Arial" w:eastAsia="Arial" w:hAnsi="Arial"/>
          <w:sz w:val="15"/>
          <w:szCs w:val="15"/>
          <w:color w:val="auto"/>
        </w:rPr>
        <w:t>Board Raises Quarterly Dividend From $0.12 to $0.15 Per Common Share</w:t>
      </w:r>
    </w:p>
    <w:p>
      <w:pPr>
        <w:spacing w:after="0" w:line="12" w:lineRule="exact"/>
        <w:rPr>
          <w:rFonts w:ascii="Arial" w:cs="Arial" w:eastAsia="Arial" w:hAnsi="Arial"/>
          <w:sz w:val="15"/>
          <w:szCs w:val="15"/>
          <w:color w:val="auto"/>
        </w:rPr>
      </w:pPr>
    </w:p>
    <w:p>
      <w:pPr>
        <w:ind w:left="548" w:hanging="124"/>
        <w:spacing w:after="0"/>
        <w:tabs>
          <w:tab w:leader="none" w:pos="548" w:val="left"/>
        </w:tabs>
        <w:numPr>
          <w:ilvl w:val="0"/>
          <w:numId w:val="4"/>
        </w:numPr>
        <w:rPr>
          <w:rFonts w:ascii="Arial" w:cs="Arial" w:eastAsia="Arial" w:hAnsi="Arial"/>
          <w:sz w:val="15"/>
          <w:szCs w:val="15"/>
          <w:color w:val="auto"/>
        </w:rPr>
      </w:pPr>
      <w:r>
        <w:rPr>
          <w:rFonts w:ascii="Arial" w:cs="Arial" w:eastAsia="Arial" w:hAnsi="Arial"/>
          <w:sz w:val="15"/>
          <w:szCs w:val="15"/>
          <w:color w:val="auto"/>
        </w:rPr>
        <w:t>Company Announces Acquisition of Turf Guard™ Technology</w:t>
      </w:r>
    </w:p>
    <w:p>
      <w:pPr>
        <w:spacing w:after="0" w:line="210" w:lineRule="exact"/>
        <w:rPr>
          <w:sz w:val="20"/>
          <w:szCs w:val="20"/>
          <w:color w:val="auto"/>
        </w:rPr>
      </w:pPr>
    </w:p>
    <w:p>
      <w:pPr>
        <w:ind w:left="8" w:right="120"/>
        <w:spacing w:after="0" w:line="272" w:lineRule="auto"/>
        <w:rPr>
          <w:sz w:val="20"/>
          <w:szCs w:val="20"/>
          <w:color w:val="auto"/>
        </w:rPr>
      </w:pPr>
      <w:r>
        <w:rPr>
          <w:rFonts w:ascii="Arial" w:cs="Arial" w:eastAsia="Arial" w:hAnsi="Arial"/>
          <w:sz w:val="15"/>
          <w:szCs w:val="15"/>
          <w:color w:val="auto"/>
        </w:rPr>
        <w:t>BLOOMINGTON, Minn. (Dec. 6, 2007) – The Toro Company (NYSE: TTC) today reported record net sales and net earnings for the fiscal year ended October 31, 2007. Net earnings for the year totaled $142.4 million, or $3.40 per share, compared with net earnings of $129.1 million, or $2.91 per share, in fiscal 2006. Net sales for fiscal 2007 increased 2.2 percent to $1,876.9 million from $1,836 million last year.</w:t>
      </w:r>
    </w:p>
    <w:p>
      <w:pPr>
        <w:spacing w:after="0" w:line="176" w:lineRule="exact"/>
        <w:rPr>
          <w:sz w:val="20"/>
          <w:szCs w:val="20"/>
          <w:color w:val="auto"/>
        </w:rPr>
      </w:pPr>
    </w:p>
    <w:p>
      <w:pPr>
        <w:ind w:left="8" w:right="280"/>
        <w:spacing w:after="0" w:line="288" w:lineRule="auto"/>
        <w:rPr>
          <w:sz w:val="20"/>
          <w:szCs w:val="20"/>
          <w:color w:val="auto"/>
        </w:rPr>
      </w:pPr>
      <w:r>
        <w:rPr>
          <w:rFonts w:ascii="Arial" w:cs="Arial" w:eastAsia="Arial" w:hAnsi="Arial"/>
          <w:sz w:val="15"/>
          <w:szCs w:val="15"/>
          <w:color w:val="auto"/>
        </w:rPr>
        <w:t>For the fourth quarter ended October 31, 2007, Toro reported net earnings of $6.5 million, or $0.16 per share, on net sales of $332.5 million. In the comparable fiscal 2006 period, the company reported net earnings of $4.5 million, or $0.10 per share, on net sales of $329.5 million.</w:t>
      </w:r>
    </w:p>
    <w:p>
      <w:pPr>
        <w:spacing w:after="0" w:line="163" w:lineRule="exact"/>
        <w:rPr>
          <w:sz w:val="20"/>
          <w:szCs w:val="20"/>
          <w:color w:val="auto"/>
        </w:rPr>
      </w:pPr>
    </w:p>
    <w:p>
      <w:pPr>
        <w:ind w:left="8" w:right="100"/>
        <w:spacing w:after="0" w:line="288" w:lineRule="auto"/>
        <w:rPr>
          <w:sz w:val="20"/>
          <w:szCs w:val="20"/>
          <w:color w:val="auto"/>
        </w:rPr>
      </w:pPr>
      <w:r>
        <w:rPr>
          <w:rFonts w:ascii="Arial" w:cs="Arial" w:eastAsia="Arial" w:hAnsi="Arial"/>
          <w:sz w:val="15"/>
          <w:szCs w:val="15"/>
          <w:color w:val="auto"/>
        </w:rPr>
        <w:t>During fiscal 2007, continued strong cash flows enabled the company to use $202.3 million for share repurchases and dividend payments. Additionally, the company’s board of directors increased the quarterly dividend from $0.12 to $0.15 per common share, payable January 11, 2008 to shareholders of record on December 17, 2007.</w:t>
      </w:r>
    </w:p>
    <w:p>
      <w:pPr>
        <w:spacing w:after="0" w:line="163" w:lineRule="exact"/>
        <w:rPr>
          <w:sz w:val="20"/>
          <w:szCs w:val="20"/>
          <w:color w:val="auto"/>
        </w:rPr>
      </w:pPr>
    </w:p>
    <w:p>
      <w:pPr>
        <w:ind w:left="8" w:right="180"/>
        <w:spacing w:after="0" w:line="292" w:lineRule="auto"/>
        <w:rPr>
          <w:sz w:val="20"/>
          <w:szCs w:val="20"/>
          <w:color w:val="auto"/>
        </w:rPr>
      </w:pPr>
      <w:r>
        <w:rPr>
          <w:rFonts w:ascii="Arial" w:cs="Arial" w:eastAsia="Arial" w:hAnsi="Arial"/>
          <w:sz w:val="14"/>
          <w:szCs w:val="14"/>
          <w:color w:val="auto"/>
        </w:rPr>
        <w:t>“In challenging market conditions, our performance in fiscal 2007 highlights the strength and resiliency of our company,” said Michael J. Hoffman, chairman and chief executive officer. “We completed another record year of increased net sales and net earnings with solid growth in the worldwide professional segment. We believe these results indicate that Toro has outperformed in a soft market.” The company reported worldwide growth in its professional segment net sales which helped offset softness in the residential segment worldwide. International net sales increased 9.6 percent over 2006 and accounted for 29 percent of total net sales, an increase from 27 percent in 2006.</w:t>
      </w:r>
    </w:p>
    <w:p>
      <w:pPr>
        <w:spacing w:after="0" w:line="186" w:lineRule="exact"/>
        <w:rPr>
          <w:sz w:val="20"/>
          <w:szCs w:val="20"/>
          <w:color w:val="auto"/>
        </w:rPr>
      </w:pPr>
    </w:p>
    <w:p>
      <w:pPr>
        <w:jc w:val="center"/>
        <w:ind w:right="352"/>
        <w:spacing w:after="0"/>
        <w:rPr>
          <w:sz w:val="20"/>
          <w:szCs w:val="20"/>
          <w:color w:val="auto"/>
        </w:rPr>
      </w:pPr>
      <w:r>
        <w:rPr>
          <w:rFonts w:ascii="Arial" w:cs="Arial" w:eastAsia="Arial" w:hAnsi="Arial"/>
          <w:sz w:val="15"/>
          <w:szCs w:val="15"/>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202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528"/>
          </w:cols>
          <w:pgMar w:left="232" w:top="328" w:right="13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u w:val="single" w:color="auto"/>
          <w:color w:val="auto"/>
        </w:rPr>
        <w:t>SEGMENT RESULTS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Professional</w:t>
      </w:r>
    </w:p>
    <w:p>
      <w:pPr>
        <w:spacing w:after="0" w:line="29" w:lineRule="exact"/>
        <w:rPr>
          <w:sz w:val="20"/>
          <w:szCs w:val="20"/>
          <w:color w:val="auto"/>
        </w:rPr>
      </w:pPr>
    </w:p>
    <w:p>
      <w:pPr>
        <w:jc w:val="both"/>
        <w:ind w:left="540" w:hanging="147"/>
        <w:spacing w:after="0" w:line="275" w:lineRule="auto"/>
        <w:tabs>
          <w:tab w:leader="none" w:pos="54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Professional segment net sales for fiscal 2007 increased 3.7 percent to $1,270.5 million. Increases in worldwide net sales of equipment and irrigation systems to the sports field and grounds and golf markets were driven by strong acceptance of new products. Additionally, the acquisition of Rain Master™ and currency effects contributed to this increase. Partially offsetting this increase were field inventory reductions of landscape contractor products resulting in modest declines in the sale of these products.</w:t>
      </w:r>
    </w:p>
    <w:p>
      <w:pPr>
        <w:ind w:left="540" w:hanging="147"/>
        <w:spacing w:after="0"/>
        <w:tabs>
          <w:tab w:leader="none" w:pos="540" w:val="left"/>
        </w:tabs>
        <w:numPr>
          <w:ilvl w:val="0"/>
          <w:numId w:val="5"/>
        </w:numPr>
        <w:rPr>
          <w:rFonts w:ascii="Arial" w:cs="Arial" w:eastAsia="Arial" w:hAnsi="Arial"/>
          <w:sz w:val="15"/>
          <w:szCs w:val="15"/>
          <w:b w:val="1"/>
          <w:bCs w:val="1"/>
          <w:color w:val="auto"/>
        </w:rPr>
      </w:pPr>
      <w:r>
        <w:rPr>
          <w:rFonts w:ascii="Arial" w:cs="Arial" w:eastAsia="Arial" w:hAnsi="Arial"/>
          <w:sz w:val="15"/>
          <w:szCs w:val="15"/>
          <w:color w:val="auto"/>
        </w:rPr>
        <w:t>Professional segment earnings for fiscal 2007 increased 11.6 percent to $254.2 million.</w:t>
      </w:r>
    </w:p>
    <w:p>
      <w:pPr>
        <w:spacing w:after="0" w:line="12" w:lineRule="exact"/>
        <w:rPr>
          <w:rFonts w:ascii="Arial" w:cs="Arial" w:eastAsia="Arial" w:hAnsi="Arial"/>
          <w:sz w:val="15"/>
          <w:szCs w:val="15"/>
          <w:b w:val="1"/>
          <w:bCs w:val="1"/>
          <w:color w:val="auto"/>
        </w:rPr>
      </w:pPr>
    </w:p>
    <w:p>
      <w:pPr>
        <w:ind w:left="540" w:hanging="147"/>
        <w:spacing w:after="0"/>
        <w:tabs>
          <w:tab w:leader="none" w:pos="540" w:val="left"/>
        </w:tabs>
        <w:numPr>
          <w:ilvl w:val="0"/>
          <w:numId w:val="5"/>
        </w:numPr>
        <w:rPr>
          <w:rFonts w:ascii="Arial" w:cs="Arial" w:eastAsia="Arial" w:hAnsi="Arial"/>
          <w:sz w:val="15"/>
          <w:szCs w:val="15"/>
          <w:b w:val="1"/>
          <w:bCs w:val="1"/>
          <w:color w:val="auto"/>
        </w:rPr>
      </w:pPr>
      <w:r>
        <w:rPr>
          <w:rFonts w:ascii="Arial" w:cs="Arial" w:eastAsia="Arial" w:hAnsi="Arial"/>
          <w:sz w:val="15"/>
          <w:szCs w:val="15"/>
          <w:color w:val="auto"/>
        </w:rPr>
        <w:t>For the fiscal 2007 fourth quarter, professional segment net sales totaled $218.2 million compared with $212.3 million in the fiscal 2006 fourth quarter.</w:t>
      </w:r>
    </w:p>
    <w:p>
      <w:pPr>
        <w:spacing w:after="0" w:line="12" w:lineRule="exact"/>
        <w:rPr>
          <w:rFonts w:ascii="Arial" w:cs="Arial" w:eastAsia="Arial" w:hAnsi="Arial"/>
          <w:sz w:val="15"/>
          <w:szCs w:val="15"/>
          <w:b w:val="1"/>
          <w:bCs w:val="1"/>
          <w:color w:val="auto"/>
        </w:rPr>
      </w:pPr>
    </w:p>
    <w:p>
      <w:pPr>
        <w:ind w:left="540" w:hanging="147"/>
        <w:spacing w:after="0"/>
        <w:tabs>
          <w:tab w:leader="none" w:pos="540"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color w:val="auto"/>
        </w:rPr>
        <w:t>Professional segment earnings for the fiscal 2007 fourth quarter totaled $26.7 million compared with $20.5 million in the corresponding quarter last year.</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Residential</w:t>
      </w:r>
    </w:p>
    <w:p>
      <w:pPr>
        <w:spacing w:after="0" w:line="29" w:lineRule="exact"/>
        <w:rPr>
          <w:sz w:val="20"/>
          <w:szCs w:val="20"/>
          <w:color w:val="auto"/>
        </w:rPr>
      </w:pPr>
    </w:p>
    <w:p>
      <w:pPr>
        <w:ind w:left="540" w:right="20" w:hanging="147"/>
        <w:spacing w:after="0" w:line="257" w:lineRule="auto"/>
        <w:tabs>
          <w:tab w:leader="none" w:pos="54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Residential segment net sales for fiscal 2007 declined 0.6 percent to $563.5 million from $566.6 million in fiscal 2006. For the year, strong worldwide acceptance of new zero turn riding products and walk power mowers were more than offset by declines in sales of snowthrower and electric products.</w:t>
      </w:r>
    </w:p>
    <w:p>
      <w:pPr>
        <w:ind w:left="540" w:hanging="147"/>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Residential segment earnings for fiscal 2007 were $41.8 million, a 22.7 percent increase from $34.1 million in fiscal 2006.</w:t>
      </w:r>
    </w:p>
    <w:p>
      <w:pPr>
        <w:spacing w:after="0" w:line="12" w:lineRule="exact"/>
        <w:rPr>
          <w:rFonts w:ascii="Arial" w:cs="Arial" w:eastAsia="Arial" w:hAnsi="Arial"/>
          <w:sz w:val="15"/>
          <w:szCs w:val="15"/>
          <w:color w:val="auto"/>
        </w:rPr>
      </w:pPr>
    </w:p>
    <w:p>
      <w:pPr>
        <w:ind w:left="540" w:hanging="147"/>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the fiscal 2007 fourth quarter, residential segment net sales were $100.8 million compared to $102.9 million in the fiscal 2006 fourth quarter.</w:t>
      </w:r>
    </w:p>
    <w:p>
      <w:pPr>
        <w:spacing w:after="0" w:line="12" w:lineRule="exact"/>
        <w:rPr>
          <w:rFonts w:ascii="Arial" w:cs="Arial" w:eastAsia="Arial" w:hAnsi="Arial"/>
          <w:sz w:val="15"/>
          <w:szCs w:val="15"/>
          <w:color w:val="auto"/>
        </w:rPr>
      </w:pPr>
    </w:p>
    <w:p>
      <w:pPr>
        <w:ind w:left="540" w:hanging="147"/>
        <w:spacing w:after="0"/>
        <w:tabs>
          <w:tab w:leader="none" w:pos="540" w:val="left"/>
        </w:tabs>
        <w:numPr>
          <w:ilvl w:val="0"/>
          <w:numId w:val="6"/>
        </w:numPr>
        <w:rPr>
          <w:rFonts w:ascii="Arial" w:cs="Arial" w:eastAsia="Arial" w:hAnsi="Arial"/>
          <w:sz w:val="15"/>
          <w:szCs w:val="15"/>
          <w:i w:val="1"/>
          <w:iCs w:val="1"/>
          <w:color w:val="auto"/>
        </w:rPr>
      </w:pPr>
      <w:r>
        <w:rPr>
          <w:rFonts w:ascii="Arial" w:cs="Arial" w:eastAsia="Arial" w:hAnsi="Arial"/>
          <w:sz w:val="15"/>
          <w:szCs w:val="15"/>
          <w:color w:val="auto"/>
        </w:rPr>
        <w:t>Residential segment earnings for the fiscal 2007 fourth quarter were $1.5 million, compared to $0.9 million in the 2006 fourth quarter.</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REVIEW OF OPERATIONS</w:t>
      </w:r>
    </w:p>
    <w:p>
      <w:pPr>
        <w:spacing w:after="0" w:line="29"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Gross margin for fiscal 2007 was 36.1 percent compared with 35 percent in fiscal 2006. The improvement resulted from a larger percentage of professional segment products, selective price increases and cost reductions from ongoing lean efforts which was somewhat offset by increased commodity costs. For the fiscal 2007 fourth quarter, gross margin was 34.9 percent, up from 33.6 percent in the fiscal 2006 fourth quarter.</w:t>
      </w:r>
    </w:p>
    <w:p>
      <w:pPr>
        <w:spacing w:after="0" w:line="180" w:lineRule="exact"/>
        <w:rPr>
          <w:sz w:val="20"/>
          <w:szCs w:val="20"/>
          <w:color w:val="auto"/>
        </w:rPr>
      </w:pPr>
    </w:p>
    <w:p>
      <w:pPr>
        <w:ind w:right="260"/>
        <w:spacing w:after="0" w:line="288" w:lineRule="auto"/>
        <w:rPr>
          <w:sz w:val="20"/>
          <w:szCs w:val="20"/>
          <w:color w:val="auto"/>
        </w:rPr>
      </w:pPr>
      <w:r>
        <w:rPr>
          <w:rFonts w:ascii="Arial" w:cs="Arial" w:eastAsia="Arial" w:hAnsi="Arial"/>
          <w:sz w:val="15"/>
          <w:szCs w:val="15"/>
          <w:color w:val="auto"/>
        </w:rPr>
        <w:t>Selling, general and administrative (SG&amp;A) expenses were 24.2 percent in fiscal 2007, slightly higher than the 24 percent in the prior year. For the fiscal 2007 fourth quarter, SG&amp;A expenses were 31.9 percent compared to 30.4 percent in the same period last year.</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for the year was up $1.8 million or up 10 percent compared to the prior year.</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effective tax rate for 2007 was 33.2 percent compared with 33.0 percent in fiscal 2006.</w:t>
      </w:r>
    </w:p>
    <w:p>
      <w:pPr>
        <w:spacing w:after="0" w:line="220"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Accounts receivable at year end totaled $283.1 million, down 4 percent or $11.7 million from the end of fiscal 2006 on a net sales increase of 0.9 percent in the quarter. Net inventory at fiscal year end increased 5.3 percent, or $12.7 million, to $251.3 million due to lower-than-anticipated shipments in the fourth quarter. The company generated $183.6 million in cash flow from operations during fiscal 2007 compared to $190.3 million in fiscal 2006.</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BUSINESS OUTLOOK</w:t>
      </w:r>
    </w:p>
    <w:p>
      <w:pPr>
        <w:spacing w:after="0" w:line="2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Today, Toro announced the acquisition of Turf Guard Wireless Monitoring System technology to further strengthen its leadership position in the golf irrigation market. The acquisition is an important addition to the company’s precision irrigation strategy for the future. Turf Guard is designed to measure soil moisture, salinity and temperature through buried wireless sensors that transmit data to a web-based interface for analysis. It will provide a significant and competitive benefit to assist customers in the overall management of water application. Although Toro’s long-term strategy will benefit from the addition of this technology, revenue contributions in the short-term are not expected to be material.</w:t>
      </w:r>
    </w:p>
    <w:p>
      <w:pPr>
        <w:spacing w:after="0" w:line="166" w:lineRule="exact"/>
        <w:rPr>
          <w:sz w:val="20"/>
          <w:szCs w:val="20"/>
          <w:color w:val="auto"/>
        </w:rPr>
      </w:pPr>
    </w:p>
    <w:p>
      <w:pPr>
        <w:ind w:right="20"/>
        <w:spacing w:after="0" w:line="326" w:lineRule="auto"/>
        <w:rPr>
          <w:sz w:val="20"/>
          <w:szCs w:val="20"/>
          <w:color w:val="auto"/>
        </w:rPr>
      </w:pPr>
      <w:r>
        <w:rPr>
          <w:rFonts w:ascii="Arial" w:cs="Arial" w:eastAsia="Arial" w:hAnsi="Arial"/>
          <w:sz w:val="14"/>
          <w:szCs w:val="14"/>
          <w:color w:val="auto"/>
        </w:rPr>
        <w:t>Commenting on the outlook for 2008, Hoffman said, “While the challenging market conditions of 2007 are likely to continue, we believe we are well-positioned to deliver a year of solid returns. We also anticipate another year of share gains in 2008, supported by continued strong customer acceptance of innovative new products and a growing global presence.”</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The company currently expects to deliver a 9 to 11 percent increase in fiscal 2008 net earnings per share, on revenue growth of 3 to 5 percent. For its fiscal first quarter, typically a small revenue period, Toro expects to report net earnings of $0.40 to $0.45 per share.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Toro Company is a leading worldwide provider of outdoor maintenance and beautification products for home, recreation and commercial landscapes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27202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LIVE CONFERENCE CALL</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December 6, 2007 10:00 a.m. CST</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www.thetorocompany.com/invest</w:t>
      </w:r>
    </w:p>
    <w:p>
      <w:pPr>
        <w:spacing w:after="0" w:line="210" w:lineRule="exact"/>
        <w:rPr>
          <w:sz w:val="20"/>
          <w:szCs w:val="20"/>
          <w:color w:val="auto"/>
        </w:rPr>
      </w:pPr>
    </w:p>
    <w:p>
      <w:pPr>
        <w:ind w:right="560"/>
        <w:spacing w:after="0" w:line="272" w:lineRule="auto"/>
        <w:rPr>
          <w:sz w:val="20"/>
          <w:szCs w:val="20"/>
          <w:color w:val="auto"/>
        </w:rPr>
      </w:pPr>
      <w:r>
        <w:rPr>
          <w:rFonts w:ascii="Arial" w:cs="Arial" w:eastAsia="Arial" w:hAnsi="Arial"/>
          <w:sz w:val="15"/>
          <w:szCs w:val="15"/>
          <w:i w:val="1"/>
          <w:iCs w:val="1"/>
          <w:color w:val="auto"/>
        </w:rPr>
        <w:t>TheToro Company will conduct a conference call and webcast for investors beginning at 10:00 a.m. Central Time (CST) on December 6, 2007</w:t>
      </w:r>
      <w:r>
        <w:rPr>
          <w:rFonts w:ascii="Arial" w:cs="Arial" w:eastAsia="Arial" w:hAnsi="Arial"/>
          <w:sz w:val="15"/>
          <w:szCs w:val="15"/>
          <w:color w:val="auto"/>
        </w:rPr>
        <w:t>.</w:t>
      </w:r>
      <w:r>
        <w:rPr>
          <w:rFonts w:ascii="Arial" w:cs="Arial" w:eastAsia="Arial" w:hAnsi="Arial"/>
          <w:sz w:val="15"/>
          <w:szCs w:val="15"/>
          <w:i w:val="1"/>
          <w:iCs w:val="1"/>
          <w:color w:val="auto"/>
        </w:rPr>
        <w:t xml:space="preserve"> The webcast will be available at </w:t>
      </w:r>
      <w:r>
        <w:rPr>
          <w:rFonts w:ascii="Arial" w:cs="Arial" w:eastAsia="Arial" w:hAnsi="Arial"/>
          <w:sz w:val="15"/>
          <w:szCs w:val="15"/>
          <w:i w:val="1"/>
          <w:iCs w:val="1"/>
          <w:u w:val="single" w:color="auto"/>
          <w:color w:val="auto"/>
        </w:rPr>
        <w:t>www.streetevents.com</w:t>
      </w:r>
      <w:r>
        <w:rPr>
          <w:rFonts w:ascii="Arial" w:cs="Arial" w:eastAsia="Arial" w:hAnsi="Arial"/>
          <w:sz w:val="15"/>
          <w:szCs w:val="15"/>
          <w:i w:val="1"/>
          <w:iCs w:val="1"/>
          <w:color w:val="auto"/>
        </w:rPr>
        <w:t xml:space="preserve"> or at </w:t>
      </w:r>
      <w:r>
        <w:rPr>
          <w:rFonts w:ascii="Arial" w:cs="Arial" w:eastAsia="Arial" w:hAnsi="Arial"/>
          <w:sz w:val="15"/>
          <w:szCs w:val="15"/>
          <w:i w:val="1"/>
          <w:iCs w:val="1"/>
          <w:u w:val="single" w:color="auto"/>
          <w:color w:val="auto"/>
        </w:rPr>
        <w:t>www.thetorocompany.com/invest</w:t>
      </w:r>
      <w:r>
        <w:rPr>
          <w:rFonts w:ascii="Arial" w:cs="Arial" w:eastAsia="Arial" w:hAnsi="Arial"/>
          <w:sz w:val="15"/>
          <w:szCs w:val="15"/>
          <w:i w:val="1"/>
          <w:iCs w:val="1"/>
          <w:color w:val="auto"/>
        </w:rPr>
        <w:t>. Webcast participants will need to complete a brief registration form and should allocate extra time before the webcastbegins to register and, if necessary, download and install audio software.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SafeHarbor</w:t>
      </w:r>
    </w:p>
    <w:p>
      <w:pPr>
        <w:spacing w:after="0" w:line="29"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resins and other commodities; rising fuel and other costs of transportation; the impact of abnormal weather patterns and natural disasters; the level of growth in our markets, including the golf market; reduced government spending for grounds maintenance equipment due to reduced tax revenue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goals for our current three-year growth, profit and asset management initiative called “GrowLean” which is intended to improve our revenue growth, after-tax return on sales and working capital efficiency; our increased dependence on international sales and the risks attendant to international operations; interest rates and currency movements including, in particular, our exposure to foreign currency risk;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(Financial tables follow)</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27202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5"/>
          <w:szCs w:val="15"/>
          <w:b w:val="1"/>
          <w:bCs w:val="1"/>
          <w:color w:val="auto"/>
        </w:rPr>
        <w:t>THE TORO COMPANY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Earnings (Unaudited)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(Dollars and shares in thousands, except per-share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5"/>
          </w:tcPr>
          <w:p>
            <w:pPr>
              <w:jc w:val="right"/>
              <w:ind w:right="860"/>
              <w:spacing w:after="0"/>
              <w:rPr>
                <w:sz w:val="20"/>
                <w:szCs w:val="20"/>
                <w:color w:val="auto"/>
              </w:rPr>
            </w:pPr>
            <w:r>
              <w:rPr>
                <w:rFonts w:ascii="Arial" w:cs="Arial" w:eastAsia="Arial" w:hAnsi="Arial"/>
                <w:sz w:val="15"/>
                <w:szCs w:val="15"/>
                <w:color w:val="auto"/>
              </w:rPr>
              <w:t>Three Months Ended</w:t>
            </w:r>
          </w:p>
        </w:tc>
        <w:tc>
          <w:tcPr>
            <w:tcW w:w="120" w:type="dxa"/>
            <w:vAlign w:val="bottom"/>
          </w:tcPr>
          <w:p>
            <w:pPr>
              <w:spacing w:after="0"/>
              <w:rPr>
                <w:sz w:val="17"/>
                <w:szCs w:val="17"/>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5"/>
                <w:szCs w:val="15"/>
                <w:color w:val="auto"/>
              </w:rPr>
              <w:t>Fiscal Years Ended</w:t>
            </w:r>
          </w:p>
        </w:tc>
      </w:tr>
      <w:tr>
        <w:trPr>
          <w:trHeight w:val="168"/>
        </w:trPr>
        <w:tc>
          <w:tcPr>
            <w:tcW w:w="4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right"/>
              <w:ind w:right="420"/>
              <w:spacing w:after="0" w:line="169" w:lineRule="exact"/>
              <w:rPr>
                <w:sz w:val="20"/>
                <w:szCs w:val="20"/>
                <w:color w:val="auto"/>
              </w:rPr>
            </w:pPr>
            <w:r>
              <w:rPr>
                <w:rFonts w:ascii="Arial" w:cs="Arial" w:eastAsia="Arial" w:hAnsi="Arial"/>
                <w:sz w:val="15"/>
                <w:szCs w:val="15"/>
                <w:b w:val="1"/>
                <w:bCs w:val="1"/>
                <w:color w:val="auto"/>
                <w:w w:val="96"/>
              </w:rPr>
              <w:t>October 31,</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03"/>
              <w:spacing w:after="0" w:line="169" w:lineRule="exact"/>
              <w:rPr>
                <w:sz w:val="20"/>
                <w:szCs w:val="20"/>
                <w:color w:val="auto"/>
              </w:rPr>
            </w:pPr>
            <w:r>
              <w:rPr>
                <w:rFonts w:ascii="Arial" w:cs="Arial" w:eastAsia="Arial" w:hAnsi="Arial"/>
                <w:sz w:val="15"/>
                <w:szCs w:val="15"/>
                <w:b w:val="1"/>
                <w:bCs w:val="1"/>
                <w:color w:val="auto"/>
                <w:w w:val="96"/>
              </w:rPr>
              <w:t>October 31,</w:t>
            </w: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360"/>
              <w:spacing w:after="0" w:line="169" w:lineRule="exact"/>
              <w:rPr>
                <w:sz w:val="20"/>
                <w:szCs w:val="20"/>
                <w:color w:val="auto"/>
              </w:rPr>
            </w:pPr>
            <w:r>
              <w:rPr>
                <w:rFonts w:ascii="Arial" w:cs="Arial" w:eastAsia="Arial" w:hAnsi="Arial"/>
                <w:sz w:val="15"/>
                <w:szCs w:val="15"/>
                <w:b w:val="1"/>
                <w:bCs w:val="1"/>
                <w:color w:val="auto"/>
                <w:w w:val="92"/>
              </w:rPr>
              <w:t>October 31,</w:t>
            </w: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03"/>
              <w:spacing w:after="0" w:line="169" w:lineRule="exact"/>
              <w:rPr>
                <w:sz w:val="20"/>
                <w:szCs w:val="20"/>
                <w:color w:val="auto"/>
              </w:rPr>
            </w:pPr>
            <w:r>
              <w:rPr>
                <w:rFonts w:ascii="Arial" w:cs="Arial" w:eastAsia="Arial" w:hAnsi="Arial"/>
                <w:sz w:val="15"/>
                <w:szCs w:val="15"/>
                <w:b w:val="1"/>
                <w:bCs w:val="1"/>
                <w:color w:val="auto"/>
                <w:w w:val="96"/>
              </w:rPr>
              <w:t>October 31,</w:t>
            </w:r>
          </w:p>
        </w:tc>
        <w:tc>
          <w:tcPr>
            <w:tcW w:w="140" w:type="dxa"/>
            <w:vAlign w:val="bottom"/>
          </w:tcPr>
          <w:p>
            <w:pPr>
              <w:spacing w:after="0"/>
              <w:rPr>
                <w:sz w:val="14"/>
                <w:szCs w:val="14"/>
                <w:color w:val="auto"/>
              </w:rPr>
            </w:pPr>
          </w:p>
        </w:tc>
      </w:tr>
      <w:tr>
        <w:trPr>
          <w:trHeight w:val="204"/>
        </w:trPr>
        <w:tc>
          <w:tcPr>
            <w:tcW w:w="4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2006</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2007</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40" w:type="dxa"/>
            <w:vAlign w:val="bottom"/>
          </w:tcPr>
          <w:p>
            <w:pPr>
              <w:spacing w:after="0"/>
              <w:rPr>
                <w:sz w:val="17"/>
                <w:szCs w:val="17"/>
                <w:color w:val="auto"/>
              </w:rPr>
            </w:pPr>
          </w:p>
        </w:tc>
      </w:tr>
      <w:tr>
        <w:trPr>
          <w:trHeight w:val="185"/>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332,456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329,486</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1,876,904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1,835,991</w:t>
            </w:r>
          </w:p>
        </w:tc>
        <w:tc>
          <w:tcPr>
            <w:tcW w:w="140" w:type="dxa"/>
            <w:vAlign w:val="bottom"/>
            <w:shd w:val="clear" w:color="auto" w:fill="CCEEFF"/>
          </w:tcPr>
          <w:p>
            <w:pPr>
              <w:spacing w:after="0"/>
              <w:rPr>
                <w:sz w:val="16"/>
                <w:szCs w:val="16"/>
                <w:color w:val="auto"/>
              </w:rPr>
            </w:pPr>
          </w:p>
        </w:tc>
      </w:tr>
      <w:tr>
        <w:trPr>
          <w:trHeight w:val="185"/>
        </w:trPr>
        <w:tc>
          <w:tcPr>
            <w:tcW w:w="4500" w:type="dxa"/>
            <w:vAlign w:val="bottom"/>
          </w:tcPr>
          <w:p>
            <w:pPr>
              <w:spacing w:after="0"/>
              <w:rPr>
                <w:sz w:val="20"/>
                <w:szCs w:val="20"/>
                <w:color w:val="auto"/>
              </w:rPr>
            </w:pPr>
            <w:r>
              <w:rPr>
                <w:rFonts w:ascii="Arial" w:cs="Arial" w:eastAsia="Arial" w:hAnsi="Arial"/>
                <w:sz w:val="15"/>
                <w:szCs w:val="15"/>
                <w:color w:val="auto"/>
              </w:rPr>
              <w:t>Gross profit</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116,151</w:t>
            </w:r>
          </w:p>
        </w:tc>
        <w:tc>
          <w:tcPr>
            <w:tcW w:w="1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110,850</w:t>
            </w:r>
          </w:p>
        </w:tc>
        <w:tc>
          <w:tcPr>
            <w:tcW w:w="12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678,375</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643,316</w:t>
            </w:r>
          </w:p>
        </w:tc>
      </w:tr>
      <w:tr>
        <w:trPr>
          <w:trHeight w:val="185"/>
        </w:trPr>
        <w:tc>
          <w:tcPr>
            <w:tcW w:w="45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Gross profit percent</w:t>
            </w:r>
          </w:p>
        </w:tc>
        <w:tc>
          <w:tcPr>
            <w:tcW w:w="1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34.9%</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33.6%</w:t>
            </w:r>
          </w:p>
        </w:tc>
        <w:tc>
          <w:tcPr>
            <w:tcW w:w="12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36.1%</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35.0%</w:t>
            </w:r>
          </w:p>
        </w:tc>
      </w:tr>
      <w:tr>
        <w:trPr>
          <w:trHeight w:val="185"/>
        </w:trPr>
        <w:tc>
          <w:tcPr>
            <w:tcW w:w="4500" w:type="dxa"/>
            <w:vAlign w:val="bottom"/>
          </w:tcPr>
          <w:p>
            <w:pPr>
              <w:spacing w:after="0"/>
              <w:rPr>
                <w:sz w:val="20"/>
                <w:szCs w:val="20"/>
                <w:color w:val="auto"/>
              </w:rPr>
            </w:pPr>
            <w:r>
              <w:rPr>
                <w:rFonts w:ascii="Arial" w:cs="Arial" w:eastAsia="Arial" w:hAnsi="Arial"/>
                <w:sz w:val="15"/>
                <w:szCs w:val="15"/>
                <w:color w:val="auto"/>
              </w:rPr>
              <w:t>Selling, general, and administrative expense</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106,004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100,311</w:t>
            </w:r>
          </w:p>
        </w:tc>
        <w:tc>
          <w:tcPr>
            <w:tcW w:w="12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454,726</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440,440</w:t>
            </w:r>
          </w:p>
        </w:tc>
      </w:tr>
      <w:tr>
        <w:trPr>
          <w:trHeight w:val="23"/>
        </w:trPr>
        <w:tc>
          <w:tcPr>
            <w:tcW w:w="4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5"/>
        </w:trPr>
        <w:tc>
          <w:tcPr>
            <w:tcW w:w="45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Earnings from operations</w:t>
            </w:r>
          </w:p>
        </w:tc>
        <w:tc>
          <w:tcPr>
            <w:tcW w:w="1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10,147</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10,539</w:t>
            </w:r>
          </w:p>
        </w:tc>
        <w:tc>
          <w:tcPr>
            <w:tcW w:w="12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223,649</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202,876</w:t>
            </w:r>
          </w:p>
        </w:tc>
      </w:tr>
      <w:tr>
        <w:trPr>
          <w:trHeight w:val="185"/>
        </w:trPr>
        <w:tc>
          <w:tcPr>
            <w:tcW w:w="4500" w:type="dxa"/>
            <w:vAlign w:val="bottom"/>
          </w:tcPr>
          <w:p>
            <w:pPr>
              <w:spacing w:after="0"/>
              <w:rPr>
                <w:sz w:val="20"/>
                <w:szCs w:val="20"/>
                <w:color w:val="auto"/>
              </w:rPr>
            </w:pPr>
            <w:r>
              <w:rPr>
                <w:rFonts w:ascii="Arial" w:cs="Arial" w:eastAsia="Arial" w:hAnsi="Arial"/>
                <w:sz w:val="15"/>
                <w:szCs w:val="15"/>
                <w:color w:val="auto"/>
              </w:rPr>
              <w:t>Interest expense</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(4,210)</w:t>
            </w:r>
          </w:p>
        </w:tc>
        <w:tc>
          <w:tcPr>
            <w:tcW w:w="12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(3,575)</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(19,445)</w:t>
            </w: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(17,672)</w:t>
            </w:r>
          </w:p>
        </w:tc>
      </w:tr>
      <w:tr>
        <w:trPr>
          <w:trHeight w:val="185"/>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Other income, net</w:t>
            </w:r>
          </w:p>
        </w:tc>
        <w:tc>
          <w:tcPr>
            <w:tcW w:w="1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3,202</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1,462</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9,023</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7,550</w:t>
            </w:r>
          </w:p>
        </w:tc>
      </w:tr>
      <w:tr>
        <w:trPr>
          <w:trHeight w:val="23"/>
        </w:trPr>
        <w:tc>
          <w:tcPr>
            <w:tcW w:w="45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85"/>
        </w:trPr>
        <w:tc>
          <w:tcPr>
            <w:tcW w:w="4500" w:type="dxa"/>
            <w:vAlign w:val="bottom"/>
          </w:tcPr>
          <w:p>
            <w:pPr>
              <w:ind w:left="400"/>
              <w:spacing w:after="0"/>
              <w:rPr>
                <w:sz w:val="20"/>
                <w:szCs w:val="20"/>
                <w:color w:val="auto"/>
              </w:rPr>
            </w:pPr>
            <w:r>
              <w:rPr>
                <w:rFonts w:ascii="Arial" w:cs="Arial" w:eastAsia="Arial" w:hAnsi="Arial"/>
                <w:sz w:val="15"/>
                <w:szCs w:val="15"/>
                <w:color w:val="auto"/>
              </w:rPr>
              <w:t>Earnings before income taxes</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9,139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8,426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213,227</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192,754</w:t>
            </w:r>
          </w:p>
        </w:tc>
      </w:tr>
      <w:tr>
        <w:trPr>
          <w:trHeight w:val="185"/>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2,605</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3,964</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70,791</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63,609</w:t>
            </w:r>
          </w:p>
        </w:tc>
      </w:tr>
      <w:tr>
        <w:trPr>
          <w:trHeight w:val="23"/>
        </w:trPr>
        <w:tc>
          <w:tcPr>
            <w:tcW w:w="45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85"/>
        </w:trPr>
        <w:tc>
          <w:tcPr>
            <w:tcW w:w="4500" w:type="dxa"/>
            <w:vAlign w:val="bottom"/>
          </w:tcPr>
          <w:p>
            <w:pPr>
              <w:ind w:left="400"/>
              <w:spacing w:after="0"/>
              <w:rPr>
                <w:sz w:val="20"/>
                <w:szCs w:val="20"/>
                <w:color w:val="auto"/>
              </w:rPr>
            </w:pPr>
            <w:r>
              <w:rPr>
                <w:rFonts w:ascii="Arial" w:cs="Arial" w:eastAsia="Arial" w:hAnsi="Arial"/>
                <w:sz w:val="15"/>
                <w:szCs w:val="15"/>
                <w:color w:val="auto"/>
              </w:rPr>
              <w:t>Net earnings</w:t>
            </w:r>
          </w:p>
        </w:tc>
        <w:tc>
          <w:tcPr>
            <w:tcW w:w="15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6,534</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4,462</w:t>
            </w:r>
          </w:p>
        </w:tc>
        <w:tc>
          <w:tcPr>
            <w:tcW w:w="26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142,436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129,145</w:t>
            </w:r>
          </w:p>
        </w:tc>
      </w:tr>
      <w:tr>
        <w:trPr>
          <w:trHeight w:val="20"/>
        </w:trPr>
        <w:tc>
          <w:tcPr>
            <w:tcW w:w="4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1"/>
        </w:trPr>
        <w:tc>
          <w:tcPr>
            <w:tcW w:w="45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5"/>
        </w:trPr>
        <w:tc>
          <w:tcPr>
            <w:tcW w:w="4500" w:type="dxa"/>
            <w:vAlign w:val="bottom"/>
          </w:tcPr>
          <w:p>
            <w:pPr>
              <w:spacing w:after="0"/>
              <w:rPr>
                <w:sz w:val="20"/>
                <w:szCs w:val="20"/>
                <w:color w:val="auto"/>
              </w:rPr>
            </w:pPr>
            <w:r>
              <w:rPr>
                <w:rFonts w:ascii="Arial" w:cs="Arial" w:eastAsia="Arial" w:hAnsi="Arial"/>
                <w:sz w:val="15"/>
                <w:szCs w:val="15"/>
                <w:color w:val="auto"/>
              </w:rPr>
              <w:t>Basic net earnings per share</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.11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3.01</w:t>
            </w:r>
          </w:p>
        </w:tc>
      </w:tr>
      <w:tr>
        <w:trPr>
          <w:trHeight w:val="20"/>
        </w:trPr>
        <w:tc>
          <w:tcPr>
            <w:tcW w:w="4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1"/>
        </w:trPr>
        <w:tc>
          <w:tcPr>
            <w:tcW w:w="45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5"/>
        </w:trPr>
        <w:tc>
          <w:tcPr>
            <w:tcW w:w="4500" w:type="dxa"/>
            <w:vAlign w:val="bottom"/>
          </w:tcPr>
          <w:p>
            <w:pPr>
              <w:ind w:left="140"/>
              <w:spacing w:after="0"/>
              <w:rPr>
                <w:sz w:val="20"/>
                <w:szCs w:val="20"/>
                <w:color w:val="auto"/>
              </w:rPr>
            </w:pPr>
            <w:r>
              <w:rPr>
                <w:rFonts w:ascii="Arial" w:cs="Arial" w:eastAsia="Arial" w:hAnsi="Arial"/>
                <w:sz w:val="15"/>
                <w:szCs w:val="15"/>
                <w:color w:val="auto"/>
              </w:rPr>
              <w:t>Diluted net earnings per share</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w:t>
            </w:r>
          </w:p>
        </w:tc>
        <w:tc>
          <w:tcPr>
            <w:tcW w:w="26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2.91</w:t>
            </w:r>
          </w:p>
        </w:tc>
      </w:tr>
      <w:tr>
        <w:trPr>
          <w:trHeight w:val="20"/>
        </w:trPr>
        <w:tc>
          <w:tcPr>
            <w:tcW w:w="4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1"/>
        </w:trPr>
        <w:tc>
          <w:tcPr>
            <w:tcW w:w="45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4"/>
        </w:trPr>
        <w:tc>
          <w:tcPr>
            <w:tcW w:w="4500" w:type="dxa"/>
            <w:vAlign w:val="bottom"/>
          </w:tcPr>
          <w:p>
            <w:pPr>
              <w:spacing w:after="0"/>
              <w:rPr>
                <w:sz w:val="20"/>
                <w:szCs w:val="20"/>
                <w:color w:val="auto"/>
              </w:rPr>
            </w:pPr>
            <w:r>
              <w:rPr>
                <w:rFonts w:ascii="Arial" w:cs="Arial" w:eastAsia="Arial" w:hAnsi="Arial"/>
                <w:sz w:val="15"/>
                <w:szCs w:val="15"/>
                <w:color w:val="auto"/>
              </w:rPr>
              <w:t>Weighted average number of shares of common</w:t>
            </w: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5"/>
        </w:trPr>
        <w:tc>
          <w:tcPr>
            <w:tcW w:w="4500" w:type="dxa"/>
            <w:vAlign w:val="bottom"/>
          </w:tcPr>
          <w:p>
            <w:pPr>
              <w:ind w:left="140"/>
              <w:spacing w:after="0"/>
              <w:rPr>
                <w:sz w:val="20"/>
                <w:szCs w:val="20"/>
                <w:color w:val="auto"/>
              </w:rPr>
            </w:pPr>
            <w:r>
              <w:rPr>
                <w:rFonts w:ascii="Arial" w:cs="Arial" w:eastAsia="Arial" w:hAnsi="Arial"/>
                <w:sz w:val="15"/>
                <w:szCs w:val="15"/>
                <w:color w:val="auto"/>
              </w:rPr>
              <w:t>stock outstanding – Basic</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39,900</w:t>
            </w:r>
          </w:p>
        </w:tc>
        <w:tc>
          <w:tcPr>
            <w:tcW w:w="1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41,654</w:t>
            </w:r>
          </w:p>
        </w:tc>
        <w:tc>
          <w:tcPr>
            <w:tcW w:w="12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40,682</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42,887</w:t>
            </w:r>
          </w:p>
        </w:tc>
      </w:tr>
      <w:tr>
        <w:trPr>
          <w:trHeight w:val="185"/>
        </w:trPr>
        <w:tc>
          <w:tcPr>
            <w:tcW w:w="45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74"/>
        </w:trPr>
        <w:tc>
          <w:tcPr>
            <w:tcW w:w="4500" w:type="dxa"/>
            <w:vAlign w:val="bottom"/>
          </w:tcPr>
          <w:p>
            <w:pPr>
              <w:spacing w:after="0"/>
              <w:rPr>
                <w:sz w:val="20"/>
                <w:szCs w:val="20"/>
                <w:color w:val="auto"/>
              </w:rPr>
            </w:pPr>
            <w:r>
              <w:rPr>
                <w:rFonts w:ascii="Arial" w:cs="Arial" w:eastAsia="Arial" w:hAnsi="Arial"/>
                <w:sz w:val="15"/>
                <w:szCs w:val="15"/>
                <w:color w:val="auto"/>
              </w:rPr>
              <w:t>Weighted average number of shares of common</w:t>
            </w: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5"/>
        </w:trPr>
        <w:tc>
          <w:tcPr>
            <w:tcW w:w="4500" w:type="dxa"/>
            <w:vAlign w:val="bottom"/>
          </w:tcPr>
          <w:p>
            <w:pPr>
              <w:ind w:left="140"/>
              <w:spacing w:after="0"/>
              <w:rPr>
                <w:sz w:val="20"/>
                <w:szCs w:val="20"/>
                <w:color w:val="auto"/>
              </w:rPr>
            </w:pPr>
            <w:r>
              <w:rPr>
                <w:rFonts w:ascii="Arial" w:cs="Arial" w:eastAsia="Arial" w:hAnsi="Arial"/>
                <w:sz w:val="15"/>
                <w:szCs w:val="15"/>
                <w:color w:val="auto"/>
              </w:rPr>
              <w:t>stock outstanding – Dilutive</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41,090</w:t>
            </w:r>
          </w:p>
        </w:tc>
        <w:tc>
          <w:tcPr>
            <w:tcW w:w="1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43,007</w:t>
            </w:r>
          </w:p>
        </w:tc>
        <w:tc>
          <w:tcPr>
            <w:tcW w:w="12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41,864</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44,344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27202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5"/>
          <w:szCs w:val="15"/>
          <w:b w:val="1"/>
          <w:bCs w:val="1"/>
          <w:color w:val="auto"/>
        </w:rPr>
        <w:t>THE TORO COMPANY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Segment Data (Unaudited)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ind w:left="500"/>
              <w:spacing w:after="0"/>
              <w:rPr>
                <w:sz w:val="20"/>
                <w:szCs w:val="20"/>
                <w:color w:val="auto"/>
              </w:rPr>
            </w:pPr>
            <w:r>
              <w:rPr>
                <w:rFonts w:ascii="Arial" w:cs="Arial" w:eastAsia="Arial" w:hAnsi="Arial"/>
                <w:sz w:val="15"/>
                <w:szCs w:val="15"/>
                <w:color w:val="auto"/>
              </w:rPr>
              <w:t>Three Months Ended</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jc w:val="right"/>
              <w:ind w:right="583"/>
              <w:spacing w:after="0"/>
              <w:rPr>
                <w:sz w:val="20"/>
                <w:szCs w:val="20"/>
                <w:color w:val="auto"/>
              </w:rPr>
            </w:pPr>
            <w:r>
              <w:rPr>
                <w:rFonts w:ascii="Arial" w:cs="Arial" w:eastAsia="Arial" w:hAnsi="Arial"/>
                <w:sz w:val="15"/>
                <w:szCs w:val="15"/>
                <w:color w:val="auto"/>
              </w:rPr>
              <w:t>Fiscal Years Ended</w:t>
            </w:r>
          </w:p>
        </w:tc>
        <w:tc>
          <w:tcPr>
            <w:tcW w:w="100" w:type="dxa"/>
            <w:vAlign w:val="bottom"/>
          </w:tcPr>
          <w:p>
            <w:pPr>
              <w:spacing w:after="0"/>
              <w:rPr>
                <w:sz w:val="17"/>
                <w:szCs w:val="17"/>
                <w:color w:val="auto"/>
              </w:rPr>
            </w:pPr>
          </w:p>
        </w:tc>
      </w:tr>
      <w:tr>
        <w:trPr>
          <w:trHeight w:val="191"/>
        </w:trPr>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October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October 31,</w:t>
            </w:r>
          </w:p>
        </w:tc>
        <w:tc>
          <w:tcPr>
            <w:tcW w:w="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October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October 31,</w:t>
            </w:r>
          </w:p>
        </w:tc>
      </w:tr>
      <w:tr>
        <w:trPr>
          <w:trHeight w:val="167"/>
        </w:trPr>
        <w:tc>
          <w:tcPr>
            <w:tcW w:w="3160" w:type="dxa"/>
            <w:vAlign w:val="bottom"/>
            <w:gridSpan w:val="4"/>
          </w:tcPr>
          <w:p>
            <w:pPr>
              <w:spacing w:after="0" w:line="167" w:lineRule="exact"/>
              <w:rPr>
                <w:sz w:val="20"/>
                <w:szCs w:val="20"/>
                <w:color w:val="auto"/>
              </w:rPr>
            </w:pPr>
            <w:r>
              <w:rPr>
                <w:rFonts w:ascii="Arial" w:cs="Arial" w:eastAsia="Arial" w:hAnsi="Arial"/>
                <w:sz w:val="15"/>
                <w:szCs w:val="15"/>
                <w:b w:val="1"/>
                <w:bCs w:val="1"/>
                <w:color w:val="auto"/>
              </w:rPr>
              <w:t>Segment Net Sales</w:t>
            </w: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3"/>
              <w:spacing w:after="0" w:line="167" w:lineRule="exact"/>
              <w:rPr>
                <w:sz w:val="20"/>
                <w:szCs w:val="20"/>
                <w:color w:val="auto"/>
              </w:rPr>
            </w:pPr>
            <w:r>
              <w:rPr>
                <w:rFonts w:ascii="Arial" w:cs="Arial" w:eastAsia="Arial" w:hAnsi="Arial"/>
                <w:sz w:val="15"/>
                <w:szCs w:val="15"/>
                <w:b w:val="1"/>
                <w:bCs w:val="1"/>
                <w:color w:val="auto"/>
                <w:w w:val="95"/>
              </w:rPr>
              <w:t>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3"/>
              <w:spacing w:after="0" w:line="167" w:lineRule="exact"/>
              <w:rPr>
                <w:sz w:val="20"/>
                <w:szCs w:val="20"/>
                <w:color w:val="auto"/>
              </w:rPr>
            </w:pPr>
            <w:r>
              <w:rPr>
                <w:rFonts w:ascii="Arial" w:cs="Arial" w:eastAsia="Arial" w:hAnsi="Arial"/>
                <w:sz w:val="15"/>
                <w:szCs w:val="15"/>
                <w:b w:val="1"/>
                <w:bCs w:val="1"/>
                <w:color w:val="auto"/>
                <w:w w:val="89"/>
              </w:rPr>
              <w:t>2006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23"/>
              <w:spacing w:after="0" w:line="167" w:lineRule="exact"/>
              <w:rPr>
                <w:sz w:val="20"/>
                <w:szCs w:val="20"/>
                <w:color w:val="auto"/>
              </w:rPr>
            </w:pPr>
            <w:r>
              <w:rPr>
                <w:rFonts w:ascii="Arial" w:cs="Arial" w:eastAsia="Arial" w:hAnsi="Arial"/>
                <w:sz w:val="15"/>
                <w:szCs w:val="15"/>
                <w:b w:val="1"/>
                <w:bCs w:val="1"/>
                <w:color w:val="auto"/>
                <w:w w:val="89"/>
              </w:rPr>
              <w:t>2007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3"/>
              <w:spacing w:after="0" w:line="167" w:lineRule="exact"/>
              <w:rPr>
                <w:sz w:val="20"/>
                <w:szCs w:val="20"/>
                <w:color w:val="auto"/>
              </w:rPr>
            </w:pPr>
            <w:r>
              <w:rPr>
                <w:rFonts w:ascii="Arial" w:cs="Arial" w:eastAsia="Arial" w:hAnsi="Arial"/>
                <w:sz w:val="15"/>
                <w:szCs w:val="15"/>
                <w:b w:val="1"/>
                <w:bCs w:val="1"/>
                <w:color w:val="auto"/>
                <w:w w:val="89"/>
              </w:rPr>
              <w:t>2006</w:t>
            </w:r>
          </w:p>
        </w:tc>
        <w:tc>
          <w:tcPr>
            <w:tcW w:w="100" w:type="dxa"/>
            <w:vAlign w:val="bottom"/>
          </w:tcPr>
          <w:p>
            <w:pPr>
              <w:spacing w:after="0"/>
              <w:rPr>
                <w:sz w:val="14"/>
                <w:szCs w:val="14"/>
                <w:color w:val="auto"/>
              </w:rPr>
            </w:pPr>
          </w:p>
        </w:tc>
      </w:tr>
      <w:tr>
        <w:trPr>
          <w:trHeight w:val="20"/>
        </w:trPr>
        <w:tc>
          <w:tcPr>
            <w:tcW w:w="5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31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Professional</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218,159</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212,339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1,270,530</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1,224,775</w:t>
            </w:r>
          </w:p>
        </w:tc>
      </w:tr>
      <w:tr>
        <w:trPr>
          <w:trHeight w:val="185"/>
        </w:trPr>
        <w:tc>
          <w:tcPr>
            <w:tcW w:w="3160" w:type="dxa"/>
            <w:vAlign w:val="bottom"/>
            <w:gridSpan w:val="4"/>
          </w:tcPr>
          <w:p>
            <w:pPr>
              <w:spacing w:after="0"/>
              <w:rPr>
                <w:sz w:val="20"/>
                <w:szCs w:val="20"/>
                <w:color w:val="auto"/>
              </w:rPr>
            </w:pPr>
            <w:r>
              <w:rPr>
                <w:rFonts w:ascii="Arial" w:cs="Arial" w:eastAsia="Arial" w:hAnsi="Arial"/>
                <w:sz w:val="15"/>
                <w:szCs w:val="15"/>
                <w:color w:val="auto"/>
              </w:rPr>
              <w:t>Residential</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100,839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102,855</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563,524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566,641</w:t>
            </w:r>
          </w:p>
        </w:tc>
      </w:tr>
      <w:tr>
        <w:trPr>
          <w:trHeight w:val="185"/>
        </w:trPr>
        <w:tc>
          <w:tcPr>
            <w:tcW w:w="31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Other</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13,458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14,292</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42,850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44,575</w:t>
            </w:r>
          </w:p>
        </w:tc>
      </w:tr>
      <w:tr>
        <w:trPr>
          <w:trHeight w:val="23"/>
        </w:trPr>
        <w:tc>
          <w:tcPr>
            <w:tcW w:w="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3160" w:type="dxa"/>
            <w:vAlign w:val="bottom"/>
            <w:gridSpan w:val="4"/>
          </w:tcPr>
          <w:p>
            <w:pPr>
              <w:ind w:left="140"/>
              <w:spacing w:after="0"/>
              <w:rPr>
                <w:sz w:val="20"/>
                <w:szCs w:val="20"/>
                <w:color w:val="auto"/>
              </w:rPr>
            </w:pPr>
            <w:r>
              <w:rPr>
                <w:rFonts w:ascii="Arial" w:cs="Arial" w:eastAsia="Arial" w:hAnsi="Arial"/>
                <w:sz w:val="15"/>
                <w:szCs w:val="15"/>
                <w:color w:val="auto"/>
              </w:rPr>
              <w:t>Total *</w:t>
            </w:r>
          </w:p>
        </w:tc>
        <w:tc>
          <w:tcPr>
            <w:tcW w:w="3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332,456</w:t>
            </w:r>
          </w:p>
        </w:tc>
        <w:tc>
          <w:tcPr>
            <w:tcW w:w="12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329,486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1,876,904</w:t>
            </w:r>
          </w:p>
        </w:tc>
        <w:tc>
          <w:tcPr>
            <w:tcW w:w="12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1,835,991</w:t>
            </w:r>
          </w:p>
        </w:tc>
      </w:tr>
      <w:tr>
        <w:trPr>
          <w:trHeight w:val="20"/>
        </w:trPr>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5"/>
        </w:trPr>
        <w:tc>
          <w:tcPr>
            <w:tcW w:w="3160" w:type="dxa"/>
            <w:vAlign w:val="bottom"/>
            <w:gridSpan w:val="4"/>
          </w:tcPr>
          <w:p>
            <w:pPr>
              <w:spacing w:after="0"/>
              <w:rPr>
                <w:sz w:val="20"/>
                <w:szCs w:val="20"/>
                <w:color w:val="auto"/>
              </w:rPr>
            </w:pPr>
            <w:r>
              <w:rPr>
                <w:rFonts w:ascii="Arial" w:cs="Arial" w:eastAsia="Arial" w:hAnsi="Arial"/>
                <w:sz w:val="15"/>
                <w:szCs w:val="15"/>
                <w:color w:val="auto"/>
              </w:rPr>
              <w:t>* Includes international sales of</w:t>
            </w:r>
          </w:p>
        </w:tc>
        <w:tc>
          <w:tcPr>
            <w:tcW w:w="3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101,806</w:t>
            </w:r>
          </w:p>
        </w:tc>
        <w:tc>
          <w:tcPr>
            <w:tcW w:w="12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93,993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543,599</w:t>
            </w:r>
          </w:p>
        </w:tc>
        <w:tc>
          <w:tcPr>
            <w:tcW w:w="12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495,993</w:t>
            </w:r>
          </w:p>
        </w:tc>
      </w:tr>
      <w:tr>
        <w:trPr>
          <w:trHeight w:val="385"/>
        </w:trPr>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500"/>
              <w:spacing w:after="0"/>
              <w:rPr>
                <w:sz w:val="20"/>
                <w:szCs w:val="20"/>
                <w:color w:val="auto"/>
              </w:rPr>
            </w:pPr>
            <w:r>
              <w:rPr>
                <w:rFonts w:ascii="Arial" w:cs="Arial" w:eastAsia="Arial" w:hAnsi="Arial"/>
                <w:sz w:val="15"/>
                <w:szCs w:val="15"/>
                <w:color w:val="auto"/>
              </w:rPr>
              <w:t>Three Months Ended</w:t>
            </w: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83"/>
              <w:spacing w:after="0"/>
              <w:rPr>
                <w:sz w:val="20"/>
                <w:szCs w:val="20"/>
                <w:color w:val="auto"/>
              </w:rPr>
            </w:pPr>
            <w:r>
              <w:rPr>
                <w:rFonts w:ascii="Arial" w:cs="Arial" w:eastAsia="Arial" w:hAnsi="Arial"/>
                <w:sz w:val="15"/>
                <w:szCs w:val="15"/>
                <w:color w:val="auto"/>
              </w:rPr>
              <w:t>Fiscal Years Ended</w:t>
            </w:r>
          </w:p>
        </w:tc>
        <w:tc>
          <w:tcPr>
            <w:tcW w:w="100" w:type="dxa"/>
            <w:vAlign w:val="bottom"/>
          </w:tcPr>
          <w:p>
            <w:pPr>
              <w:spacing w:after="0"/>
              <w:rPr>
                <w:sz w:val="24"/>
                <w:szCs w:val="24"/>
                <w:color w:val="auto"/>
              </w:rPr>
            </w:pPr>
          </w:p>
        </w:tc>
      </w:tr>
      <w:tr>
        <w:trPr>
          <w:trHeight w:val="191"/>
        </w:trPr>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October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October 31,</w:t>
            </w:r>
          </w:p>
        </w:tc>
        <w:tc>
          <w:tcPr>
            <w:tcW w:w="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October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October 31,</w:t>
            </w:r>
          </w:p>
        </w:tc>
      </w:tr>
      <w:tr>
        <w:trPr>
          <w:trHeight w:val="167"/>
        </w:trPr>
        <w:tc>
          <w:tcPr>
            <w:tcW w:w="3160" w:type="dxa"/>
            <w:vAlign w:val="bottom"/>
            <w:gridSpan w:val="4"/>
          </w:tcPr>
          <w:p>
            <w:pPr>
              <w:spacing w:after="0" w:line="167" w:lineRule="exact"/>
              <w:rPr>
                <w:sz w:val="20"/>
                <w:szCs w:val="20"/>
                <w:color w:val="auto"/>
              </w:rPr>
            </w:pPr>
            <w:r>
              <w:rPr>
                <w:rFonts w:ascii="Arial" w:cs="Arial" w:eastAsia="Arial" w:hAnsi="Arial"/>
                <w:sz w:val="15"/>
                <w:szCs w:val="15"/>
                <w:b w:val="1"/>
                <w:bCs w:val="1"/>
                <w:color w:val="auto"/>
                <w:w w:val="93"/>
              </w:rPr>
              <w:t>Segment Earnings (Loss) Before Income Taxes</w:t>
            </w: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3"/>
              <w:spacing w:after="0" w:line="167" w:lineRule="exact"/>
              <w:rPr>
                <w:sz w:val="20"/>
                <w:szCs w:val="20"/>
                <w:color w:val="auto"/>
              </w:rPr>
            </w:pPr>
            <w:r>
              <w:rPr>
                <w:rFonts w:ascii="Arial" w:cs="Arial" w:eastAsia="Arial" w:hAnsi="Arial"/>
                <w:sz w:val="15"/>
                <w:szCs w:val="15"/>
                <w:b w:val="1"/>
                <w:bCs w:val="1"/>
                <w:color w:val="auto"/>
                <w:w w:val="95"/>
              </w:rPr>
              <w:t>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3"/>
              <w:spacing w:after="0" w:line="167" w:lineRule="exact"/>
              <w:rPr>
                <w:sz w:val="20"/>
                <w:szCs w:val="20"/>
                <w:color w:val="auto"/>
              </w:rPr>
            </w:pPr>
            <w:r>
              <w:rPr>
                <w:rFonts w:ascii="Arial" w:cs="Arial" w:eastAsia="Arial" w:hAnsi="Arial"/>
                <w:sz w:val="15"/>
                <w:szCs w:val="15"/>
                <w:b w:val="1"/>
                <w:bCs w:val="1"/>
                <w:color w:val="auto"/>
                <w:w w:val="89"/>
              </w:rPr>
              <w:t>2006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23"/>
              <w:spacing w:after="0" w:line="167" w:lineRule="exact"/>
              <w:rPr>
                <w:sz w:val="20"/>
                <w:szCs w:val="20"/>
                <w:color w:val="auto"/>
              </w:rPr>
            </w:pPr>
            <w:r>
              <w:rPr>
                <w:rFonts w:ascii="Arial" w:cs="Arial" w:eastAsia="Arial" w:hAnsi="Arial"/>
                <w:sz w:val="15"/>
                <w:szCs w:val="15"/>
                <w:b w:val="1"/>
                <w:bCs w:val="1"/>
                <w:color w:val="auto"/>
                <w:w w:val="89"/>
              </w:rPr>
              <w:t>2007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3"/>
              <w:spacing w:after="0" w:line="167" w:lineRule="exact"/>
              <w:rPr>
                <w:sz w:val="20"/>
                <w:szCs w:val="20"/>
                <w:color w:val="auto"/>
              </w:rPr>
            </w:pPr>
            <w:r>
              <w:rPr>
                <w:rFonts w:ascii="Arial" w:cs="Arial" w:eastAsia="Arial" w:hAnsi="Arial"/>
                <w:sz w:val="15"/>
                <w:szCs w:val="15"/>
                <w:b w:val="1"/>
                <w:bCs w:val="1"/>
                <w:color w:val="auto"/>
                <w:w w:val="89"/>
              </w:rPr>
              <w:t>2006</w:t>
            </w:r>
          </w:p>
        </w:tc>
        <w:tc>
          <w:tcPr>
            <w:tcW w:w="100" w:type="dxa"/>
            <w:vAlign w:val="bottom"/>
          </w:tcPr>
          <w:p>
            <w:pPr>
              <w:spacing w:after="0"/>
              <w:rPr>
                <w:sz w:val="14"/>
                <w:szCs w:val="14"/>
                <w:color w:val="auto"/>
              </w:rPr>
            </w:pPr>
          </w:p>
        </w:tc>
      </w:tr>
      <w:tr>
        <w:trPr>
          <w:trHeight w:val="20"/>
        </w:trPr>
        <w:tc>
          <w:tcPr>
            <w:tcW w:w="5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31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Professional</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26,701</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20,512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254,178</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227,692</w:t>
            </w:r>
          </w:p>
        </w:tc>
      </w:tr>
      <w:tr>
        <w:trPr>
          <w:trHeight w:val="185"/>
        </w:trPr>
        <w:tc>
          <w:tcPr>
            <w:tcW w:w="3160" w:type="dxa"/>
            <w:vAlign w:val="bottom"/>
            <w:gridSpan w:val="4"/>
          </w:tcPr>
          <w:p>
            <w:pPr>
              <w:spacing w:after="0"/>
              <w:rPr>
                <w:sz w:val="20"/>
                <w:szCs w:val="20"/>
                <w:color w:val="auto"/>
              </w:rPr>
            </w:pPr>
            <w:r>
              <w:rPr>
                <w:rFonts w:ascii="Arial" w:cs="Arial" w:eastAsia="Arial" w:hAnsi="Arial"/>
                <w:sz w:val="15"/>
                <w:szCs w:val="15"/>
                <w:color w:val="auto"/>
              </w:rPr>
              <w:t>Residential</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922</w:t>
            </w:r>
          </w:p>
        </w:tc>
        <w:tc>
          <w:tcPr>
            <w:tcW w:w="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41,828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34,094</w:t>
            </w:r>
          </w:p>
        </w:tc>
      </w:tr>
      <w:tr>
        <w:trPr>
          <w:trHeight w:val="185"/>
        </w:trPr>
        <w:tc>
          <w:tcPr>
            <w:tcW w:w="31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Other</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(19,075)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(13,008)</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(82,779)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(69,032)</w:t>
            </w:r>
          </w:p>
        </w:tc>
      </w:tr>
      <w:tr>
        <w:trPr>
          <w:trHeight w:val="23"/>
        </w:trPr>
        <w:tc>
          <w:tcPr>
            <w:tcW w:w="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3160" w:type="dxa"/>
            <w:vAlign w:val="bottom"/>
            <w:gridSpan w:val="4"/>
          </w:tcPr>
          <w:p>
            <w:pPr>
              <w:ind w:left="140"/>
              <w:spacing w:after="0"/>
              <w:rPr>
                <w:sz w:val="20"/>
                <w:szCs w:val="20"/>
                <w:color w:val="auto"/>
              </w:rPr>
            </w:pPr>
            <w:r>
              <w:rPr>
                <w:rFonts w:ascii="Arial" w:cs="Arial" w:eastAsia="Arial" w:hAnsi="Arial"/>
                <w:sz w:val="15"/>
                <w:szCs w:val="15"/>
                <w:color w:val="auto"/>
              </w:rPr>
              <w:t>Total</w:t>
            </w:r>
          </w:p>
        </w:tc>
        <w:tc>
          <w:tcPr>
            <w:tcW w:w="29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9,139</w:t>
            </w:r>
          </w:p>
        </w:tc>
        <w:tc>
          <w:tcPr>
            <w:tcW w:w="12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8,426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213,227</w:t>
            </w:r>
          </w:p>
        </w:tc>
        <w:tc>
          <w:tcPr>
            <w:tcW w:w="12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192,754</w:t>
            </w:r>
          </w:p>
        </w:tc>
      </w:tr>
      <w:tr>
        <w:trPr>
          <w:trHeight w:val="20"/>
        </w:trPr>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2"/>
        </w:trPr>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4"/>
          </w:tcPr>
          <w:p>
            <w:pPr>
              <w:jc w:val="center"/>
              <w:ind w:left="823"/>
              <w:spacing w:after="0"/>
              <w:rPr>
                <w:sz w:val="20"/>
                <w:szCs w:val="20"/>
                <w:color w:val="auto"/>
              </w:rPr>
            </w:pPr>
            <w:r>
              <w:rPr>
                <w:rFonts w:ascii="Arial" w:cs="Arial" w:eastAsia="Arial" w:hAnsi="Arial"/>
                <w:sz w:val="15"/>
                <w:szCs w:val="15"/>
                <w:b w:val="1"/>
                <w:bCs w:val="1"/>
                <w:color w:val="auto"/>
              </w:rPr>
              <w:t>THE TORO COMPANY AND SUBSIDIARIES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0" w:type="dxa"/>
            <w:vAlign w:val="bottom"/>
            <w:gridSpan w:val="6"/>
          </w:tcPr>
          <w:p>
            <w:pPr>
              <w:jc w:val="center"/>
              <w:ind w:left="643"/>
              <w:spacing w:after="0"/>
              <w:rPr>
                <w:sz w:val="20"/>
                <w:szCs w:val="20"/>
                <w:color w:val="auto"/>
              </w:rPr>
            </w:pPr>
            <w:r>
              <w:rPr>
                <w:rFonts w:ascii="Arial" w:cs="Arial" w:eastAsia="Arial" w:hAnsi="Arial"/>
                <w:sz w:val="15"/>
                <w:szCs w:val="15"/>
                <w:b w:val="1"/>
                <w:bCs w:val="1"/>
                <w:color w:val="auto"/>
                <w:w w:val="90"/>
              </w:rPr>
              <w:t>Condensed Consolidated Balance Sheets (Unaudited)</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gridSpan w:val="4"/>
          </w:tcPr>
          <w:p>
            <w:pPr>
              <w:jc w:val="center"/>
              <w:ind w:left="823"/>
              <w:spacing w:after="0"/>
              <w:rPr>
                <w:sz w:val="20"/>
                <w:szCs w:val="20"/>
                <w:color w:val="auto"/>
              </w:rPr>
            </w:pPr>
            <w:r>
              <w:rPr>
                <w:rFonts w:ascii="Arial" w:cs="Arial" w:eastAsia="Arial" w:hAnsi="Arial"/>
                <w:sz w:val="15"/>
                <w:szCs w:val="15"/>
                <w:b w:val="1"/>
                <w:bCs w:val="1"/>
                <w:color w:val="auto"/>
                <w:w w:val="92"/>
              </w:rPr>
              <w:t>(Dollars 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6"/>
        </w:trPr>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October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October 31,</w:t>
            </w:r>
          </w:p>
        </w:tc>
      </w:tr>
      <w:tr>
        <w:trPr>
          <w:trHeight w:val="204"/>
        </w:trPr>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9"/>
              </w:rPr>
              <w:t>2006</w:t>
            </w:r>
          </w:p>
        </w:tc>
        <w:tc>
          <w:tcPr>
            <w:tcW w:w="100" w:type="dxa"/>
            <w:vAlign w:val="bottom"/>
          </w:tcPr>
          <w:p>
            <w:pPr>
              <w:spacing w:after="0"/>
              <w:rPr>
                <w:sz w:val="17"/>
                <w:szCs w:val="17"/>
                <w:color w:val="auto"/>
              </w:rPr>
            </w:pPr>
          </w:p>
        </w:tc>
      </w:tr>
      <w:tr>
        <w:trPr>
          <w:trHeight w:val="173"/>
        </w:trPr>
        <w:tc>
          <w:tcPr>
            <w:tcW w:w="3160" w:type="dxa"/>
            <w:vAlign w:val="bottom"/>
            <w:gridSpan w:val="4"/>
          </w:tcPr>
          <w:p>
            <w:pPr>
              <w:spacing w:after="0"/>
              <w:rPr>
                <w:sz w:val="20"/>
                <w:szCs w:val="20"/>
                <w:color w:val="auto"/>
              </w:rPr>
            </w:pPr>
            <w:r>
              <w:rPr>
                <w:rFonts w:ascii="Arial" w:cs="Arial" w:eastAsia="Arial" w:hAnsi="Arial"/>
                <w:sz w:val="15"/>
                <w:szCs w:val="15"/>
                <w:color w:val="auto"/>
              </w:rPr>
              <w:t>ASSETS</w:t>
            </w: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
        </w:trPr>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2"/>
        </w:trPr>
        <w:tc>
          <w:tcPr>
            <w:tcW w:w="31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62,047</w:t>
            </w: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55,523</w:t>
            </w:r>
          </w:p>
        </w:tc>
      </w:tr>
      <w:tr>
        <w:trPr>
          <w:trHeight w:val="185"/>
        </w:trPr>
        <w:tc>
          <w:tcPr>
            <w:tcW w:w="3160" w:type="dxa"/>
            <w:vAlign w:val="bottom"/>
            <w:gridSpan w:val="4"/>
          </w:tcPr>
          <w:p>
            <w:pPr>
              <w:spacing w:after="0"/>
              <w:rPr>
                <w:sz w:val="20"/>
                <w:szCs w:val="20"/>
                <w:color w:val="auto"/>
              </w:rPr>
            </w:pPr>
            <w:r>
              <w:rPr>
                <w:rFonts w:ascii="Arial" w:cs="Arial" w:eastAsia="Arial" w:hAnsi="Arial"/>
                <w:sz w:val="15"/>
                <w:szCs w:val="15"/>
                <w:color w:val="auto"/>
              </w:rPr>
              <w:t>Receivables, net</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283,115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294,833</w:t>
            </w:r>
          </w:p>
        </w:tc>
      </w:tr>
      <w:tr>
        <w:trPr>
          <w:trHeight w:val="185"/>
        </w:trPr>
        <w:tc>
          <w:tcPr>
            <w:tcW w:w="31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Inventories, net</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251,275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238,544</w:t>
            </w:r>
          </w:p>
        </w:tc>
      </w:tr>
      <w:tr>
        <w:trPr>
          <w:trHeight w:val="185"/>
        </w:trPr>
        <w:tc>
          <w:tcPr>
            <w:tcW w:w="3160" w:type="dxa"/>
            <w:vAlign w:val="bottom"/>
            <w:gridSpan w:val="4"/>
          </w:tcPr>
          <w:p>
            <w:pPr>
              <w:spacing w:after="0"/>
              <w:rPr>
                <w:sz w:val="20"/>
                <w:szCs w:val="20"/>
                <w:color w:val="auto"/>
              </w:rPr>
            </w:pPr>
            <w:r>
              <w:rPr>
                <w:rFonts w:ascii="Arial" w:cs="Arial" w:eastAsia="Arial" w:hAnsi="Arial"/>
                <w:sz w:val="15"/>
                <w:szCs w:val="15"/>
                <w:color w:val="auto"/>
              </w:rPr>
              <w:t>Prepaid expenses and other current assets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10,677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9,437</w:t>
            </w:r>
          </w:p>
        </w:tc>
      </w:tr>
      <w:tr>
        <w:trPr>
          <w:trHeight w:val="188"/>
        </w:trPr>
        <w:tc>
          <w:tcPr>
            <w:tcW w:w="3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5"/>
                <w:szCs w:val="15"/>
                <w:color w:val="auto"/>
              </w:rPr>
              <w:t>Deferred income taxes</w:t>
            </w:r>
          </w:p>
        </w:tc>
        <w:tc>
          <w:tcPr>
            <w:tcW w:w="2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57,814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55,846</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8"/>
        </w:trPr>
        <w:tc>
          <w:tcPr>
            <w:tcW w:w="3160" w:type="dxa"/>
            <w:vAlign w:val="bottom"/>
            <w:gridSpan w:val="4"/>
          </w:tcPr>
          <w:p>
            <w:pPr>
              <w:ind w:left="260"/>
              <w:spacing w:after="0"/>
              <w:rPr>
                <w:sz w:val="20"/>
                <w:szCs w:val="20"/>
                <w:color w:val="auto"/>
              </w:rPr>
            </w:pPr>
            <w:r>
              <w:rPr>
                <w:rFonts w:ascii="Arial" w:cs="Arial" w:eastAsia="Arial" w:hAnsi="Arial"/>
                <w:sz w:val="15"/>
                <w:szCs w:val="15"/>
                <w:color w:val="auto"/>
              </w:rPr>
              <w:t>Total current assets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664,928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654,183</w:t>
            </w:r>
          </w:p>
        </w:tc>
        <w:tc>
          <w:tcPr>
            <w:tcW w:w="100" w:type="dxa"/>
            <w:vAlign w:val="bottom"/>
          </w:tcPr>
          <w:p>
            <w:pPr>
              <w:spacing w:after="0"/>
              <w:rPr>
                <w:sz w:val="16"/>
                <w:szCs w:val="16"/>
                <w:color w:val="auto"/>
              </w:rPr>
            </w:pPr>
          </w:p>
        </w:tc>
      </w:tr>
      <w:tr>
        <w:trPr>
          <w:trHeight w:val="185"/>
        </w:trPr>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spacing w:after="0"/>
              <w:rPr>
                <w:sz w:val="16"/>
                <w:szCs w:val="16"/>
                <w:color w:val="auto"/>
              </w:rPr>
            </w:pPr>
          </w:p>
        </w:tc>
      </w:tr>
      <w:tr>
        <w:trPr>
          <w:trHeight w:val="185"/>
        </w:trPr>
        <w:tc>
          <w:tcPr>
            <w:tcW w:w="3160" w:type="dxa"/>
            <w:vAlign w:val="bottom"/>
            <w:gridSpan w:val="4"/>
          </w:tcPr>
          <w:p>
            <w:pPr>
              <w:spacing w:after="0"/>
              <w:rPr>
                <w:sz w:val="20"/>
                <w:szCs w:val="20"/>
                <w:color w:val="auto"/>
              </w:rPr>
            </w:pPr>
            <w:r>
              <w:rPr>
                <w:rFonts w:ascii="Arial" w:cs="Arial" w:eastAsia="Arial" w:hAnsi="Arial"/>
                <w:sz w:val="15"/>
                <w:szCs w:val="15"/>
                <w:color w:val="auto"/>
              </w:rPr>
              <w:t>Property, plant, and equipment, net</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170,672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166,323</w:t>
            </w:r>
          </w:p>
        </w:tc>
      </w:tr>
      <w:tr>
        <w:trPr>
          <w:trHeight w:val="188"/>
        </w:trPr>
        <w:tc>
          <w:tcPr>
            <w:tcW w:w="3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5"/>
                <w:szCs w:val="15"/>
                <w:color w:val="auto"/>
              </w:rPr>
              <w:t>Goodwill and other assets</w:t>
            </w:r>
          </w:p>
        </w:tc>
        <w:tc>
          <w:tcPr>
            <w:tcW w:w="2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115,237</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98,567</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5"/>
        </w:trPr>
        <w:tc>
          <w:tcPr>
            <w:tcW w:w="3160" w:type="dxa"/>
            <w:vAlign w:val="bottom"/>
            <w:gridSpan w:val="4"/>
          </w:tcPr>
          <w:p>
            <w:pPr>
              <w:ind w:left="260"/>
              <w:spacing w:after="0"/>
              <w:rPr>
                <w:sz w:val="20"/>
                <w:szCs w:val="20"/>
                <w:color w:val="auto"/>
              </w:rPr>
            </w:pPr>
            <w:r>
              <w:rPr>
                <w:rFonts w:ascii="Arial" w:cs="Arial" w:eastAsia="Arial" w:hAnsi="Arial"/>
                <w:sz w:val="15"/>
                <w:szCs w:val="15"/>
                <w:color w:val="auto"/>
              </w:rPr>
              <w:t>Total assets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950,837</w:t>
            </w:r>
          </w:p>
        </w:tc>
        <w:tc>
          <w:tcPr>
            <w:tcW w:w="12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919,073</w:t>
            </w:r>
          </w:p>
        </w:tc>
      </w:tr>
      <w:tr>
        <w:trPr>
          <w:trHeight w:val="20"/>
        </w:trPr>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316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LIABILITIES AND STOCKHOLDERS’ EQUITY</w:t>
            </w: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31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Current portion of long-term debt</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1,611</w:t>
            </w: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3160" w:type="dxa"/>
            <w:vAlign w:val="bottom"/>
            <w:gridSpan w:val="4"/>
          </w:tcPr>
          <w:p>
            <w:pPr>
              <w:spacing w:after="0"/>
              <w:rPr>
                <w:sz w:val="20"/>
                <w:szCs w:val="20"/>
                <w:color w:val="auto"/>
              </w:rPr>
            </w:pPr>
            <w:r>
              <w:rPr>
                <w:rFonts w:ascii="Arial" w:cs="Arial" w:eastAsia="Arial" w:hAnsi="Arial"/>
                <w:sz w:val="15"/>
                <w:szCs w:val="15"/>
                <w:color w:val="auto"/>
              </w:rPr>
              <w:t>Short-term debt</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372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320</w:t>
            </w:r>
          </w:p>
        </w:tc>
      </w:tr>
      <w:tr>
        <w:trPr>
          <w:trHeight w:val="185"/>
        </w:trPr>
        <w:tc>
          <w:tcPr>
            <w:tcW w:w="31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90,966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89,673</w:t>
            </w:r>
          </w:p>
        </w:tc>
      </w:tr>
      <w:tr>
        <w:trPr>
          <w:trHeight w:val="188"/>
        </w:trPr>
        <w:tc>
          <w:tcPr>
            <w:tcW w:w="3160" w:type="dxa"/>
            <w:vAlign w:val="bottom"/>
            <w:gridSpan w:val="4"/>
          </w:tcPr>
          <w:p>
            <w:pPr>
              <w:spacing w:after="0"/>
              <w:rPr>
                <w:sz w:val="20"/>
                <w:szCs w:val="20"/>
                <w:color w:val="auto"/>
              </w:rPr>
            </w:pPr>
            <w:r>
              <w:rPr>
                <w:rFonts w:ascii="Arial" w:cs="Arial" w:eastAsia="Arial" w:hAnsi="Arial"/>
                <w:sz w:val="15"/>
                <w:szCs w:val="15"/>
                <w:color w:val="auto"/>
              </w:rPr>
              <w:t>Accrued liabilities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248,521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252,636</w:t>
            </w:r>
          </w:p>
        </w:tc>
        <w:tc>
          <w:tcPr>
            <w:tcW w:w="100" w:type="dxa"/>
            <w:vAlign w:val="bottom"/>
          </w:tcPr>
          <w:p>
            <w:pPr>
              <w:spacing w:after="0"/>
              <w:rPr>
                <w:sz w:val="16"/>
                <w:szCs w:val="16"/>
                <w:color w:val="auto"/>
              </w:rPr>
            </w:pPr>
          </w:p>
        </w:tc>
      </w:tr>
      <w:tr>
        <w:trPr>
          <w:trHeight w:val="188"/>
        </w:trPr>
        <w:tc>
          <w:tcPr>
            <w:tcW w:w="316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5"/>
                <w:szCs w:val="15"/>
                <w:color w:val="auto"/>
              </w:rPr>
              <w:t>Total current liabilities</w:t>
            </w:r>
          </w:p>
        </w:tc>
        <w:tc>
          <w:tcPr>
            <w:tcW w:w="2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341,470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342,629</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5"/>
        </w:trPr>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r>
      <w:tr>
        <w:trPr>
          <w:trHeight w:val="185"/>
        </w:trPr>
        <w:tc>
          <w:tcPr>
            <w:tcW w:w="31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Long-term debt, less current portion</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227,598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175,000</w:t>
            </w:r>
          </w:p>
        </w:tc>
      </w:tr>
      <w:tr>
        <w:trPr>
          <w:trHeight w:val="185"/>
        </w:trPr>
        <w:tc>
          <w:tcPr>
            <w:tcW w:w="3160" w:type="dxa"/>
            <w:vAlign w:val="bottom"/>
            <w:gridSpan w:val="4"/>
          </w:tcPr>
          <w:p>
            <w:pPr>
              <w:spacing w:after="0"/>
              <w:rPr>
                <w:sz w:val="20"/>
                <w:szCs w:val="20"/>
                <w:color w:val="auto"/>
              </w:rPr>
            </w:pPr>
            <w:r>
              <w:rPr>
                <w:rFonts w:ascii="Arial" w:cs="Arial" w:eastAsia="Arial" w:hAnsi="Arial"/>
                <w:sz w:val="15"/>
                <w:szCs w:val="15"/>
                <w:color w:val="auto"/>
              </w:rPr>
              <w:t>Deferred revenue and other long-term liabilities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11,331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9,415</w:t>
            </w:r>
          </w:p>
        </w:tc>
      </w:tr>
      <w:tr>
        <w:trPr>
          <w:trHeight w:val="188"/>
        </w:trPr>
        <w:tc>
          <w:tcPr>
            <w:tcW w:w="3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2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370,438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392,029</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5"/>
        </w:trPr>
        <w:tc>
          <w:tcPr>
            <w:tcW w:w="3160" w:type="dxa"/>
            <w:vAlign w:val="bottom"/>
            <w:gridSpan w:val="4"/>
          </w:tcPr>
          <w:p>
            <w:pPr>
              <w:ind w:left="260"/>
              <w:spacing w:after="0"/>
              <w:rPr>
                <w:sz w:val="20"/>
                <w:szCs w:val="20"/>
                <w:color w:val="auto"/>
              </w:rPr>
            </w:pPr>
            <w:r>
              <w:rPr>
                <w:rFonts w:ascii="Arial" w:cs="Arial" w:eastAsia="Arial" w:hAnsi="Arial"/>
                <w:sz w:val="15"/>
                <w:szCs w:val="15"/>
                <w:color w:val="auto"/>
              </w:rPr>
              <w:t>Total liabilities and stockholders’ equity</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950,837</w:t>
            </w:r>
          </w:p>
        </w:tc>
        <w:tc>
          <w:tcPr>
            <w:tcW w:w="12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919,073</w:t>
            </w:r>
          </w:p>
        </w:tc>
      </w:tr>
      <w:tr>
        <w:trPr>
          <w:trHeight w:val="20"/>
        </w:trPr>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27202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5"/>
          <w:szCs w:val="15"/>
          <w:b w:val="1"/>
          <w:bCs w:val="1"/>
          <w:color w:val="auto"/>
        </w:rPr>
        <w:t>THE TORO COMPANY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 (Unaudited)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6"/>
          </w:tcPr>
          <w:p>
            <w:pPr>
              <w:jc w:val="right"/>
              <w:ind w:right="780"/>
              <w:spacing w:after="0"/>
              <w:rPr>
                <w:sz w:val="20"/>
                <w:szCs w:val="20"/>
                <w:color w:val="auto"/>
              </w:rPr>
            </w:pPr>
            <w:r>
              <w:rPr>
                <w:rFonts w:ascii="Arial" w:cs="Arial" w:eastAsia="Arial" w:hAnsi="Arial"/>
                <w:sz w:val="15"/>
                <w:szCs w:val="15"/>
                <w:color w:val="auto"/>
              </w:rPr>
              <w:t>Fiscal Years Ended</w:t>
            </w:r>
          </w:p>
        </w:tc>
      </w:tr>
      <w:tr>
        <w:trPr>
          <w:trHeight w:val="168"/>
        </w:trPr>
        <w:tc>
          <w:tcPr>
            <w:tcW w:w="88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right"/>
              <w:ind w:right="340"/>
              <w:spacing w:after="0" w:line="169" w:lineRule="exact"/>
              <w:rPr>
                <w:sz w:val="20"/>
                <w:szCs w:val="20"/>
                <w:color w:val="auto"/>
              </w:rPr>
            </w:pPr>
            <w:r>
              <w:rPr>
                <w:rFonts w:ascii="Arial" w:cs="Arial" w:eastAsia="Arial" w:hAnsi="Arial"/>
                <w:sz w:val="15"/>
                <w:szCs w:val="15"/>
                <w:b w:val="1"/>
                <w:bCs w:val="1"/>
                <w:color w:val="auto"/>
              </w:rPr>
              <w:t>October 31,</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03"/>
              <w:spacing w:after="0" w:line="169" w:lineRule="exact"/>
              <w:rPr>
                <w:sz w:val="20"/>
                <w:szCs w:val="20"/>
                <w:color w:val="auto"/>
              </w:rPr>
            </w:pPr>
            <w:r>
              <w:rPr>
                <w:rFonts w:ascii="Arial" w:cs="Arial" w:eastAsia="Arial" w:hAnsi="Arial"/>
                <w:sz w:val="15"/>
                <w:szCs w:val="15"/>
                <w:b w:val="1"/>
                <w:bCs w:val="1"/>
                <w:color w:val="auto"/>
              </w:rPr>
              <w:t>October 31,</w:t>
            </w:r>
          </w:p>
        </w:tc>
        <w:tc>
          <w:tcPr>
            <w:tcW w:w="100" w:type="dxa"/>
            <w:vAlign w:val="bottom"/>
          </w:tcPr>
          <w:p>
            <w:pPr>
              <w:spacing w:after="0"/>
              <w:rPr>
                <w:sz w:val="14"/>
                <w:szCs w:val="14"/>
                <w:color w:val="auto"/>
              </w:rPr>
            </w:pPr>
          </w:p>
        </w:tc>
      </w:tr>
      <w:tr>
        <w:trPr>
          <w:trHeight w:val="204"/>
        </w:trPr>
        <w:tc>
          <w:tcPr>
            <w:tcW w:w="8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7"/>
                <w:szCs w:val="17"/>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Cash flows from operating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142,436</w:t>
            </w: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129,145</w:t>
            </w:r>
          </w:p>
        </w:tc>
      </w:tr>
      <w:tr>
        <w:trPr>
          <w:trHeight w:val="174"/>
        </w:trPr>
        <w:tc>
          <w:tcPr>
            <w:tcW w:w="8820" w:type="dxa"/>
            <w:vAlign w:val="bottom"/>
          </w:tcPr>
          <w:p>
            <w:pPr>
              <w:ind w:left="260"/>
              <w:spacing w:after="0"/>
              <w:rPr>
                <w:sz w:val="20"/>
                <w:szCs w:val="20"/>
                <w:color w:val="auto"/>
              </w:rPr>
            </w:pPr>
            <w:r>
              <w:rPr>
                <w:rFonts w:ascii="Arial" w:cs="Arial" w:eastAsia="Arial" w:hAnsi="Arial"/>
                <w:sz w:val="15"/>
                <w:szCs w:val="15"/>
                <w:color w:val="auto"/>
              </w:rPr>
              <w:t>Adjustments to reconcile net earnings to net cash</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8820" w:type="dxa"/>
            <w:vAlign w:val="bottom"/>
          </w:tcPr>
          <w:p>
            <w:pPr>
              <w:ind w:left="540"/>
              <w:spacing w:after="0"/>
              <w:rPr>
                <w:sz w:val="20"/>
                <w:szCs w:val="20"/>
                <w:color w:val="auto"/>
              </w:rPr>
            </w:pPr>
            <w:r>
              <w:rPr>
                <w:rFonts w:ascii="Arial" w:cs="Arial" w:eastAsia="Arial" w:hAnsi="Arial"/>
                <w:sz w:val="15"/>
                <w:szCs w:val="15"/>
                <w:color w:val="auto"/>
              </w:rPr>
              <w:t>provided by operating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Equity losses from investments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1,559</w:t>
            </w:r>
          </w:p>
        </w:tc>
      </w:tr>
      <w:tr>
        <w:trPr>
          <w:trHeight w:val="185"/>
        </w:trPr>
        <w:tc>
          <w:tcPr>
            <w:tcW w:w="8820" w:type="dxa"/>
            <w:vAlign w:val="bottom"/>
          </w:tcPr>
          <w:p>
            <w:pPr>
              <w:ind w:left="260"/>
              <w:spacing w:after="0"/>
              <w:rPr>
                <w:sz w:val="20"/>
                <w:szCs w:val="20"/>
                <w:color w:val="auto"/>
              </w:rPr>
            </w:pPr>
            <w:r>
              <w:rPr>
                <w:rFonts w:ascii="Arial" w:cs="Arial" w:eastAsia="Arial" w:hAnsi="Arial"/>
                <w:sz w:val="15"/>
                <w:szCs w:val="15"/>
                <w:color w:val="auto"/>
              </w:rPr>
              <w:t>Provision for depreciation and amortization</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42,105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42,564</w:t>
            </w:r>
          </w:p>
        </w:tc>
      </w:tr>
      <w:tr>
        <w:trPr>
          <w:trHeight w:val="185"/>
        </w:trPr>
        <w:tc>
          <w:tcPr>
            <w:tcW w:w="88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Gain on disposal of property, plant, and equipment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(110)</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7,293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6,641</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Increase in deferred income taxes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(1,709)</w:t>
            </w:r>
          </w:p>
        </w:tc>
      </w:tr>
      <w:tr>
        <w:trPr>
          <w:trHeight w:val="185"/>
        </w:trPr>
        <w:tc>
          <w:tcPr>
            <w:tcW w:w="8820" w:type="dxa"/>
            <w:vAlign w:val="bottom"/>
          </w:tcPr>
          <w:p>
            <w:pPr>
              <w:ind w:left="260"/>
              <w:spacing w:after="0"/>
              <w:rPr>
                <w:sz w:val="20"/>
                <w:szCs w:val="20"/>
                <w:color w:val="auto"/>
              </w:rPr>
            </w:pPr>
            <w:r>
              <w:rPr>
                <w:rFonts w:ascii="Arial" w:cs="Arial" w:eastAsia="Arial" w:hAnsi="Arial"/>
                <w:sz w:val="15"/>
                <w:szCs w:val="15"/>
                <w:color w:val="auto"/>
              </w:rPr>
              <w:t>Changes in operating assets and liabilities: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Receivables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75</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Inventories</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(1,915)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(522)</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Prepaid expenses and other assets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9,390</w:t>
            </w:r>
          </w:p>
        </w:tc>
      </w:tr>
      <w:tr>
        <w:trPr>
          <w:trHeight w:val="188"/>
        </w:trPr>
        <w:tc>
          <w:tcPr>
            <w:tcW w:w="8820" w:type="dxa"/>
            <w:vAlign w:val="bottom"/>
          </w:tcPr>
          <w:p>
            <w:pPr>
              <w:spacing w:after="0"/>
              <w:rPr>
                <w:sz w:val="20"/>
                <w:szCs w:val="20"/>
                <w:color w:val="auto"/>
              </w:rPr>
            </w:pPr>
            <w:r>
              <w:rPr>
                <w:rFonts w:ascii="Arial" w:cs="Arial" w:eastAsia="Arial" w:hAnsi="Arial"/>
                <w:sz w:val="15"/>
                <w:szCs w:val="15"/>
                <w:color w:val="auto"/>
              </w:rPr>
              <w:t>Accounts payable, accrued expenses, and deferred revenue</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(14,046)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3,238</w:t>
            </w:r>
          </w:p>
        </w:tc>
      </w:tr>
      <w:tr>
        <w:trPr>
          <w:trHeight w:val="188"/>
        </w:trPr>
        <w:tc>
          <w:tcPr>
            <w:tcW w:w="88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Net cash provided by operating activities</w:t>
            </w: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183,574</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190,271</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5"/>
        </w:trPr>
        <w:tc>
          <w:tcPr>
            <w:tcW w:w="8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820" w:type="dxa"/>
            <w:vAlign w:val="bottom"/>
          </w:tcPr>
          <w:p>
            <w:pPr>
              <w:ind w:left="260"/>
              <w:spacing w:after="0"/>
              <w:rPr>
                <w:sz w:val="20"/>
                <w:szCs w:val="20"/>
                <w:color w:val="auto"/>
              </w:rPr>
            </w:pPr>
            <w:r>
              <w:rPr>
                <w:rFonts w:ascii="Arial" w:cs="Arial" w:eastAsia="Arial" w:hAnsi="Arial"/>
                <w:sz w:val="15"/>
                <w:szCs w:val="15"/>
                <w:color w:val="auto"/>
              </w:rPr>
              <w:t>Purchases of property, plant, and equipment</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(42,168)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(39,885)</w:t>
            </w:r>
          </w:p>
        </w:tc>
      </w:tr>
      <w:tr>
        <w:trPr>
          <w:trHeight w:val="185"/>
        </w:trPr>
        <w:tc>
          <w:tcPr>
            <w:tcW w:w="88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Proceeds from asset disposals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1,033</w:t>
            </w:r>
          </w:p>
        </w:tc>
      </w:tr>
      <w:tr>
        <w:trPr>
          <w:trHeight w:val="185"/>
        </w:trPr>
        <w:tc>
          <w:tcPr>
            <w:tcW w:w="8820" w:type="dxa"/>
            <w:vAlign w:val="bottom"/>
          </w:tcPr>
          <w:p>
            <w:pPr>
              <w:ind w:left="260"/>
              <w:spacing w:after="0"/>
              <w:rPr>
                <w:sz w:val="20"/>
                <w:szCs w:val="20"/>
                <w:color w:val="auto"/>
              </w:rPr>
            </w:pPr>
            <w:r>
              <w:rPr>
                <w:rFonts w:ascii="Arial" w:cs="Arial" w:eastAsia="Arial" w:hAnsi="Arial"/>
                <w:sz w:val="15"/>
                <w:szCs w:val="15"/>
                <w:color w:val="auto"/>
              </w:rPr>
              <w:t>Increase in investment in affiliates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(371)</w:t>
            </w:r>
          </w:p>
        </w:tc>
      </w:tr>
      <w:tr>
        <w:trPr>
          <w:trHeight w:val="185"/>
        </w:trPr>
        <w:tc>
          <w:tcPr>
            <w:tcW w:w="88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Decrease in other assets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1,161</w:t>
            </w:r>
          </w:p>
        </w:tc>
      </w:tr>
      <w:tr>
        <w:trPr>
          <w:trHeight w:val="185"/>
        </w:trPr>
        <w:tc>
          <w:tcPr>
            <w:tcW w:w="8820" w:type="dxa"/>
            <w:vAlign w:val="bottom"/>
          </w:tcPr>
          <w:p>
            <w:pPr>
              <w:ind w:left="260"/>
              <w:spacing w:after="0"/>
              <w:rPr>
                <w:sz w:val="20"/>
                <w:szCs w:val="20"/>
                <w:color w:val="auto"/>
              </w:rPr>
            </w:pPr>
            <w:r>
              <w:rPr>
                <w:rFonts w:ascii="Arial" w:cs="Arial" w:eastAsia="Arial" w:hAnsi="Arial"/>
                <w:sz w:val="15"/>
                <w:szCs w:val="15"/>
                <w:color w:val="auto"/>
              </w:rPr>
              <w:t>Acquisitions, net of cash acquired</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(9,881)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3"/>
        </w:trPr>
        <w:tc>
          <w:tcPr>
            <w:tcW w:w="8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820" w:type="dxa"/>
            <w:vAlign w:val="bottom"/>
            <w:shd w:val="clear" w:color="auto" w:fill="CCEEFF"/>
          </w:tcPr>
          <w:p>
            <w:pPr>
              <w:ind w:left="820"/>
              <w:spacing w:after="0"/>
              <w:rPr>
                <w:sz w:val="20"/>
                <w:szCs w:val="20"/>
                <w:color w:val="auto"/>
              </w:rPr>
            </w:pPr>
            <w:r>
              <w:rPr>
                <w:rFonts w:ascii="Arial" w:cs="Arial" w:eastAsia="Arial" w:hAnsi="Arial"/>
                <w:sz w:val="15"/>
                <w:szCs w:val="15"/>
                <w:color w:val="auto"/>
              </w:rPr>
              <w:t>Net cash used in investing activities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(50,288)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(38,062)</w:t>
            </w:r>
          </w:p>
        </w:tc>
      </w:tr>
      <w:tr>
        <w:trPr>
          <w:trHeight w:val="185"/>
        </w:trPr>
        <w:tc>
          <w:tcPr>
            <w:tcW w:w="88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financing activities: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820" w:type="dxa"/>
            <w:vAlign w:val="bottom"/>
          </w:tcPr>
          <w:p>
            <w:pPr>
              <w:ind w:left="260"/>
              <w:spacing w:after="0"/>
              <w:rPr>
                <w:sz w:val="20"/>
                <w:szCs w:val="20"/>
                <w:color w:val="auto"/>
              </w:rPr>
            </w:pPr>
            <w:r>
              <w:rPr>
                <w:rFonts w:ascii="Arial" w:cs="Arial" w:eastAsia="Arial" w:hAnsi="Arial"/>
                <w:sz w:val="15"/>
                <w:szCs w:val="15"/>
                <w:color w:val="auto"/>
              </w:rPr>
              <w:t>Decrease in short-term debt</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w:t>
            </w:r>
          </w:p>
        </w:tc>
      </w:tr>
      <w:tr>
        <w:trPr>
          <w:trHeight w:val="185"/>
        </w:trPr>
        <w:tc>
          <w:tcPr>
            <w:tcW w:w="88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Issuance of long-term debt, net of costs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121,491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8820" w:type="dxa"/>
            <w:vAlign w:val="bottom"/>
          </w:tcPr>
          <w:p>
            <w:pPr>
              <w:ind w:left="260"/>
              <w:spacing w:after="0"/>
              <w:rPr>
                <w:sz w:val="20"/>
                <w:szCs w:val="20"/>
                <w:color w:val="auto"/>
              </w:rPr>
            </w:pPr>
            <w:r>
              <w:rPr>
                <w:rFonts w:ascii="Arial" w:cs="Arial" w:eastAsia="Arial" w:hAnsi="Arial"/>
                <w:sz w:val="15"/>
                <w:szCs w:val="15"/>
                <w:color w:val="auto"/>
              </w:rPr>
              <w:t>Repayments of long-term debt</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(75,000)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(46)</w:t>
            </w:r>
          </w:p>
        </w:tc>
      </w:tr>
      <w:tr>
        <w:trPr>
          <w:trHeight w:val="185"/>
        </w:trPr>
        <w:tc>
          <w:tcPr>
            <w:tcW w:w="88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Excess tax benefits from stock-based awards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13,775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13,131</w:t>
            </w:r>
          </w:p>
        </w:tc>
      </w:tr>
      <w:tr>
        <w:trPr>
          <w:trHeight w:val="185"/>
        </w:trPr>
        <w:tc>
          <w:tcPr>
            <w:tcW w:w="8820" w:type="dxa"/>
            <w:vAlign w:val="bottom"/>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13,255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10,683</w:t>
            </w:r>
          </w:p>
        </w:tc>
      </w:tr>
      <w:tr>
        <w:trPr>
          <w:trHeight w:val="185"/>
        </w:trPr>
        <w:tc>
          <w:tcPr>
            <w:tcW w:w="88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Purchases of Toro common stock</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(182,843)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(146,543)</w:t>
            </w:r>
          </w:p>
        </w:tc>
      </w:tr>
      <w:tr>
        <w:trPr>
          <w:trHeight w:val="185"/>
        </w:trPr>
        <w:tc>
          <w:tcPr>
            <w:tcW w:w="8820" w:type="dxa"/>
            <w:vAlign w:val="bottom"/>
          </w:tcPr>
          <w:p>
            <w:pPr>
              <w:ind w:left="260"/>
              <w:spacing w:after="0"/>
              <w:rPr>
                <w:sz w:val="20"/>
                <w:szCs w:val="20"/>
                <w:color w:val="auto"/>
              </w:rPr>
            </w:pPr>
            <w:r>
              <w:rPr>
                <w:rFonts w:ascii="Arial" w:cs="Arial" w:eastAsia="Arial" w:hAnsi="Arial"/>
                <w:sz w:val="15"/>
                <w:szCs w:val="15"/>
                <w:color w:val="auto"/>
              </w:rPr>
              <w:t>Dividends paid on Toro common stock</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(19,459)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(15,421)</w:t>
            </w:r>
          </w:p>
        </w:tc>
      </w:tr>
      <w:tr>
        <w:trPr>
          <w:trHeight w:val="23"/>
        </w:trPr>
        <w:tc>
          <w:tcPr>
            <w:tcW w:w="8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820" w:type="dxa"/>
            <w:vAlign w:val="bottom"/>
            <w:shd w:val="clear" w:color="auto" w:fill="CCEEFF"/>
          </w:tcPr>
          <w:p>
            <w:pPr>
              <w:ind w:left="820"/>
              <w:spacing w:after="0"/>
              <w:rPr>
                <w:sz w:val="20"/>
                <w:szCs w:val="20"/>
                <w:color w:val="auto"/>
              </w:rPr>
            </w:pPr>
            <w:r>
              <w:rPr>
                <w:rFonts w:ascii="Arial" w:cs="Arial" w:eastAsia="Arial" w:hAnsi="Arial"/>
                <w:sz w:val="15"/>
                <w:szCs w:val="15"/>
                <w:color w:val="auto"/>
              </w:rPr>
              <w:t>Net cash used in financing activities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(128,791)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(138,201)</w:t>
            </w:r>
          </w:p>
        </w:tc>
      </w:tr>
      <w:tr>
        <w:trPr>
          <w:trHeight w:val="185"/>
        </w:trPr>
        <w:tc>
          <w:tcPr>
            <w:tcW w:w="88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8"/>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rates on cash</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113</w:t>
            </w:r>
          </w:p>
        </w:tc>
      </w:tr>
      <w:tr>
        <w:trPr>
          <w:trHeight w:val="185"/>
        </w:trPr>
        <w:tc>
          <w:tcPr>
            <w:tcW w:w="88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Net increase in cash and cash equivalents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14,121</w:t>
            </w:r>
          </w:p>
        </w:tc>
      </w:tr>
      <w:tr>
        <w:trPr>
          <w:trHeight w:val="188"/>
        </w:trPr>
        <w:tc>
          <w:tcPr>
            <w:tcW w:w="8820" w:type="dxa"/>
            <w:vAlign w:val="bottom"/>
          </w:tcPr>
          <w:p>
            <w:pPr>
              <w:spacing w:after="0"/>
              <w:rPr>
                <w:sz w:val="20"/>
                <w:szCs w:val="20"/>
                <w:color w:val="auto"/>
              </w:rPr>
            </w:pPr>
            <w:r>
              <w:rPr>
                <w:rFonts w:ascii="Arial" w:cs="Arial" w:eastAsia="Arial" w:hAnsi="Arial"/>
                <w:sz w:val="15"/>
                <w:szCs w:val="15"/>
                <w:color w:val="auto"/>
              </w:rPr>
              <w:t>Cash and cash equivalents as of the beginning of the fiscal year</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55,523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41,402</w:t>
            </w:r>
          </w:p>
        </w:tc>
      </w:tr>
      <w:tr>
        <w:trPr>
          <w:trHeight w:val="185"/>
        </w:trPr>
        <w:tc>
          <w:tcPr>
            <w:tcW w:w="88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Cash and cash equivalents as of the end of the fiscal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62,047</w:t>
            </w:r>
          </w:p>
        </w:tc>
        <w:tc>
          <w:tcPr>
            <w:tcW w:w="160" w:type="dxa"/>
            <w:vAlign w:val="bottom"/>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55,523</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09"/>
        </w:trPr>
        <w:tc>
          <w:tcPr>
            <w:tcW w:w="8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952"/>
    </w:lvl>
  </w:abstractNum>
  <w:abstractNum w:abstractNumId="2">
    <w:nsid w:val="238E1F29"/>
    <w:multiLevelType w:val="hybridMultilevel"/>
    <w:lvl w:ilvl="0">
      <w:lvlJc w:val="left"/>
      <w:lvlText w:val="(%1)"/>
      <w:numFmt w:val="decimal"/>
      <w:start w:val="95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2019-12-13T14:03:30Z</dcterms:created>
  <dcterms:modified xsi:type="dcterms:W3CDTF">2019-12-13T14:03:30Z</dcterms:modified>
</cp:coreProperties>
</file>