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PETERSON RENEE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VP, Treasurer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08/22/2013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8"/>
              </w:rPr>
              <w:t>5,169</w:t>
            </w:r>
            <w:r>
              <w:rPr>
                <w:rFonts w:ascii="Arial" w:cs="Arial" w:eastAsia="Arial" w:hAnsi="Arial"/>
                <w:sz w:val="22"/>
                <w:szCs w:val="22"/>
                <w:color w:val="008000"/>
                <w:w w:val="98"/>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52.32</w:t>
            </w:r>
          </w:p>
        </w:tc>
        <w:tc>
          <w:tcPr>
            <w:tcW w:w="116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6"/>
              </w:rPr>
              <w:t>35,827.731</w:t>
            </w:r>
            <w:r>
              <w:rPr>
                <w:rFonts w:ascii="Arial" w:cs="Arial" w:eastAsia="Arial" w:hAnsi="Arial"/>
                <w:sz w:val="22"/>
                <w:szCs w:val="22"/>
                <w:color w:val="008000"/>
                <w:w w:val="96"/>
                <w:vertAlign w:val="superscript"/>
              </w:rPr>
              <w:t>(2)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ind w:right="173"/>
              <w:spacing w:after="0" w:line="217" w:lineRule="exact"/>
              <w:rPr>
                <w:sz w:val="20"/>
                <w:szCs w:val="20"/>
                <w:color w:val="auto"/>
              </w:rPr>
            </w:pPr>
            <w:r>
              <w:rPr>
                <w:rFonts w:ascii="Arial" w:cs="Arial" w:eastAsia="Arial" w:hAnsi="Arial"/>
                <w:sz w:val="18"/>
                <w:szCs w:val="18"/>
                <w:color w:val="0000FF"/>
              </w:rPr>
              <w:t>80.517</w:t>
            </w:r>
            <w:r>
              <w:rPr>
                <w:rFonts w:ascii="Arial" w:cs="Arial" w:eastAsia="Arial" w:hAnsi="Arial"/>
                <w:sz w:val="22"/>
                <w:szCs w:val="22"/>
                <w:color w:val="008000"/>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withheld for the payment of taxes in connection with the second anniversary vesting on August 22, 2013, of 15,383.391 shares and related dividend reinvestment shares of the employment inducement grant awarded to the reporting person on August 22, 2011 (the "Inducement Grant"). The award of the Inducement Grant was previously reported on a Form 4 by the reporting person on August 24, 2011.? The Inducement Grant vests in three equal installments on the first, second and third anniversaries of the date of grant.</w:t>
      </w:r>
    </w:p>
    <w:p>
      <w:pPr>
        <w:spacing w:after="0" w:line="2" w:lineRule="exact"/>
        <w:rPr>
          <w:rFonts w:ascii="Arial" w:cs="Arial" w:eastAsia="Arial" w:hAnsi="Arial"/>
          <w:sz w:val="12"/>
          <w:szCs w:val="12"/>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279.146 shares acquired by the reporting person since the date of her last report under The Toro Company Dividend Reinvestment Plan on 30,487.635 shares of restricted stock and related DRIP shares. This total amount represents 20,444.341 shares of common stock and related dividend reinvestment shares held directly by the reporting person without restriction and 15,383.39 unvested shares of restricted stock and related dividend reinvestment shares also subject to restriction under the Inducement Grant.</w:t>
      </w:r>
    </w:p>
    <w:p>
      <w:pPr>
        <w:spacing w:after="0" w:line="30" w:lineRule="exact"/>
        <w:rPr>
          <w:rFonts w:ascii="Arial" w:cs="Arial" w:eastAsia="Arial" w:hAnsi="Arial"/>
          <w:sz w:val="14"/>
          <w:szCs w:val="14"/>
          <w:color w:val="008000"/>
        </w:rPr>
      </w:pPr>
    </w:p>
    <w:p>
      <w:pPr>
        <w:ind w:left="40" w:right="5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0.476 shares acquired under the dividend reinvestment feature of The Toro Company Investment, Savings &amp; ESOP (IS&amp;ESOP); and 78.029 shares acquired through issuer annual investment fund contributions to and revenue credit allocations in the IS&amp;ESOP.</w:t>
      </w:r>
    </w:p>
    <w:tbl>
      <w:tblPr>
        <w:tblLayout w:type="fixed"/>
        <w:tblInd w:w="6860" w:type="dxa"/>
        <w:tblCellMar>
          <w:top w:w="0" w:type="dxa"/>
          <w:left w:w="0" w:type="dxa"/>
          <w:bottom w:w="0" w:type="dxa"/>
          <w:right w:w="0" w:type="dxa"/>
        </w:tblCellMar>
      </w:tblPr>
      <w:tr>
        <w:trPr>
          <w:trHeight w:val="199"/>
        </w:trPr>
        <w:tc>
          <w:tcPr>
            <w:tcW w:w="16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08/26/2013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2019-12-17T01:29:37Z</dcterms:created>
  <dcterms:modified xsi:type="dcterms:W3CDTF">2019-12-17T01:29:37Z</dcterms:modified>
</cp:coreProperties>
</file>