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color w:val="auto"/>
        </w:rPr>
        <w:t>UNITED STATES SECURITIES AND EXCHANGE COMMISSION</w:t>
      </w:r>
    </w:p>
    <w:p>
      <w:pPr>
        <w:jc w:val="center"/>
        <w:ind w:right="-99"/>
        <w:spacing w:after="0"/>
        <w:rPr>
          <w:sz w:val="20"/>
          <w:szCs w:val="20"/>
          <w:color w:val="auto"/>
        </w:rPr>
      </w:pPr>
      <w:r>
        <w:rPr>
          <w:rFonts w:ascii="Arial" w:cs="Arial" w:eastAsia="Arial" w:hAnsi="Arial"/>
          <w:sz w:val="25"/>
          <w:szCs w:val="25"/>
          <w:color w:val="auto"/>
        </w:rPr>
        <w:t>Washington, D.C. 20549</w:t>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10-K</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 Fiscal Year Ended October 31, 2006.</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THE TORO COMPANY</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164" w:right="319" w:bottom="0" w:gutter="0" w:footer="0" w:header="0"/>
        </w:sectPr>
      </w:pPr>
    </w:p>
    <w:p>
      <w:pPr>
        <w:spacing w:after="0" w:line="199" w:lineRule="exact"/>
        <w:rPr>
          <w:sz w:val="24"/>
          <w:szCs w:val="24"/>
          <w:color w:val="auto"/>
        </w:rPr>
      </w:pPr>
    </w:p>
    <w:p>
      <w:pPr>
        <w:jc w:val="center"/>
        <w:ind w:left="184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jc w:val="center"/>
        <w:ind w:left="184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80"/>
        <w:spacing w:after="0"/>
        <w:rPr>
          <w:sz w:val="20"/>
          <w:szCs w:val="20"/>
          <w:color w:val="auto"/>
        </w:rPr>
      </w:pPr>
      <w:r>
        <w:rPr>
          <w:rFonts w:ascii="Arial" w:cs="Arial" w:eastAsia="Arial" w:hAnsi="Arial"/>
          <w:sz w:val="14"/>
          <w:szCs w:val="14"/>
          <w:b w:val="1"/>
          <w:bCs w:val="1"/>
          <w:color w:val="auto"/>
        </w:rPr>
        <w:t>1-8649</w:t>
      </w:r>
    </w:p>
    <w:p>
      <w:pPr>
        <w:spacing w:after="0" w:line="46"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41-0580470</w:t>
      </w:r>
    </w:p>
    <w:p>
      <w:pPr>
        <w:spacing w:after="0" w:line="46" w:lineRule="exact"/>
        <w:rPr>
          <w:sz w:val="24"/>
          <w:szCs w:val="24"/>
          <w:color w:val="auto"/>
        </w:rPr>
      </w:pPr>
    </w:p>
    <w:p>
      <w:pPr>
        <w:jc w:val="center"/>
        <w:ind w:right="1980"/>
        <w:spacing w:after="0"/>
        <w:rPr>
          <w:sz w:val="20"/>
          <w:szCs w:val="20"/>
          <w:color w:val="auto"/>
        </w:rPr>
      </w:pPr>
      <w:r>
        <w:rPr>
          <w:rFonts w:ascii="Arial" w:cs="Arial" w:eastAsia="Arial" w:hAnsi="Arial"/>
          <w:sz w:val="14"/>
          <w:szCs w:val="14"/>
          <w:color w:val="auto"/>
        </w:rPr>
        <w:t>(I.R.S. Employer Identification</w:t>
      </w:r>
    </w:p>
    <w:p>
      <w:pPr>
        <w:spacing w:after="0" w:line="28"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Number)</w:t>
      </w:r>
    </w:p>
    <w:p>
      <w:pPr>
        <w:spacing w:after="0" w:line="163" w:lineRule="exact"/>
        <w:rPr>
          <w:sz w:val="24"/>
          <w:szCs w:val="24"/>
          <w:color w:val="auto"/>
        </w:rPr>
      </w:pPr>
    </w:p>
    <w:p>
      <w:pPr>
        <w:sectPr>
          <w:pgSz w:w="11900" w:h="16838" w:orient="portrait"/>
          <w:cols w:equalWidth="0" w:num="3">
            <w:col w:w="4140" w:space="720"/>
            <w:col w:w="1880" w:space="720"/>
            <w:col w:w="3880"/>
          </w:cols>
          <w:pgMar w:left="240" w:top="164" w:right="319" w:bottom="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8111 Lyndale Avenue South</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Bloomington, Minnesota 55420-1196</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Telephone number: (952) 888-8801</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74930</wp:posOffset>
            </wp:positionV>
            <wp:extent cx="1389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680" w:type="dxa"/>
            <w:vAlign w:val="bottom"/>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165"/>
        </w:trPr>
        <w:tc>
          <w:tcPr>
            <w:tcW w:w="4640" w:type="dxa"/>
            <w:vAlign w:val="bottom"/>
            <w:tcBorders>
              <w:top w:val="single" w:sz="8" w:color="auto"/>
            </w:tcBorders>
          </w:tcPr>
          <w:p>
            <w:pPr>
              <w:spacing w:after="0" w:line="165" w:lineRule="exact"/>
              <w:rPr>
                <w:sz w:val="20"/>
                <w:szCs w:val="20"/>
                <w:color w:val="auto"/>
              </w:rPr>
            </w:pPr>
            <w:r>
              <w:rPr>
                <w:rFonts w:ascii="Arial" w:cs="Arial" w:eastAsia="Arial" w:hAnsi="Arial"/>
                <w:sz w:val="19"/>
                <w:szCs w:val="19"/>
                <w:color w:val="auto"/>
              </w:rPr>
              <w:t>Common Stock, par value $1.00 per share</w:t>
            </w:r>
          </w:p>
        </w:tc>
        <w:tc>
          <w:tcPr>
            <w:tcW w:w="240" w:type="dxa"/>
            <w:vAlign w:val="bottom"/>
          </w:tcPr>
          <w:p>
            <w:pPr>
              <w:spacing w:after="0"/>
              <w:rPr>
                <w:sz w:val="14"/>
                <w:szCs w:val="14"/>
                <w:color w:val="auto"/>
              </w:rPr>
            </w:pPr>
          </w:p>
        </w:tc>
        <w:tc>
          <w:tcPr>
            <w:tcW w:w="4680" w:type="dxa"/>
            <w:vAlign w:val="bottom"/>
            <w:tcBorders>
              <w:top w:val="single" w:sz="8" w:color="auto"/>
            </w:tcBorders>
          </w:tcPr>
          <w:p>
            <w:pPr>
              <w:spacing w:after="0" w:line="165" w:lineRule="exact"/>
              <w:rPr>
                <w:sz w:val="20"/>
                <w:szCs w:val="20"/>
                <w:color w:val="auto"/>
              </w:rPr>
            </w:pPr>
            <w:r>
              <w:rPr>
                <w:rFonts w:ascii="Arial" w:cs="Arial" w:eastAsia="Arial" w:hAnsi="Arial"/>
                <w:sz w:val="19"/>
                <w:szCs w:val="19"/>
                <w:color w:val="auto"/>
              </w:rPr>
              <w:t>New York Stock Exchange</w:t>
            </w:r>
          </w:p>
        </w:tc>
      </w:tr>
      <w:tr>
        <w:trPr>
          <w:trHeight w:val="237"/>
        </w:trPr>
        <w:tc>
          <w:tcPr>
            <w:tcW w:w="4880" w:type="dxa"/>
            <w:vAlign w:val="bottom"/>
            <w:gridSpan w:val="2"/>
          </w:tcPr>
          <w:p>
            <w:pPr>
              <w:spacing w:after="0"/>
              <w:rPr>
                <w:sz w:val="20"/>
                <w:szCs w:val="20"/>
                <w:color w:val="auto"/>
              </w:rPr>
            </w:pPr>
            <w:r>
              <w:rPr>
                <w:rFonts w:ascii="Arial" w:cs="Arial" w:eastAsia="Arial" w:hAnsi="Arial"/>
                <w:sz w:val="20"/>
                <w:szCs w:val="20"/>
                <w:color w:val="auto"/>
              </w:rPr>
              <w:t>Preferred Share Purchase Rights</w:t>
            </w:r>
          </w:p>
        </w:tc>
        <w:tc>
          <w:tcPr>
            <w:tcW w:w="4680" w:type="dxa"/>
            <w:vAlign w:val="bottom"/>
          </w:tcPr>
          <w:p>
            <w:pPr>
              <w:spacing w:after="0"/>
              <w:rPr>
                <w:sz w:val="20"/>
                <w:szCs w:val="20"/>
                <w:color w:val="auto"/>
              </w:rPr>
            </w:pPr>
            <w:r>
              <w:rPr>
                <w:rFonts w:ascii="Arial" w:cs="Arial" w:eastAsia="Arial" w:hAnsi="Arial"/>
                <w:sz w:val="20"/>
                <w:szCs w:val="20"/>
                <w:color w:val="auto"/>
              </w:rPr>
              <w:t>New York Stock Exchange</w:t>
            </w:r>
          </w:p>
        </w:tc>
      </w:tr>
    </w:tbl>
    <w:p>
      <w:pPr>
        <w:spacing w:after="0" w:line="1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164" w:right="319" w:bottom="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x</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7"/>
          <w:szCs w:val="17"/>
          <w:color w:val="auto"/>
        </w:rPr>
        <w:t>No o</w:t>
      </w:r>
    </w:p>
    <w:p>
      <w:pPr>
        <w:spacing w:after="0" w:line="209" w:lineRule="exact"/>
        <w:rPr>
          <w:sz w:val="24"/>
          <w:szCs w:val="24"/>
          <w:color w:val="auto"/>
        </w:rPr>
      </w:pPr>
    </w:p>
    <w:p>
      <w:pPr>
        <w:sectPr>
          <w:pgSz w:w="11900" w:h="16838" w:orient="portrait"/>
          <w:cols w:equalWidth="0" w:num="3">
            <w:col w:w="9300" w:space="200"/>
            <w:col w:w="440" w:space="200"/>
            <w:col w:w="1200"/>
          </w:cols>
          <w:pgMar w:left="240" w:top="164" w:right="319" w:bottom="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211" w:lineRule="exact"/>
        <w:rPr>
          <w:sz w:val="24"/>
          <w:szCs w:val="24"/>
          <w:color w:val="auto"/>
        </w:rPr>
      </w:pPr>
    </w:p>
    <w:p>
      <w:pPr>
        <w:sectPr>
          <w:pgSz w:w="11900" w:h="16838" w:orient="portrait"/>
          <w:cols w:equalWidth="0" w:num="3">
            <w:col w:w="9420" w:space="180"/>
            <w:col w:w="440" w:space="200"/>
            <w:col w:w="1100"/>
          </w:cols>
          <w:pgMar w:left="240" w:top="164" w:right="319" w:bottom="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o</w:t>
      </w:r>
    </w:p>
    <w:p>
      <w:pPr>
        <w:spacing w:after="0" w:line="170" w:lineRule="exact"/>
        <w:rPr>
          <w:sz w:val="24"/>
          <w:szCs w:val="24"/>
          <w:color w:val="auto"/>
        </w:rPr>
      </w:pPr>
    </w:p>
    <w:p>
      <w:pPr>
        <w:ind w:right="600"/>
        <w:spacing w:after="0" w:line="271"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6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43" w:lineRule="exact"/>
        <w:rPr>
          <w:sz w:val="24"/>
          <w:szCs w:val="24"/>
          <w:color w:val="auto"/>
        </w:rPr>
      </w:pPr>
    </w:p>
    <w:p>
      <w:pPr>
        <w:spacing w:after="0"/>
        <w:tabs>
          <w:tab w:leader="none" w:pos="2160" w:val="left"/>
          <w:tab w:leader="none" w:pos="2640" w:val="left"/>
          <w:tab w:leader="none" w:pos="4340" w:val="left"/>
          <w:tab w:leader="none" w:pos="4820" w:val="left"/>
          <w:tab w:leader="none" w:pos="6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12" w:lineRule="exact"/>
        <w:rPr>
          <w:sz w:val="24"/>
          <w:szCs w:val="24"/>
          <w:color w:val="auto"/>
        </w:rPr>
      </w:pPr>
    </w:p>
    <w:p>
      <w:pPr>
        <w:spacing w:after="0"/>
        <w:tabs>
          <w:tab w:leader="none" w:pos="8680" w:val="left"/>
          <w:tab w:leader="none" w:pos="9320" w:val="left"/>
        </w:tabs>
        <w:rPr>
          <w:sz w:val="20"/>
          <w:szCs w:val="20"/>
          <w:color w:val="auto"/>
        </w:rPr>
      </w:pPr>
      <w:r>
        <w:rPr>
          <w:rFonts w:ascii="Arial" w:cs="Arial" w:eastAsia="Arial" w:hAnsi="Arial"/>
          <w:sz w:val="18"/>
          <w:szCs w:val="18"/>
          <w:color w:val="auto"/>
        </w:rPr>
        <w:t>Indicate by check mark whether the registrant is a shell company (as defined in Exchange Act Rule 12b-2).</w:t>
        <w:tab/>
        <w:t>Yes o</w:t>
      </w:r>
      <w:r>
        <w:rPr>
          <w:sz w:val="20"/>
          <w:szCs w:val="20"/>
          <w:color w:val="auto"/>
        </w:rPr>
        <w:tab/>
      </w:r>
      <w:r>
        <w:rPr>
          <w:rFonts w:ascii="Arial" w:cs="Arial" w:eastAsia="Arial" w:hAnsi="Arial"/>
          <w:sz w:val="17"/>
          <w:szCs w:val="17"/>
          <w:color w:val="auto"/>
        </w:rPr>
        <w:t>No x</w:t>
      </w:r>
    </w:p>
    <w:p>
      <w:pPr>
        <w:spacing w:after="0" w:line="212" w:lineRule="exact"/>
        <w:rPr>
          <w:sz w:val="24"/>
          <w:szCs w:val="24"/>
          <w:color w:val="auto"/>
        </w:rPr>
      </w:pPr>
    </w:p>
    <w:p>
      <w:pPr>
        <w:ind w:right="360"/>
        <w:spacing w:after="0" w:line="271"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the Common Stock on May 5, 2006, the last business day of the registrant’s most recently completed second fiscal quarter, as reported by the New York Stock Exchange, was approximately $2.1 billion.</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15, 2006 was 41,044,271.</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Portions of the registrant’s Proxy Statement for the Annual Meeting of Stockholders to be held March 13, 2007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86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60" w:type="dxa"/>
            <w:vAlign w:val="bottom"/>
          </w:tcPr>
          <w:p>
            <w:pPr>
              <w:jc w:val="center"/>
              <w:ind w:right="3394"/>
              <w:spacing w:after="0"/>
              <w:rPr>
                <w:sz w:val="20"/>
                <w:szCs w:val="20"/>
                <w:color w:val="auto"/>
              </w:rPr>
            </w:pPr>
            <w:r>
              <w:rPr>
                <w:rFonts w:ascii="Arial" w:cs="Arial" w:eastAsia="Arial" w:hAnsi="Arial"/>
                <w:sz w:val="22"/>
                <w:szCs w:val="22"/>
                <w:b w:val="1"/>
                <w:bCs w:val="1"/>
                <w:color w:val="auto"/>
                <w:w w:val="97"/>
              </w:rPr>
              <w:t>THE TORO COMPANY</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60" w:type="dxa"/>
            <w:vAlign w:val="bottom"/>
          </w:tcPr>
          <w:p>
            <w:pPr>
              <w:jc w:val="center"/>
              <w:ind w:right="3374"/>
              <w:spacing w:after="0" w:line="243" w:lineRule="exact"/>
              <w:rPr>
                <w:sz w:val="20"/>
                <w:szCs w:val="20"/>
                <w:color w:val="auto"/>
              </w:rPr>
            </w:pPr>
            <w:r>
              <w:rPr>
                <w:rFonts w:ascii="Arial" w:cs="Arial" w:eastAsia="Arial" w:hAnsi="Arial"/>
                <w:sz w:val="22"/>
                <w:szCs w:val="22"/>
                <w:b w:val="1"/>
                <w:bCs w:val="1"/>
                <w:color w:val="auto"/>
                <w:w w:val="97"/>
              </w:rPr>
              <w:t>FORM 10-K</w:t>
            </w: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jc w:val="center"/>
              <w:ind w:right="3374"/>
              <w:spacing w:after="0"/>
              <w:rPr>
                <w:sz w:val="20"/>
                <w:szCs w:val="20"/>
                <w:color w:val="auto"/>
              </w:rPr>
            </w:pPr>
            <w:r>
              <w:rPr>
                <w:rFonts w:ascii="Arial" w:cs="Arial" w:eastAsia="Arial" w:hAnsi="Arial"/>
                <w:sz w:val="22"/>
                <w:szCs w:val="22"/>
                <w:b w:val="1"/>
                <w:bCs w:val="1"/>
                <w:color w:val="auto"/>
                <w:w w:val="97"/>
              </w:rPr>
              <w:t>TABLE OF CONTENTS</w:t>
            </w:r>
          </w:p>
        </w:tc>
        <w:tc>
          <w:tcPr>
            <w:tcW w:w="0" w:type="dxa"/>
            <w:vAlign w:val="bottom"/>
          </w:tcPr>
          <w:p>
            <w:pPr>
              <w:spacing w:after="0"/>
              <w:rPr>
                <w:sz w:val="1"/>
                <w:szCs w:val="1"/>
                <w:color w:val="auto"/>
              </w:rPr>
            </w:pPr>
          </w:p>
        </w:tc>
      </w:tr>
      <w:tr>
        <w:trPr>
          <w:trHeight w:val="328"/>
        </w:trPr>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c>
          <w:tcPr>
            <w:tcW w:w="6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399"/>
        </w:trPr>
        <w:tc>
          <w:tcPr>
            <w:tcW w:w="800" w:type="dxa"/>
            <w:vAlign w:val="bottom"/>
            <w:tcBorders>
              <w:bottom w:val="single" w:sz="8" w:color="0000EE"/>
            </w:tcBorders>
            <w:gridSpan w:val="2"/>
          </w:tcPr>
          <w:p>
            <w:pPr>
              <w:spacing w:after="0"/>
              <w:rPr>
                <w:sz w:val="20"/>
                <w:szCs w:val="20"/>
                <w:color w:val="auto"/>
              </w:rPr>
            </w:pPr>
            <w:r>
              <w:rPr>
                <w:rFonts w:ascii="Arial" w:cs="Arial" w:eastAsia="Arial" w:hAnsi="Arial"/>
                <w:sz w:val="25"/>
                <w:szCs w:val="25"/>
                <w:b w:val="1"/>
                <w:bCs w:val="1"/>
                <w:color w:val="0000EE"/>
                <w:w w:val="95"/>
              </w:rPr>
              <w:t>PART I</w:t>
            </w:r>
          </w:p>
        </w:tc>
        <w:tc>
          <w:tcPr>
            <w:tcW w:w="4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0" w:type="dxa"/>
            <w:vAlign w:val="bottom"/>
            <w:gridSpan w:val="4"/>
          </w:tcPr>
          <w:p>
            <w:pPr>
              <w:spacing w:after="0" w:line="237" w:lineRule="exact"/>
              <w:rPr>
                <w:sz w:val="20"/>
                <w:szCs w:val="20"/>
                <w:color w:val="auto"/>
              </w:rPr>
            </w:pPr>
            <w:r>
              <w:rPr>
                <w:rFonts w:ascii="Arial" w:cs="Arial" w:eastAsia="Arial" w:hAnsi="Arial"/>
                <w:sz w:val="22"/>
                <w:szCs w:val="22"/>
                <w:b w:val="1"/>
                <w:bCs w:val="1"/>
                <w:color w:val="0000EE"/>
              </w:rPr>
              <w:t>ITEM 1.</w:t>
            </w:r>
          </w:p>
        </w:tc>
        <w:tc>
          <w:tcPr>
            <w:tcW w:w="2260" w:type="dxa"/>
            <w:vAlign w:val="bottom"/>
            <w:gridSpan w:val="6"/>
          </w:tcPr>
          <w:p>
            <w:pPr>
              <w:spacing w:after="0"/>
              <w:rPr>
                <w:sz w:val="20"/>
                <w:szCs w:val="20"/>
                <w:color w:val="auto"/>
              </w:rPr>
            </w:pPr>
            <w:r>
              <w:rPr>
                <w:rFonts w:ascii="Arial" w:cs="Arial" w:eastAsia="Arial" w:hAnsi="Arial"/>
                <w:sz w:val="16"/>
                <w:szCs w:val="16"/>
                <w:color w:val="0000EE"/>
              </w:rPr>
              <w:t>Business</w:t>
            </w:r>
          </w:p>
        </w:tc>
        <w:tc>
          <w:tcPr>
            <w:tcW w:w="626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
        </w:trPr>
        <w:tc>
          <w:tcPr>
            <w:tcW w:w="740" w:type="dxa"/>
            <w:vAlign w:val="bottom"/>
            <w:shd w:val="clear" w:color="auto" w:fill="0000EE"/>
          </w:tcPr>
          <w:p>
            <w:pPr>
              <w:spacing w:after="0"/>
              <w:rPr>
                <w:sz w:val="2"/>
                <w:szCs w:val="2"/>
                <w:color w:val="auto"/>
              </w:rPr>
            </w:pPr>
          </w:p>
        </w:tc>
        <w:tc>
          <w:tcPr>
            <w:tcW w:w="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3"/>
          </w:tcPr>
          <w:p>
            <w:pPr>
              <w:spacing w:after="0" w:line="169" w:lineRule="exact"/>
              <w:rPr>
                <w:rFonts w:ascii="Arial" w:cs="Arial" w:eastAsia="Arial" w:hAnsi="Arial"/>
                <w:sz w:val="19"/>
                <w:szCs w:val="19"/>
                <w:b w:val="1"/>
                <w:bCs w:val="1"/>
                <w:color w:val="0000EE"/>
              </w:rPr>
            </w:pPr>
            <w:hyperlink w:anchor="page8">
              <w:r>
                <w:rPr>
                  <w:rFonts w:ascii="Arial" w:cs="Arial" w:eastAsia="Arial" w:hAnsi="Arial"/>
                  <w:sz w:val="19"/>
                  <w:szCs w:val="19"/>
                  <w:b w:val="1"/>
                  <w:bCs w:val="1"/>
                  <w:color w:val="0000EE"/>
                </w:rPr>
                <w:t xml:space="preserve">ITEM </w:t>
              </w:r>
            </w:hyperlink>
            <w:r>
              <w:rPr>
                <w:rFonts w:ascii="Arial" w:cs="Arial" w:eastAsia="Arial" w:hAnsi="Arial"/>
                <w:sz w:val="19"/>
                <w:szCs w:val="19"/>
                <w:b w:val="1"/>
                <w:bCs w:val="1"/>
                <w:color w:val="0000EE"/>
              </w:rPr>
              <w:t>1A.</w:t>
            </w:r>
          </w:p>
        </w:tc>
        <w:tc>
          <w:tcPr>
            <w:tcW w:w="280" w:type="dxa"/>
            <w:vAlign w:val="bottom"/>
          </w:tcPr>
          <w:p>
            <w:pPr>
              <w:spacing w:after="0"/>
              <w:rPr>
                <w:sz w:val="16"/>
                <w:szCs w:val="16"/>
                <w:color w:val="auto"/>
              </w:rPr>
            </w:pPr>
          </w:p>
        </w:tc>
        <w:tc>
          <w:tcPr>
            <w:tcW w:w="2260" w:type="dxa"/>
            <w:vAlign w:val="bottom"/>
            <w:gridSpan w:val="6"/>
          </w:tcPr>
          <w:p>
            <w:pPr>
              <w:spacing w:after="0" w:line="169" w:lineRule="exact"/>
              <w:rPr>
                <w:rFonts w:ascii="Arial" w:cs="Arial" w:eastAsia="Arial" w:hAnsi="Arial"/>
                <w:sz w:val="16"/>
                <w:szCs w:val="16"/>
                <w:color w:val="0000EE"/>
              </w:rPr>
            </w:pPr>
            <w:hyperlink w:anchor="page8">
              <w:r>
                <w:rPr>
                  <w:rFonts w:ascii="Arial" w:cs="Arial" w:eastAsia="Arial" w:hAnsi="Arial"/>
                  <w:sz w:val="16"/>
                  <w:szCs w:val="16"/>
                  <w:color w:val="0000EE"/>
                </w:rPr>
                <w:t>Risk Factors</w:t>
              </w:r>
            </w:hyperlink>
          </w:p>
        </w:tc>
        <w:tc>
          <w:tcPr>
            <w:tcW w:w="62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920" w:type="dxa"/>
            <w:vAlign w:val="bottom"/>
            <w:tcBorders>
              <w:right w:val="single" w:sz="8" w:color="0000EE"/>
            </w:tcBorders>
            <w:gridSpan w:val="3"/>
            <w:shd w:val="clear" w:color="auto" w:fill="0000EE"/>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gridSpan w:val="2"/>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EE"/>
            </w:tcBorders>
            <w:gridSpan w:val="3"/>
          </w:tcPr>
          <w:p>
            <w:pPr>
              <w:spacing w:after="0" w:line="183" w:lineRule="exact"/>
              <w:rPr>
                <w:sz w:val="20"/>
                <w:szCs w:val="20"/>
                <w:color w:val="auto"/>
              </w:rPr>
            </w:pPr>
            <w:r>
              <w:rPr>
                <w:rFonts w:ascii="Arial" w:cs="Arial" w:eastAsia="Arial" w:hAnsi="Arial"/>
                <w:sz w:val="21"/>
                <w:szCs w:val="21"/>
                <w:b w:val="1"/>
                <w:bCs w:val="1"/>
                <w:color w:val="0000EE"/>
                <w:w w:val="99"/>
              </w:rPr>
              <w:t>ITEM 1B.</w:t>
            </w:r>
          </w:p>
        </w:tc>
        <w:tc>
          <w:tcPr>
            <w:tcW w:w="280" w:type="dxa"/>
            <w:vAlign w:val="bottom"/>
            <w:vMerge w:val="continue"/>
          </w:tcPr>
          <w:p>
            <w:pPr>
              <w:spacing w:after="0"/>
              <w:rPr>
                <w:sz w:val="18"/>
                <w:szCs w:val="18"/>
                <w:color w:val="auto"/>
              </w:rPr>
            </w:pPr>
          </w:p>
        </w:tc>
        <w:tc>
          <w:tcPr>
            <w:tcW w:w="2040" w:type="dxa"/>
            <w:vAlign w:val="bottom"/>
            <w:tcBorders>
              <w:bottom w:val="single" w:sz="8" w:color="0000EE"/>
            </w:tcBorders>
            <w:gridSpan w:val="5"/>
          </w:tcPr>
          <w:p>
            <w:pPr>
              <w:spacing w:after="0" w:line="183" w:lineRule="exact"/>
              <w:rPr>
                <w:rFonts w:ascii="Arial" w:cs="Arial" w:eastAsia="Arial" w:hAnsi="Arial"/>
                <w:sz w:val="16"/>
                <w:szCs w:val="16"/>
                <w:color w:val="0000EE"/>
              </w:rPr>
            </w:pPr>
            <w:hyperlink w:anchor="page13">
              <w:r>
                <w:rPr>
                  <w:rFonts w:ascii="Arial" w:cs="Arial" w:eastAsia="Arial" w:hAnsi="Arial"/>
                  <w:sz w:val="16"/>
                  <w:szCs w:val="16"/>
                  <w:color w:val="0000EE"/>
                </w:rPr>
                <w:t>Unresolved Staff Comments</w:t>
              </w:r>
            </w:hyperlink>
          </w:p>
        </w:tc>
        <w:tc>
          <w:tcPr>
            <w:tcW w:w="220" w:type="dxa"/>
            <w:vAlign w:val="bottom"/>
          </w:tcPr>
          <w:p>
            <w:pPr>
              <w:spacing w:after="0"/>
              <w:rPr>
                <w:sz w:val="18"/>
                <w:szCs w:val="18"/>
                <w:color w:val="auto"/>
              </w:rPr>
            </w:pPr>
          </w:p>
        </w:tc>
        <w:tc>
          <w:tcPr>
            <w:tcW w:w="62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183" w:lineRule="exact"/>
              <w:rPr>
                <w:sz w:val="20"/>
                <w:szCs w:val="20"/>
                <w:color w:val="auto"/>
              </w:rPr>
            </w:pPr>
            <w:r>
              <w:rPr>
                <w:rFonts w:ascii="Arial" w:cs="Arial" w:eastAsia="Arial" w:hAnsi="Arial"/>
                <w:sz w:val="21"/>
                <w:szCs w:val="21"/>
                <w:b w:val="1"/>
                <w:bCs w:val="1"/>
                <w:color w:val="0000EE"/>
              </w:rPr>
              <w:t>ITEM 2.</w:t>
            </w:r>
          </w:p>
        </w:tc>
        <w:tc>
          <w:tcPr>
            <w:tcW w:w="280" w:type="dxa"/>
            <w:vAlign w:val="bottom"/>
          </w:tcPr>
          <w:p>
            <w:pPr>
              <w:spacing w:after="0"/>
              <w:rPr>
                <w:sz w:val="17"/>
                <w:szCs w:val="17"/>
                <w:color w:val="auto"/>
              </w:rPr>
            </w:pPr>
          </w:p>
        </w:tc>
        <w:tc>
          <w:tcPr>
            <w:tcW w:w="2260" w:type="dxa"/>
            <w:vAlign w:val="bottom"/>
            <w:gridSpan w:val="6"/>
          </w:tcPr>
          <w:p>
            <w:pPr>
              <w:spacing w:after="0" w:line="183" w:lineRule="exact"/>
              <w:rPr>
                <w:rFonts w:ascii="Arial" w:cs="Arial" w:eastAsia="Arial" w:hAnsi="Arial"/>
                <w:sz w:val="16"/>
                <w:szCs w:val="16"/>
                <w:color w:val="0000EE"/>
              </w:rPr>
            </w:pPr>
            <w:hyperlink w:anchor="page13">
              <w:r>
                <w:rPr>
                  <w:rFonts w:ascii="Arial" w:cs="Arial" w:eastAsia="Arial" w:hAnsi="Arial"/>
                  <w:sz w:val="16"/>
                  <w:szCs w:val="16"/>
                  <w:color w:val="0000EE"/>
                </w:rPr>
                <w:t>Properties</w:t>
              </w:r>
            </w:hyperlink>
          </w:p>
        </w:tc>
        <w:tc>
          <w:tcPr>
            <w:tcW w:w="62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740" w:type="dxa"/>
            <w:vAlign w:val="bottom"/>
            <w:shd w:val="clear" w:color="auto" w:fill="0000EE"/>
          </w:tcPr>
          <w:p>
            <w:pPr>
              <w:spacing w:after="0"/>
              <w:rPr>
                <w:sz w:val="2"/>
                <w:szCs w:val="2"/>
                <w:color w:val="auto"/>
              </w:rPr>
            </w:pPr>
          </w:p>
        </w:tc>
        <w:tc>
          <w:tcPr>
            <w:tcW w:w="460" w:type="dxa"/>
            <w:vAlign w:val="bottom"/>
            <w:gridSpan w:val="3"/>
            <w:vMerge w:val="restart"/>
          </w:tcPr>
          <w:p>
            <w:pPr>
              <w:spacing w:after="0"/>
              <w:rPr>
                <w:sz w:val="2"/>
                <w:szCs w:val="2"/>
                <w:color w:val="auto"/>
              </w:rPr>
            </w:pPr>
          </w:p>
        </w:tc>
        <w:tc>
          <w:tcPr>
            <w:tcW w:w="740" w:type="dxa"/>
            <w:vAlign w:val="bottom"/>
            <w:gridSpan w:val="2"/>
            <w:shd w:val="clear" w:color="auto" w:fill="0000EE"/>
          </w:tcPr>
          <w:p>
            <w:pPr>
              <w:spacing w:after="0"/>
              <w:rPr>
                <w:sz w:val="2"/>
                <w:szCs w:val="2"/>
                <w:color w:val="auto"/>
              </w:rPr>
            </w:pPr>
          </w:p>
        </w:tc>
        <w:tc>
          <w:tcPr>
            <w:tcW w:w="6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line="183" w:lineRule="exact"/>
              <w:rPr>
                <w:sz w:val="20"/>
                <w:szCs w:val="20"/>
                <w:color w:val="auto"/>
              </w:rPr>
            </w:pPr>
            <w:r>
              <w:rPr>
                <w:rFonts w:ascii="Arial" w:cs="Arial" w:eastAsia="Arial" w:hAnsi="Arial"/>
                <w:sz w:val="21"/>
                <w:szCs w:val="21"/>
                <w:b w:val="1"/>
                <w:bCs w:val="1"/>
                <w:color w:val="0000EE"/>
                <w:w w:val="97"/>
              </w:rPr>
              <w:t>ITEM 3.</w:t>
            </w:r>
          </w:p>
        </w:tc>
        <w:tc>
          <w:tcPr>
            <w:tcW w:w="460" w:type="dxa"/>
            <w:vAlign w:val="bottom"/>
            <w:gridSpan w:val="3"/>
            <w:vMerge w:val="continue"/>
          </w:tcPr>
          <w:p>
            <w:pPr>
              <w:spacing w:after="0"/>
              <w:rPr>
                <w:sz w:val="17"/>
                <w:szCs w:val="17"/>
                <w:color w:val="auto"/>
              </w:rPr>
            </w:pPr>
          </w:p>
        </w:tc>
        <w:tc>
          <w:tcPr>
            <w:tcW w:w="2260" w:type="dxa"/>
            <w:vAlign w:val="bottom"/>
            <w:gridSpan w:val="6"/>
          </w:tcPr>
          <w:p>
            <w:pPr>
              <w:spacing w:after="0" w:line="183" w:lineRule="exact"/>
              <w:rPr>
                <w:rFonts w:ascii="Arial" w:cs="Arial" w:eastAsia="Arial" w:hAnsi="Arial"/>
                <w:sz w:val="16"/>
                <w:szCs w:val="16"/>
                <w:color w:val="0000EE"/>
              </w:rPr>
            </w:pPr>
            <w:hyperlink w:anchor="page14">
              <w:r>
                <w:rPr>
                  <w:rFonts w:ascii="Arial" w:cs="Arial" w:eastAsia="Arial" w:hAnsi="Arial"/>
                  <w:sz w:val="16"/>
                  <w:szCs w:val="16"/>
                  <w:color w:val="0000EE"/>
                </w:rPr>
                <w:t>Legal Proceedings</w:t>
              </w:r>
            </w:hyperlink>
          </w:p>
        </w:tc>
        <w:tc>
          <w:tcPr>
            <w:tcW w:w="62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7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164" w:right="319" w:bottom="0" w:gutter="0" w:footer="0" w:header="0"/>
          <w:type w:val="continuous"/>
        </w:sectPr>
      </w:pPr>
    </w:p>
    <w:bookmarkStart w:id="1" w:name="page2"/>
    <w:bookmarkEnd w:id="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93"/>
        </w:trPr>
        <w:tc>
          <w:tcPr>
            <w:tcW w:w="1200" w:type="dxa"/>
            <w:vAlign w:val="bottom"/>
            <w:gridSpan w:val="2"/>
          </w:tcPr>
          <w:p>
            <w:pPr>
              <w:spacing w:after="0"/>
              <w:rPr>
                <w:sz w:val="20"/>
                <w:szCs w:val="20"/>
                <w:color w:val="auto"/>
              </w:rPr>
            </w:pPr>
            <w:r>
              <w:rPr>
                <w:rFonts w:ascii="Arial" w:cs="Arial" w:eastAsia="Arial" w:hAnsi="Arial"/>
                <w:sz w:val="22"/>
                <w:szCs w:val="22"/>
                <w:b w:val="1"/>
                <w:bCs w:val="1"/>
                <w:color w:val="0000EE"/>
              </w:rPr>
              <w:t>ITEM 4.</w:t>
            </w:r>
          </w:p>
        </w:tc>
        <w:tc>
          <w:tcPr>
            <w:tcW w:w="6020" w:type="dxa"/>
            <w:vAlign w:val="bottom"/>
            <w:gridSpan w:val="3"/>
          </w:tcPr>
          <w:p>
            <w:pPr>
              <w:spacing w:after="0"/>
              <w:rPr>
                <w:sz w:val="20"/>
                <w:szCs w:val="20"/>
                <w:color w:val="auto"/>
              </w:rPr>
            </w:pPr>
            <w:r>
              <w:rPr>
                <w:rFonts w:ascii="Arial" w:cs="Arial" w:eastAsia="Arial" w:hAnsi="Arial"/>
                <w:sz w:val="16"/>
                <w:szCs w:val="16"/>
                <w:color w:val="0000EE"/>
              </w:rPr>
              <w:t>Submission of Matters to a Vote of Security Holders</w:t>
            </w:r>
          </w:p>
        </w:tc>
        <w:tc>
          <w:tcPr>
            <w:tcW w:w="24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90"/>
        </w:trPr>
        <w:tc>
          <w:tcPr>
            <w:tcW w:w="74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3700" w:type="dxa"/>
            <w:vAlign w:val="bottom"/>
            <w:tcBorders>
              <w:top w:val="single" w:sz="8" w:color="0000EE"/>
            </w:tcBorders>
            <w:gridSpan w:val="2"/>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Executive Officers of the Registrant</w:t>
              </w:r>
            </w:hyperlink>
          </w:p>
        </w:tc>
        <w:tc>
          <w:tcPr>
            <w:tcW w:w="232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59" w:lineRule="exact"/>
        <w:rPr>
          <w:sz w:val="20"/>
          <w:szCs w:val="20"/>
          <w:color w:val="auto"/>
        </w:rPr>
      </w:pPr>
    </w:p>
    <w:p>
      <w:pPr>
        <w:sectPr>
          <w:pgSz w:w="11900" w:h="16838" w:orient="portrait"/>
          <w:cols w:equalWidth="0" w:num="1">
            <w:col w:w="11380"/>
          </w:cols>
          <w:pgMar w:left="240" w:top="69" w:right="279" w:bottom="0" w:gutter="0" w:footer="0" w:header="0"/>
        </w:sectPr>
      </w:pPr>
    </w:p>
    <w:p>
      <w:pPr>
        <w:ind w:left="860"/>
        <w:spacing w:after="0"/>
        <w:rPr>
          <w:sz w:val="20"/>
          <w:szCs w:val="20"/>
          <w:color w:val="auto"/>
        </w:rPr>
      </w:pPr>
      <w:r>
        <w:rPr>
          <w:rFonts w:ascii="Arial" w:cs="Arial" w:eastAsia="Arial" w:hAnsi="Arial"/>
          <w:sz w:val="25"/>
          <w:szCs w:val="25"/>
          <w:b w:val="1"/>
          <w:bCs w:val="1"/>
          <w:u w:val="single" w:color="auto"/>
          <w:color w:val="0000EE"/>
        </w:rPr>
        <w:t>PART II</w:t>
      </w:r>
    </w:p>
    <w:p>
      <w:pPr>
        <w:spacing w:after="0" w:line="49" w:lineRule="exact"/>
        <w:rPr>
          <w:sz w:val="20"/>
          <w:szCs w:val="20"/>
          <w:color w:val="auto"/>
        </w:rPr>
      </w:pPr>
    </w:p>
    <w:p>
      <w:pPr>
        <w:ind w:left="860"/>
        <w:spacing w:after="0"/>
        <w:rPr>
          <w:sz w:val="20"/>
          <w:szCs w:val="20"/>
          <w:color w:val="auto"/>
        </w:rPr>
      </w:pPr>
      <w:r>
        <w:rPr>
          <w:rFonts w:ascii="Arial" w:cs="Arial" w:eastAsia="Arial" w:hAnsi="Arial"/>
          <w:sz w:val="22"/>
          <w:szCs w:val="22"/>
          <w:b w:val="1"/>
          <w:bCs w:val="1"/>
          <w:u w:val="single" w:color="auto"/>
          <w:color w:val="0000EE"/>
        </w:rPr>
        <w:t>ITEM 5.</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22"/>
          <w:szCs w:val="22"/>
          <w:b w:val="1"/>
          <w:bCs w:val="1"/>
          <w:u w:val="single" w:color="auto"/>
          <w:color w:val="0000EE"/>
        </w:rPr>
        <w:t>ITEM 6.</w:t>
      </w:r>
    </w:p>
    <w:p>
      <w:pPr>
        <w:ind w:left="860"/>
        <w:spacing w:after="0" w:line="220" w:lineRule="auto"/>
        <w:rPr>
          <w:rFonts w:ascii="Arial" w:cs="Arial" w:eastAsia="Arial" w:hAnsi="Arial"/>
          <w:sz w:val="22"/>
          <w:szCs w:val="22"/>
          <w:b w:val="1"/>
          <w:bCs w:val="1"/>
          <w:u w:val="single" w:color="auto"/>
          <w:color w:val="0000EE"/>
        </w:rPr>
      </w:pPr>
      <w:hyperlink w:anchor="page17">
        <w:r>
          <w:rPr>
            <w:rFonts w:ascii="Arial" w:cs="Arial" w:eastAsia="Arial" w:hAnsi="Arial"/>
            <w:sz w:val="22"/>
            <w:szCs w:val="22"/>
            <w:b w:val="1"/>
            <w:bCs w:val="1"/>
            <w:u w:val="single" w:color="auto"/>
            <w:color w:val="0000EE"/>
          </w:rPr>
          <w:t>ITEM 7.</w:t>
        </w:r>
      </w:hyperlink>
    </w:p>
    <w:p>
      <w:pPr>
        <w:ind w:left="860"/>
        <w:spacing w:after="0" w:line="228" w:lineRule="auto"/>
        <w:rPr>
          <w:rFonts w:ascii="Arial" w:cs="Arial" w:eastAsia="Arial" w:hAnsi="Arial"/>
          <w:sz w:val="21"/>
          <w:szCs w:val="21"/>
          <w:b w:val="1"/>
          <w:bCs w:val="1"/>
          <w:u w:val="single" w:color="auto"/>
          <w:color w:val="0000EE"/>
        </w:rPr>
      </w:pPr>
      <w:hyperlink w:anchor="page27">
        <w:r>
          <w:rPr>
            <w:rFonts w:ascii="Arial" w:cs="Arial" w:eastAsia="Arial" w:hAnsi="Arial"/>
            <w:sz w:val="21"/>
            <w:szCs w:val="21"/>
            <w:b w:val="1"/>
            <w:bCs w:val="1"/>
            <w:u w:val="single" w:color="auto"/>
            <w:color w:val="0000EE"/>
          </w:rPr>
          <w:t>ITEM 7A.</w:t>
        </w:r>
      </w:hyperlink>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b w:val="1"/>
          <w:bCs w:val="1"/>
          <w:u w:val="single" w:color="auto"/>
          <w:color w:val="0000EE"/>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0"/>
        <w:spacing w:after="0"/>
        <w:rPr>
          <w:sz w:val="20"/>
          <w:szCs w:val="20"/>
          <w:color w:val="auto"/>
        </w:rPr>
      </w:pPr>
      <w:r>
        <w:rPr>
          <w:rFonts w:ascii="Arial" w:cs="Arial" w:eastAsia="Arial" w:hAnsi="Arial"/>
          <w:sz w:val="22"/>
          <w:szCs w:val="22"/>
          <w:b w:val="1"/>
          <w:bCs w:val="1"/>
          <w:u w:val="single" w:color="auto"/>
          <w:color w:val="0000EE"/>
        </w:rPr>
        <w:t>ITEM 9.</w:t>
      </w:r>
    </w:p>
    <w:p>
      <w:pPr>
        <w:ind w:left="860"/>
        <w:spacing w:after="0" w:line="230" w:lineRule="auto"/>
        <w:rPr>
          <w:rFonts w:ascii="Arial" w:cs="Arial" w:eastAsia="Arial" w:hAnsi="Arial"/>
          <w:sz w:val="21"/>
          <w:szCs w:val="21"/>
          <w:b w:val="1"/>
          <w:bCs w:val="1"/>
          <w:u w:val="single" w:color="auto"/>
          <w:color w:val="0000EE"/>
        </w:rPr>
      </w:pPr>
      <w:hyperlink w:anchor="page46">
        <w:r>
          <w:rPr>
            <w:rFonts w:ascii="Arial" w:cs="Arial" w:eastAsia="Arial" w:hAnsi="Arial"/>
            <w:sz w:val="21"/>
            <w:szCs w:val="21"/>
            <w:b w:val="1"/>
            <w:bCs w:val="1"/>
            <w:u w:val="single" w:color="auto"/>
            <w:color w:val="0000EE"/>
          </w:rPr>
          <w:t>ITEM 9A.</w:t>
        </w:r>
      </w:hyperlink>
    </w:p>
    <w:p>
      <w:pPr>
        <w:spacing w:after="0" w:line="1" w:lineRule="exact"/>
        <w:rPr>
          <w:sz w:val="20"/>
          <w:szCs w:val="20"/>
          <w:color w:val="auto"/>
        </w:rPr>
      </w:pPr>
    </w:p>
    <w:p>
      <w:pPr>
        <w:ind w:left="860"/>
        <w:spacing w:after="0"/>
        <w:rPr>
          <w:sz w:val="20"/>
          <w:szCs w:val="20"/>
          <w:color w:val="auto"/>
        </w:rPr>
      </w:pPr>
      <w:r>
        <w:rPr>
          <w:rFonts w:ascii="Arial" w:cs="Arial" w:eastAsia="Arial" w:hAnsi="Arial"/>
          <w:sz w:val="21"/>
          <w:szCs w:val="21"/>
          <w:b w:val="1"/>
          <w:bCs w:val="1"/>
          <w:u w:val="single" w:color="auto"/>
          <w:color w:val="0000EE"/>
        </w:rPr>
        <w:t>ITEM 9B.</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640" w:type="dxa"/>
            <w:vAlign w:val="bottom"/>
            <w:gridSpan w:val="20"/>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Market for Registrant’s Common Equity, Related Stockholder Matters, and Issuer Purchases of Equity</w:t>
              </w:r>
            </w:hyperlink>
          </w:p>
        </w:tc>
        <w:tc>
          <w:tcPr>
            <w:tcW w:w="860" w:type="dxa"/>
            <w:vAlign w:val="bottom"/>
          </w:tcPr>
          <w:p>
            <w:pPr>
              <w:spacing w:after="0"/>
              <w:rPr>
                <w:sz w:val="16"/>
                <w:szCs w:val="16"/>
                <w:color w:val="auto"/>
              </w:rPr>
            </w:pPr>
          </w:p>
        </w:tc>
      </w:tr>
      <w:tr>
        <w:trPr>
          <w:trHeight w:val="169"/>
        </w:trPr>
        <w:tc>
          <w:tcPr>
            <w:tcW w:w="200" w:type="dxa"/>
            <w:vAlign w:val="bottom"/>
            <w:tcBorders>
              <w:top w:val="single" w:sz="8" w:color="0000EE"/>
            </w:tcBorders>
          </w:tcPr>
          <w:p>
            <w:pPr>
              <w:spacing w:after="0"/>
              <w:rPr>
                <w:sz w:val="14"/>
                <w:szCs w:val="14"/>
                <w:color w:val="auto"/>
              </w:rPr>
            </w:pPr>
          </w:p>
        </w:tc>
        <w:tc>
          <w:tcPr>
            <w:tcW w:w="708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w:anchor="page15">
              <w:r>
                <w:rPr>
                  <w:rFonts w:ascii="Arial" w:cs="Arial" w:eastAsia="Arial" w:hAnsi="Arial"/>
                  <w:sz w:val="16"/>
                  <w:szCs w:val="16"/>
                  <w:color w:val="0000EE"/>
                </w:rPr>
                <w:t>Securities</w:t>
              </w:r>
            </w:hyperlink>
          </w:p>
        </w:tc>
        <w:tc>
          <w:tcPr>
            <w:tcW w:w="360" w:type="dxa"/>
            <w:vAlign w:val="bottom"/>
            <w:gridSpan w:val="3"/>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6"/>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Selected Financial Data</w:t>
              </w:r>
            </w:hyperlink>
          </w:p>
        </w:tc>
        <w:tc>
          <w:tcPr>
            <w:tcW w:w="5920" w:type="dxa"/>
            <w:vAlign w:val="bottom"/>
            <w:gridSpan w:val="14"/>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0"/>
        </w:trPr>
        <w:tc>
          <w:tcPr>
            <w:tcW w:w="7640" w:type="dxa"/>
            <w:vAlign w:val="bottom"/>
            <w:gridSpan w:val="20"/>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0"/>
        </w:trPr>
        <w:tc>
          <w:tcPr>
            <w:tcW w:w="424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Quantitative and Qualitative Disclosures about Market Risk</w:t>
              </w:r>
            </w:hyperlink>
          </w:p>
        </w:tc>
        <w:tc>
          <w:tcPr>
            <w:tcW w:w="2140" w:type="dxa"/>
            <w:vAlign w:val="bottom"/>
            <w:tcBorders>
              <w:top w:val="single" w:sz="8" w:color="0000EE"/>
            </w:tcBorders>
            <w:gridSpan w:val="4"/>
          </w:tcPr>
          <w:p>
            <w:pPr>
              <w:spacing w:after="0"/>
              <w:rPr>
                <w:sz w:val="18"/>
                <w:szCs w:val="18"/>
                <w:color w:val="auto"/>
              </w:rPr>
            </w:pPr>
          </w:p>
        </w:tc>
        <w:tc>
          <w:tcPr>
            <w:tcW w:w="1260" w:type="dxa"/>
            <w:vAlign w:val="bottom"/>
            <w:gridSpan w:val="6"/>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10"/>
        </w:trPr>
        <w:tc>
          <w:tcPr>
            <w:tcW w:w="3360" w:type="dxa"/>
            <w:vAlign w:val="bottom"/>
            <w:tcBorders>
              <w:bottom w:val="single" w:sz="8" w:color="0000EE"/>
            </w:tcBorders>
            <w:gridSpan w:val="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Financial Statements and Supplementary Data</w:t>
              </w:r>
            </w:hyperlink>
          </w:p>
        </w:tc>
        <w:tc>
          <w:tcPr>
            <w:tcW w:w="4280" w:type="dxa"/>
            <w:vAlign w:val="bottom"/>
            <w:gridSpan w:val="11"/>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10"/>
        </w:trPr>
        <w:tc>
          <w:tcPr>
            <w:tcW w:w="200" w:type="dxa"/>
            <w:vAlign w:val="bottom"/>
          </w:tcPr>
          <w:p>
            <w:pPr>
              <w:spacing w:after="0"/>
              <w:rPr>
                <w:sz w:val="18"/>
                <w:szCs w:val="18"/>
                <w:color w:val="auto"/>
              </w:rPr>
            </w:pPr>
          </w:p>
        </w:tc>
        <w:tc>
          <w:tcPr>
            <w:tcW w:w="7440" w:type="dxa"/>
            <w:vAlign w:val="bottom"/>
            <w:gridSpan w:val="1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Management’s Report on Internal Control over Financial Reporting</w:t>
              </w:r>
            </w:hyperlink>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300" w:type="dxa"/>
            <w:vAlign w:val="bottom"/>
            <w:tcBorders>
              <w:bottom w:val="single" w:sz="8" w:color="0000EE"/>
            </w:tcBorders>
            <w:gridSpan w:val="1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Report of Independent Registered Public Accounting Firm on Internal Control over Financial Reporting</w:t>
              </w:r>
            </w:hyperlink>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10"/>
        </w:trPr>
        <w:tc>
          <w:tcPr>
            <w:tcW w:w="200" w:type="dxa"/>
            <w:vAlign w:val="bottom"/>
          </w:tcPr>
          <w:p>
            <w:pPr>
              <w:spacing w:after="0"/>
              <w:rPr>
                <w:sz w:val="18"/>
                <w:szCs w:val="18"/>
                <w:color w:val="auto"/>
              </w:rPr>
            </w:pPr>
          </w:p>
        </w:tc>
        <w:tc>
          <w:tcPr>
            <w:tcW w:w="4120" w:type="dxa"/>
            <w:vAlign w:val="bottom"/>
            <w:tcBorders>
              <w:bottom w:val="single" w:sz="8" w:color="0000EE"/>
            </w:tcBorders>
            <w:gridSpan w:val="10"/>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Report of Independent Registered Public Accounting Firm</w:t>
              </w:r>
            </w:hyperlink>
          </w:p>
        </w:tc>
        <w:tc>
          <w:tcPr>
            <w:tcW w:w="3320" w:type="dxa"/>
            <w:vAlign w:val="bottom"/>
            <w:gridSpan w:val="9"/>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0"/>
        </w:trPr>
        <w:tc>
          <w:tcPr>
            <w:tcW w:w="200" w:type="dxa"/>
            <w:vAlign w:val="bottom"/>
          </w:tcPr>
          <w:p>
            <w:pPr>
              <w:spacing w:after="0"/>
              <w:rPr>
                <w:sz w:val="18"/>
                <w:szCs w:val="18"/>
                <w:color w:val="auto"/>
              </w:rPr>
            </w:pPr>
          </w:p>
        </w:tc>
        <w:tc>
          <w:tcPr>
            <w:tcW w:w="7020" w:type="dxa"/>
            <w:vAlign w:val="bottom"/>
            <w:tcBorders>
              <w:bottom w:val="single" w:sz="8" w:color="0000EE"/>
            </w:tcBorders>
            <w:gridSpan w:val="15"/>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Consolidated Statements of Earnings for the fiscal years ended October 31, 2006, 2005, and 2004</w:t>
              </w:r>
            </w:hyperlink>
          </w:p>
        </w:tc>
        <w:tc>
          <w:tcPr>
            <w:tcW w:w="42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10"/>
        </w:trPr>
        <w:tc>
          <w:tcPr>
            <w:tcW w:w="20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Consolidated Balance Sheets as of October 31, 2006 and 2005</w:t>
              </w:r>
            </w:hyperlink>
          </w:p>
        </w:tc>
        <w:tc>
          <w:tcPr>
            <w:tcW w:w="2920" w:type="dxa"/>
            <w:vAlign w:val="bottom"/>
            <w:gridSpan w:val="8"/>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10"/>
        </w:trPr>
        <w:tc>
          <w:tcPr>
            <w:tcW w:w="200" w:type="dxa"/>
            <w:vAlign w:val="bottom"/>
          </w:tcPr>
          <w:p>
            <w:pPr>
              <w:spacing w:after="0"/>
              <w:rPr>
                <w:sz w:val="18"/>
                <w:szCs w:val="18"/>
                <w:color w:val="auto"/>
              </w:rPr>
            </w:pPr>
          </w:p>
        </w:tc>
        <w:tc>
          <w:tcPr>
            <w:tcW w:w="7440" w:type="dxa"/>
            <w:vAlign w:val="bottom"/>
            <w:gridSpan w:val="1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Consolidated Statements of Cash Flows for the fiscal years ended October 31, 2006, 2005, and 2004</w:t>
              </w:r>
            </w:hyperlink>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440" w:type="dxa"/>
            <w:vAlign w:val="bottom"/>
            <w:gridSpan w:val="19"/>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Consolidated Statements of Stockholders’ Equity for the fiscal years ended October 31, 2006, 2005, and</w:t>
              </w:r>
            </w:hyperlink>
          </w:p>
        </w:tc>
        <w:tc>
          <w:tcPr>
            <w:tcW w:w="860" w:type="dxa"/>
            <w:vAlign w:val="bottom"/>
          </w:tcPr>
          <w:p>
            <w:pPr>
              <w:spacing w:after="0"/>
              <w:rPr>
                <w:sz w:val="18"/>
                <w:szCs w:val="18"/>
                <w:color w:val="auto"/>
              </w:rPr>
            </w:pPr>
          </w:p>
        </w:tc>
      </w:tr>
      <w:tr>
        <w:trPr>
          <w:trHeight w:val="169"/>
        </w:trPr>
        <w:tc>
          <w:tcPr>
            <w:tcW w:w="200" w:type="dxa"/>
            <w:vAlign w:val="bottom"/>
          </w:tcPr>
          <w:p>
            <w:pPr>
              <w:spacing w:after="0"/>
              <w:rPr>
                <w:sz w:val="14"/>
                <w:szCs w:val="14"/>
                <w:color w:val="auto"/>
              </w:rPr>
            </w:pPr>
          </w:p>
        </w:tc>
        <w:tc>
          <w:tcPr>
            <w:tcW w:w="500" w:type="dxa"/>
            <w:vAlign w:val="bottom"/>
            <w:tcBorders>
              <w:top w:val="single" w:sz="8" w:color="0000EE"/>
            </w:tcBorders>
            <w:gridSpan w:val="2"/>
          </w:tcPr>
          <w:p>
            <w:pPr>
              <w:jc w:val="right"/>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2004</w:t>
              </w:r>
            </w:hyperlink>
          </w:p>
        </w:tc>
        <w:tc>
          <w:tcPr>
            <w:tcW w:w="1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440" w:type="dxa"/>
            <w:vAlign w:val="bottom"/>
            <w:gridSpan w:val="19"/>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Notes to Consolidated Financial Statements</w:t>
              </w:r>
            </w:hyperlink>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6440" w:type="dxa"/>
            <w:vAlign w:val="bottom"/>
            <w:tcBorders>
              <w:bottom w:val="single" w:sz="8" w:color="0000EE"/>
            </w:tcBorders>
            <w:gridSpan w:val="15"/>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Changes in and Disagreements with Accountants on Accounting and Financial Disclosure</w:t>
              </w:r>
            </w:hyperlink>
          </w:p>
        </w:tc>
        <w:tc>
          <w:tcPr>
            <w:tcW w:w="1200" w:type="dxa"/>
            <w:vAlign w:val="bottom"/>
            <w:gridSpan w:val="5"/>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0"/>
        </w:trPr>
        <w:tc>
          <w:tcPr>
            <w:tcW w:w="1800" w:type="dxa"/>
            <w:vAlign w:val="bottom"/>
            <w:tcBorders>
              <w:bottom w:val="single" w:sz="8" w:color="0000EE"/>
            </w:tcBorders>
            <w:gridSpan w:val="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Controls and Procedures</w:t>
              </w:r>
            </w:hyperlink>
          </w:p>
        </w:tc>
        <w:tc>
          <w:tcPr>
            <w:tcW w:w="5840" w:type="dxa"/>
            <w:vAlign w:val="bottom"/>
            <w:gridSpan w:val="13"/>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0"/>
        </w:trPr>
        <w:tc>
          <w:tcPr>
            <w:tcW w:w="7640" w:type="dxa"/>
            <w:vAlign w:val="bottom"/>
            <w:gridSpan w:val="20"/>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Other Information</w:t>
              </w:r>
            </w:hyperlink>
          </w:p>
        </w:tc>
        <w:tc>
          <w:tcPr>
            <w:tcW w:w="8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58" w:lineRule="exact"/>
        <w:rPr>
          <w:sz w:val="20"/>
          <w:szCs w:val="20"/>
          <w:color w:val="auto"/>
        </w:rPr>
      </w:pPr>
    </w:p>
    <w:p>
      <w:pPr>
        <w:sectPr>
          <w:pgSz w:w="11900" w:h="16838" w:orient="portrait"/>
          <w:cols w:equalWidth="0" w:num="2">
            <w:col w:w="1760" w:space="300"/>
            <w:col w:w="9320"/>
          </w:cols>
          <w:pgMar w:left="240" w:top="69" w:right="279" w:bottom="0" w:gutter="0" w:footer="0" w:header="0"/>
          <w:type w:val="continuous"/>
        </w:sectPr>
      </w:pPr>
    </w:p>
    <w:p>
      <w:pPr>
        <w:ind w:left="860"/>
        <w:spacing w:after="0"/>
        <w:rPr>
          <w:sz w:val="20"/>
          <w:szCs w:val="20"/>
          <w:color w:val="auto"/>
        </w:rPr>
      </w:pPr>
      <w:r>
        <w:rPr>
          <w:rFonts w:ascii="Arial" w:cs="Arial" w:eastAsia="Arial" w:hAnsi="Arial"/>
          <w:sz w:val="25"/>
          <w:szCs w:val="25"/>
          <w:b w:val="1"/>
          <w:bCs w:val="1"/>
          <w:u w:val="single" w:color="auto"/>
          <w:color w:val="0000EE"/>
        </w:rPr>
        <w:t>PART III</w:t>
      </w:r>
    </w:p>
    <w:tbl>
      <w:tblPr>
        <w:tblLayout w:type="fixed"/>
        <w:tblInd w:w="860" w:type="dxa"/>
        <w:tblCellMar>
          <w:top w:w="0" w:type="dxa"/>
          <w:left w:w="0" w:type="dxa"/>
          <w:bottom w:w="0" w:type="dxa"/>
          <w:right w:w="0" w:type="dxa"/>
        </w:tblCellMar>
      </w:tblPr>
      <w:tr>
        <w:trPr>
          <w:trHeight w:val="263"/>
        </w:trPr>
        <w:tc>
          <w:tcPr>
            <w:tcW w:w="860" w:type="dxa"/>
            <w:vAlign w:val="bottom"/>
            <w:tcBorders>
              <w:bottom w:val="single" w:sz="8" w:color="0000EE"/>
            </w:tcBorders>
          </w:tcPr>
          <w:p>
            <w:pPr>
              <w:spacing w:after="0" w:line="237" w:lineRule="exact"/>
              <w:rPr>
                <w:sz w:val="20"/>
                <w:szCs w:val="20"/>
                <w:color w:val="auto"/>
              </w:rPr>
            </w:pPr>
            <w:r>
              <w:rPr>
                <w:rFonts w:ascii="Arial" w:cs="Arial" w:eastAsia="Arial" w:hAnsi="Arial"/>
                <w:sz w:val="22"/>
                <w:szCs w:val="22"/>
                <w:b w:val="1"/>
                <w:bCs w:val="1"/>
                <w:color w:val="0000EE"/>
                <w:w w:val="94"/>
              </w:rPr>
              <w:t>ITEM 10.</w:t>
            </w:r>
          </w:p>
        </w:tc>
        <w:tc>
          <w:tcPr>
            <w:tcW w:w="340" w:type="dxa"/>
            <w:vAlign w:val="bottom"/>
          </w:tcPr>
          <w:p>
            <w:pPr>
              <w:spacing w:after="0"/>
              <w:rPr>
                <w:sz w:val="22"/>
                <w:szCs w:val="22"/>
                <w:color w:val="auto"/>
              </w:rPr>
            </w:pPr>
          </w:p>
        </w:tc>
        <w:tc>
          <w:tcPr>
            <w:tcW w:w="3560" w:type="dxa"/>
            <w:vAlign w:val="bottom"/>
            <w:tcBorders>
              <w:bottom w:val="single" w:sz="8" w:color="0000EE"/>
            </w:tcBorders>
            <w:gridSpan w:val="4"/>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Directors and Executive Officers of the Registrant</w:t>
              </w:r>
            </w:hyperlink>
          </w:p>
        </w:tc>
        <w:tc>
          <w:tcPr>
            <w:tcW w:w="4220" w:type="dxa"/>
            <w:vAlign w:val="bottom"/>
            <w:gridSpan w:val="2"/>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860" w:type="dxa"/>
            <w:vAlign w:val="bottom"/>
            <w:tcBorders>
              <w:bottom w:val="single" w:sz="8" w:color="0000EE"/>
            </w:tcBorders>
          </w:tcPr>
          <w:p>
            <w:pPr>
              <w:spacing w:after="0" w:line="189" w:lineRule="exact"/>
              <w:rPr>
                <w:rFonts w:ascii="Arial" w:cs="Arial" w:eastAsia="Arial" w:hAnsi="Arial"/>
                <w:sz w:val="21"/>
                <w:szCs w:val="21"/>
                <w:b w:val="1"/>
                <w:bCs w:val="1"/>
                <w:color w:val="0000EE"/>
                <w:w w:val="98"/>
              </w:rPr>
            </w:pPr>
            <w:hyperlink w:anchor="page47">
              <w:r>
                <w:rPr>
                  <w:rFonts w:ascii="Arial" w:cs="Arial" w:eastAsia="Arial" w:hAnsi="Arial"/>
                  <w:sz w:val="21"/>
                  <w:szCs w:val="21"/>
                  <w:b w:val="1"/>
                  <w:bCs w:val="1"/>
                  <w:color w:val="0000EE"/>
                  <w:w w:val="98"/>
                </w:rPr>
                <w:t>ITEM 11.</w:t>
              </w:r>
            </w:hyperlink>
          </w:p>
        </w:tc>
        <w:tc>
          <w:tcPr>
            <w:tcW w:w="340" w:type="dxa"/>
            <w:vAlign w:val="bottom"/>
          </w:tcPr>
          <w:p>
            <w:pPr>
              <w:spacing w:after="0"/>
              <w:rPr>
                <w:sz w:val="17"/>
                <w:szCs w:val="17"/>
                <w:color w:val="auto"/>
              </w:rPr>
            </w:pPr>
          </w:p>
        </w:tc>
        <w:tc>
          <w:tcPr>
            <w:tcW w:w="1800" w:type="dxa"/>
            <w:vAlign w:val="bottom"/>
            <w:tcBorders>
              <w:bottom w:val="single" w:sz="8" w:color="0000EE"/>
            </w:tcBorders>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Executive Compensation</w:t>
              </w:r>
            </w:hyperlink>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860" w:type="dxa"/>
            <w:vAlign w:val="bottom"/>
          </w:tcPr>
          <w:p>
            <w:pPr>
              <w:spacing w:after="0" w:line="183" w:lineRule="exact"/>
              <w:rPr>
                <w:sz w:val="20"/>
                <w:szCs w:val="20"/>
                <w:color w:val="auto"/>
              </w:rPr>
            </w:pPr>
            <w:r>
              <w:rPr>
                <w:rFonts w:ascii="Arial" w:cs="Arial" w:eastAsia="Arial" w:hAnsi="Arial"/>
                <w:sz w:val="21"/>
                <w:szCs w:val="21"/>
                <w:b w:val="1"/>
                <w:bCs w:val="1"/>
                <w:color w:val="0000EE"/>
                <w:w w:val="98"/>
              </w:rPr>
              <w:t>ITEM 12.</w:t>
            </w:r>
          </w:p>
        </w:tc>
        <w:tc>
          <w:tcPr>
            <w:tcW w:w="340" w:type="dxa"/>
            <w:vAlign w:val="bottom"/>
          </w:tcPr>
          <w:p>
            <w:pPr>
              <w:spacing w:after="0"/>
              <w:rPr>
                <w:sz w:val="18"/>
                <w:szCs w:val="18"/>
                <w:color w:val="auto"/>
              </w:rPr>
            </w:pPr>
          </w:p>
        </w:tc>
        <w:tc>
          <w:tcPr>
            <w:tcW w:w="7780" w:type="dxa"/>
            <w:vAlign w:val="bottom"/>
            <w:gridSpan w:val="6"/>
          </w:tcPr>
          <w:p>
            <w:pPr>
              <w:spacing w:after="0" w:line="183" w:lineRule="exact"/>
              <w:rPr>
                <w:rFonts w:ascii="Arial" w:cs="Arial" w:eastAsia="Arial" w:hAnsi="Arial"/>
                <w:sz w:val="16"/>
                <w:szCs w:val="16"/>
                <w:color w:val="0000EE"/>
              </w:rPr>
            </w:pPr>
            <w:hyperlink w:anchor="page47">
              <w:r>
                <w:rPr>
                  <w:rFonts w:ascii="Arial" w:cs="Arial" w:eastAsia="Arial" w:hAnsi="Arial"/>
                  <w:sz w:val="16"/>
                  <w:szCs w:val="16"/>
                  <w:color w:val="0000EE"/>
                </w:rPr>
                <w:t>Security Ownership of Certain Beneficial Owners and Management and Related Stockholder Matters</w:t>
              </w:r>
            </w:hyperlink>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86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21"/>
                <w:szCs w:val="21"/>
                <w:b w:val="1"/>
                <w:bCs w:val="1"/>
                <w:color w:val="0000EE"/>
                <w:w w:val="98"/>
              </w:rPr>
              <w:t>ITEM 13.</w:t>
            </w:r>
          </w:p>
        </w:tc>
        <w:tc>
          <w:tcPr>
            <w:tcW w:w="340" w:type="dxa"/>
            <w:vAlign w:val="bottom"/>
          </w:tcPr>
          <w:p>
            <w:pPr>
              <w:spacing w:after="0"/>
              <w:rPr>
                <w:sz w:val="18"/>
                <w:szCs w:val="18"/>
                <w:color w:val="auto"/>
              </w:rPr>
            </w:pPr>
          </w:p>
        </w:tc>
        <w:tc>
          <w:tcPr>
            <w:tcW w:w="344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rPr>
            </w:pPr>
            <w:hyperlink w:anchor="page47">
              <w:r>
                <w:rPr>
                  <w:rFonts w:ascii="Arial" w:cs="Arial" w:eastAsia="Arial" w:hAnsi="Arial"/>
                  <w:sz w:val="16"/>
                  <w:szCs w:val="16"/>
                  <w:color w:val="0000EE"/>
                </w:rPr>
                <w:t>Certain Relationships and Related Transactions</w:t>
              </w:r>
            </w:hyperlink>
          </w:p>
        </w:tc>
        <w:tc>
          <w:tcPr>
            <w:tcW w:w="3780" w:type="dxa"/>
            <w:vAlign w:val="bottom"/>
            <w:tcBorders>
              <w:top w:val="single" w:sz="8" w:color="0000EE"/>
            </w:tcBorders>
            <w:gridSpan w:val="2"/>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860" w:type="dxa"/>
            <w:vAlign w:val="bottom"/>
            <w:tcBorders>
              <w:bottom w:val="single" w:sz="8" w:color="0000EE"/>
            </w:tcBorders>
          </w:tcPr>
          <w:p>
            <w:pPr>
              <w:spacing w:after="0" w:line="203" w:lineRule="exact"/>
              <w:rPr>
                <w:rFonts w:ascii="Arial" w:cs="Arial" w:eastAsia="Arial" w:hAnsi="Arial"/>
                <w:sz w:val="22"/>
                <w:szCs w:val="22"/>
                <w:b w:val="1"/>
                <w:bCs w:val="1"/>
                <w:color w:val="0000EE"/>
                <w:w w:val="94"/>
              </w:rPr>
            </w:pPr>
            <w:hyperlink w:anchor="page47">
              <w:r>
                <w:rPr>
                  <w:rFonts w:ascii="Arial" w:cs="Arial" w:eastAsia="Arial" w:hAnsi="Arial"/>
                  <w:sz w:val="22"/>
                  <w:szCs w:val="22"/>
                  <w:b w:val="1"/>
                  <w:bCs w:val="1"/>
                  <w:color w:val="0000EE"/>
                  <w:w w:val="94"/>
                </w:rPr>
                <w:t>ITEM 14.</w:t>
              </w:r>
            </w:hyperlink>
          </w:p>
        </w:tc>
        <w:tc>
          <w:tcPr>
            <w:tcW w:w="340" w:type="dxa"/>
            <w:vAlign w:val="bottom"/>
          </w:tcPr>
          <w:p>
            <w:pPr>
              <w:spacing w:after="0"/>
              <w:rPr>
                <w:sz w:val="18"/>
                <w:szCs w:val="18"/>
                <w:color w:val="auto"/>
              </w:rPr>
            </w:pPr>
          </w:p>
        </w:tc>
        <w:tc>
          <w:tcPr>
            <w:tcW w:w="2860" w:type="dxa"/>
            <w:vAlign w:val="bottom"/>
            <w:tcBorders>
              <w:bottom w:val="single" w:sz="8" w:color="0000EE"/>
            </w:tcBorders>
            <w:gridSpan w:val="2"/>
          </w:tcPr>
          <w:p>
            <w:pPr>
              <w:spacing w:after="0" w:line="183" w:lineRule="exact"/>
              <w:rPr>
                <w:rFonts w:ascii="Arial" w:cs="Arial" w:eastAsia="Arial" w:hAnsi="Arial"/>
                <w:sz w:val="16"/>
                <w:szCs w:val="16"/>
                <w:color w:val="0000EE"/>
              </w:rPr>
            </w:pPr>
            <w:hyperlink w:anchor="page47">
              <w:r>
                <w:rPr>
                  <w:rFonts w:ascii="Arial" w:cs="Arial" w:eastAsia="Arial" w:hAnsi="Arial"/>
                  <w:sz w:val="16"/>
                  <w:szCs w:val="16"/>
                  <w:color w:val="0000EE"/>
                </w:rPr>
                <w:t>Principal Accounting Fees and Services</w:t>
              </w:r>
            </w:hyperlink>
          </w:p>
        </w:tc>
        <w:tc>
          <w:tcPr>
            <w:tcW w:w="492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r>
    </w:tbl>
    <w:p>
      <w:pPr>
        <w:spacing w:after="0" w:line="145" w:lineRule="exact"/>
        <w:rPr>
          <w:sz w:val="20"/>
          <w:szCs w:val="20"/>
          <w:color w:val="auto"/>
        </w:rPr>
      </w:pPr>
    </w:p>
    <w:p>
      <w:pPr>
        <w:ind w:left="860"/>
        <w:spacing w:after="0"/>
        <w:rPr>
          <w:sz w:val="20"/>
          <w:szCs w:val="20"/>
          <w:color w:val="auto"/>
        </w:rPr>
      </w:pPr>
      <w:r>
        <w:rPr>
          <w:rFonts w:ascii="Arial" w:cs="Arial" w:eastAsia="Arial" w:hAnsi="Arial"/>
          <w:sz w:val="25"/>
          <w:szCs w:val="25"/>
          <w:b w:val="1"/>
          <w:bCs w:val="1"/>
          <w:u w:val="single" w:color="auto"/>
          <w:color w:val="0000EE"/>
        </w:rPr>
        <w:t>PART IV</w:t>
      </w:r>
    </w:p>
    <w:tbl>
      <w:tblPr>
        <w:tblLayout w:type="fixed"/>
        <w:tblInd w:w="860" w:type="dxa"/>
        <w:tblCellMar>
          <w:top w:w="0" w:type="dxa"/>
          <w:left w:w="0" w:type="dxa"/>
          <w:bottom w:w="0" w:type="dxa"/>
          <w:right w:w="0" w:type="dxa"/>
        </w:tblCellMar>
      </w:tblPr>
      <w:tr>
        <w:trPr>
          <w:trHeight w:val="276"/>
        </w:trPr>
        <w:tc>
          <w:tcPr>
            <w:tcW w:w="1200" w:type="dxa"/>
            <w:vAlign w:val="bottom"/>
            <w:gridSpan w:val="2"/>
          </w:tcPr>
          <w:p>
            <w:pPr>
              <w:spacing w:after="0" w:line="237" w:lineRule="exact"/>
              <w:rPr>
                <w:sz w:val="20"/>
                <w:szCs w:val="20"/>
                <w:color w:val="auto"/>
              </w:rPr>
            </w:pPr>
            <w:r>
              <w:rPr>
                <w:rFonts w:ascii="Arial" w:cs="Arial" w:eastAsia="Arial" w:hAnsi="Arial"/>
                <w:sz w:val="22"/>
                <w:szCs w:val="22"/>
                <w:b w:val="1"/>
                <w:bCs w:val="1"/>
                <w:color w:val="0000EE"/>
              </w:rPr>
              <w:t>ITEM 15.</w:t>
            </w:r>
          </w:p>
        </w:tc>
        <w:tc>
          <w:tcPr>
            <w:tcW w:w="3160" w:type="dxa"/>
            <w:vAlign w:val="bottom"/>
            <w:tcBorders>
              <w:bottom w:val="single" w:sz="8" w:color="0000EE"/>
            </w:tcBorders>
            <w:gridSpan w:val="2"/>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Exhibits and Financial Statement Schedules</w:t>
              </w:r>
            </w:hyperlink>
          </w:p>
        </w:tc>
        <w:tc>
          <w:tcPr>
            <w:tcW w:w="53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76"/>
        </w:trPr>
        <w:tc>
          <w:tcPr>
            <w:tcW w:w="86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3160" w:type="dxa"/>
            <w:vAlign w:val="bottom"/>
            <w:gridSpan w:val="2"/>
          </w:tcPr>
          <w:p>
            <w:pPr>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Signatures</w:t>
              </w:r>
            </w:hyperlink>
          </w:p>
        </w:tc>
        <w:tc>
          <w:tcPr>
            <w:tcW w:w="53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4673B6"/>
        </w:rPr>
        <w:t>PART I</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Introduction</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and “our” refer to The Toro Company and its subsidiaries. Our executive offices are located at 8111 Lyndale Avenue South, Bloomington, Minnesota 55420-1196, telephone number (952) 888-8801. Our Internet address for Toro branded product related information is </w:t>
      </w:r>
      <w:r>
        <w:rPr>
          <w:rFonts w:ascii="Arial" w:cs="Arial" w:eastAsia="Arial" w:hAnsi="Arial"/>
          <w:sz w:val="18"/>
          <w:szCs w:val="18"/>
          <w:u w:val="single" w:color="auto"/>
          <w:color w:val="auto"/>
        </w:rPr>
        <w:t>www.toro.com</w:t>
      </w:r>
      <w:r>
        <w:rPr>
          <w:rFonts w:ascii="Arial" w:cs="Arial" w:eastAsia="Arial" w:hAnsi="Arial"/>
          <w:sz w:val="18"/>
          <w:szCs w:val="18"/>
          <w:color w:val="auto"/>
        </w:rPr>
        <w:t xml:space="preserve"> and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The information contained on our web sites or connected to our web sites is not incorporated by reference into this Annual Report on Form 10-K and should not be considered part of this report.</w:t>
      </w:r>
    </w:p>
    <w:p>
      <w:pPr>
        <w:spacing w:after="0" w:line="1" w:lineRule="exact"/>
        <w:rPr>
          <w:sz w:val="20"/>
          <w:szCs w:val="20"/>
          <w:color w:val="auto"/>
        </w:rPr>
      </w:pPr>
    </w:p>
    <w:p>
      <w:pPr>
        <w:ind w:right="160" w:firstLine="180"/>
        <w:spacing w:after="0" w:line="266"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use in 1921 and our first lawn mower for home use in 1939, and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2006: Professional, 67 percent; Residential, 31 percent; and Other, 2 percent.</w:t>
      </w:r>
    </w:p>
    <w:p>
      <w:pPr>
        <w:spacing w:after="0" w:line="1" w:lineRule="exact"/>
        <w:rPr>
          <w:sz w:val="20"/>
          <w:szCs w:val="20"/>
          <w:color w:val="auto"/>
        </w:rPr>
      </w:pPr>
    </w:p>
    <w:p>
      <w:pPr>
        <w:ind w:right="480" w:firstLine="180"/>
        <w:spacing w:after="0" w:line="281" w:lineRule="auto"/>
        <w:rPr>
          <w:sz w:val="20"/>
          <w:szCs w:val="20"/>
          <w:color w:val="auto"/>
        </w:rPr>
      </w:pPr>
      <w:r>
        <w:rPr>
          <w:rFonts w:ascii="Arial" w:cs="Arial" w:eastAsia="Arial" w:hAnsi="Arial"/>
          <w:sz w:val="18"/>
          <w:szCs w:val="18"/>
          <w:color w:val="auto"/>
        </w:rPr>
        <w:t>Our products are advertised and sold at the retail level under the primary trademarks of Toro</w:t>
      </w:r>
      <w:r>
        <w:rPr>
          <w:rFonts w:ascii="Arial" w:cs="Arial" w:eastAsia="Arial" w:hAnsi="Arial"/>
          <w:sz w:val="8"/>
          <w:szCs w:val="8"/>
          <w:color w:val="auto"/>
        </w:rPr>
        <w:t>®</w:t>
      </w:r>
      <w:r>
        <w:rPr>
          <w:rFonts w:ascii="Arial" w:cs="Arial" w:eastAsia="Arial" w:hAnsi="Arial"/>
          <w:sz w:val="18"/>
          <w:szCs w:val="18"/>
          <w:color w:val="auto"/>
        </w:rPr>
        <w:t>, Toro</w:t>
      </w:r>
      <w:r>
        <w:rPr>
          <w:rFonts w:ascii="Arial" w:cs="Arial" w:eastAsia="Arial" w:hAnsi="Arial"/>
          <w:sz w:val="8"/>
          <w:szCs w:val="8"/>
          <w:color w:val="auto"/>
        </w:rPr>
        <w:t>®</w:t>
      </w:r>
      <w:r>
        <w:rPr>
          <w:rFonts w:ascii="Arial" w:cs="Arial" w:eastAsia="Arial" w:hAnsi="Arial"/>
          <w:sz w:val="18"/>
          <w:szCs w:val="18"/>
          <w:color w:val="auto"/>
        </w:rPr>
        <w:t xml:space="preserve"> Wheel Horse</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Toro</w:t>
      </w:r>
      <w:r>
        <w:rPr>
          <w:rFonts w:ascii="Arial" w:cs="Arial" w:eastAsia="Arial" w:hAnsi="Arial"/>
          <w:sz w:val="8"/>
          <w:szCs w:val="8"/>
          <w:color w:val="auto"/>
        </w:rPr>
        <w:t>®</w:t>
      </w:r>
      <w:r>
        <w:rPr>
          <w:rFonts w:ascii="Arial" w:cs="Arial" w:eastAsia="Arial" w:hAnsi="Arial"/>
          <w:sz w:val="18"/>
          <w:szCs w:val="18"/>
          <w:color w:val="auto"/>
        </w:rPr>
        <w:t xml:space="preserve"> Dingo</w:t>
      </w:r>
      <w:r>
        <w:rPr>
          <w:rFonts w:ascii="Arial" w:cs="Arial" w:eastAsia="Arial" w:hAnsi="Arial"/>
          <w:sz w:val="8"/>
          <w:szCs w:val="8"/>
          <w:color w:val="auto"/>
        </w:rPr>
        <w:t>®</w:t>
      </w:r>
      <w:r>
        <w:rPr>
          <w:rFonts w:ascii="Arial" w:cs="Arial" w:eastAsia="Arial" w:hAnsi="Arial"/>
          <w:sz w:val="18"/>
          <w:szCs w:val="18"/>
          <w:color w:val="auto"/>
        </w:rPr>
        <w:t>, Aqua-TraXX</w:t>
      </w:r>
      <w:r>
        <w:rPr>
          <w:rFonts w:ascii="Arial" w:cs="Arial" w:eastAsia="Arial" w:hAnsi="Arial"/>
          <w:sz w:val="8"/>
          <w:szCs w:val="8"/>
          <w:color w:val="auto"/>
        </w:rPr>
        <w:t>®</w:t>
      </w:r>
      <w:r>
        <w:rPr>
          <w:rFonts w:ascii="Arial" w:cs="Arial" w:eastAsia="Arial" w:hAnsi="Arial"/>
          <w:sz w:val="18"/>
          <w:szCs w:val="18"/>
          <w:color w:val="auto"/>
        </w:rPr>
        <w:t>, Pope</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and Lawn Genie</w:t>
      </w:r>
      <w:r>
        <w:rPr>
          <w:rFonts w:ascii="Arial" w:cs="Arial" w:eastAsia="Arial" w:hAnsi="Arial"/>
          <w:sz w:val="8"/>
          <w:szCs w:val="8"/>
          <w:color w:val="auto"/>
        </w:rPr>
        <w:t>®</w:t>
      </w:r>
      <w:r>
        <w:rPr>
          <w:rFonts w:ascii="Arial" w:cs="Arial" w:eastAsia="Arial" w:hAnsi="Arial"/>
          <w:sz w:val="18"/>
          <w:szCs w:val="18"/>
          <w:color w:val="auto"/>
        </w:rPr>
        <w:t>, most of which are registered in the United States and/or in the principal foreign countries where we market our products. This report also contains trademarks, trade names, and service marks that are owned by other persons or entities, such as The Home Depot.</w:t>
      </w:r>
    </w:p>
    <w:p>
      <w:pPr>
        <w:spacing w:after="0" w:line="3" w:lineRule="exact"/>
        <w:rPr>
          <w:sz w:val="20"/>
          <w:szCs w:val="20"/>
          <w:color w:val="auto"/>
        </w:rPr>
      </w:pPr>
    </w:p>
    <w:p>
      <w:pPr>
        <w:ind w:firstLine="180"/>
        <w:spacing w:after="0" w:line="267" w:lineRule="auto"/>
        <w:rPr>
          <w:sz w:val="20"/>
          <w:szCs w:val="20"/>
          <w:color w:val="auto"/>
        </w:rPr>
      </w:pPr>
      <w:r>
        <w:rPr>
          <w:rFonts w:ascii="Arial" w:cs="Arial" w:eastAsia="Arial" w:hAnsi="Arial"/>
          <w:sz w:val="18"/>
          <w:szCs w:val="18"/>
          <w:color w:val="auto"/>
        </w:rPr>
        <w:t>We emphasize quality and innovation in our customer service, products,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sizeable portion of our revenue has historically been attributable to new and enhanced products. Our mission is to be the leading worldwide provider of outdoor landscaping products, support services, and integrated systems that help customers preserve and beautify their outdoor landscapes with environmentally responsible solutions of customer-valued quality and innovation. Additional information on our strategic initiatives is included in Item 7, “Management’s Discussion and Analysis of Financial Condition and Results of Operations,” of this report.</w:t>
      </w:r>
    </w:p>
    <w:p>
      <w:pPr>
        <w:sectPr>
          <w:pgSz w:w="11900" w:h="16838" w:orient="portrait"/>
          <w:cols w:equalWidth="0" w:num="1">
            <w:col w:w="11380"/>
          </w:cols>
          <w:pgMar w:left="240" w:top="69" w:right="279" w:bottom="0" w:gutter="0" w:footer="0" w:header="0"/>
          <w:type w:val="continuous"/>
        </w:sectPr>
      </w:pPr>
    </w:p>
    <w:bookmarkStart w:id="2" w:name="page3"/>
    <w:bookmarkEnd w:id="2"/>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Products by Market</w:t>
      </w:r>
    </w:p>
    <w:p>
      <w:pPr>
        <w:spacing w:after="0" w:line="4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 turf care maintenance, and residential demands. The following is a summary of our products by market for the professional and residential segments:</w:t>
      </w:r>
    </w:p>
    <w:p>
      <w:pPr>
        <w:spacing w:after="0" w:line="67"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4673B6"/>
        </w:rPr>
        <w:t xml:space="preserve">Professional – </w:t>
      </w:r>
      <w:r>
        <w:rPr>
          <w:rFonts w:ascii="Arial" w:cs="Arial" w:eastAsia="Arial" w:hAnsi="Arial"/>
          <w:sz w:val="18"/>
          <w:szCs w:val="18"/>
          <w:color w:val="000000"/>
        </w:rPr>
        <w:t>We design professional turf products and market them worldwide through a network of distributors and dealers as well as</w:t>
      </w:r>
      <w:r>
        <w:rPr>
          <w:rFonts w:ascii="Arial" w:cs="Arial" w:eastAsia="Arial" w:hAnsi="Arial"/>
          <w:sz w:val="18"/>
          <w:szCs w:val="18"/>
          <w:b w:val="1"/>
          <w:bCs w:val="1"/>
          <w:color w:val="4673B6"/>
        </w:rPr>
        <w:t xml:space="preserve"> </w:t>
      </w:r>
      <w:r>
        <w:rPr>
          <w:rFonts w:ascii="Arial" w:cs="Arial" w:eastAsia="Arial" w:hAnsi="Arial"/>
          <w:sz w:val="18"/>
          <w:szCs w:val="18"/>
          <w:color w:val="000000"/>
        </w:rPr>
        <w:t>directly to government customers and rental companies.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that began in 1921 with tractor-towed mowers for golf courses. Over time, we have expanded our product lines to include products designed for large turf areas, such as golf courses, schools, parks, cemeteries, sports fields, industrial sites, apartments, and townhouse complexes.</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4673B6"/>
        </w:rPr>
        <w:t xml:space="preserve">Landscape Contractor Market. </w:t>
      </w:r>
      <w:r>
        <w:rPr>
          <w:rFonts w:ascii="Arial" w:cs="Arial" w:eastAsia="Arial" w:hAnsi="Arial"/>
          <w:sz w:val="18"/>
          <w:szCs w:val="18"/>
          <w:color w:val="000000"/>
        </w:rPr>
        <w:t>Products for the landscape contractor market include zero-turn radius riding mowers, 21-inch heavy-duty walk</w:t>
      </w:r>
      <w:r>
        <w:rPr>
          <w:rFonts w:ascii="Arial" w:cs="Arial" w:eastAsia="Arial" w:hAnsi="Arial"/>
          <w:sz w:val="18"/>
          <w:szCs w:val="18"/>
          <w:i w:val="1"/>
          <w:iCs w:val="1"/>
          <w:color w:val="4673B6"/>
        </w:rPr>
        <w:t xml:space="preserve"> </w:t>
      </w:r>
      <w:r>
        <w:rPr>
          <w:rFonts w:ascii="Arial" w:cs="Arial" w:eastAsia="Arial" w:hAnsi="Arial"/>
          <w:sz w:val="18"/>
          <w:szCs w:val="18"/>
          <w:color w:val="000000"/>
        </w:rPr>
        <w:t>behind mowers, mid-size walk behind mowers, and compact utility loaders. These products are sold through distributors and dealers, and are also available through rental centers to individuals and companies who maintain and create residential and commercial landscapes on behalf of property owners. We market products to landscape contractors under the Toro, Exmark, and Lawn-Boy brands.</w:t>
      </w:r>
    </w:p>
    <w:p>
      <w:pPr>
        <w:spacing w:after="0" w:line="1" w:lineRule="exact"/>
        <w:rPr>
          <w:sz w:val="20"/>
          <w:szCs w:val="20"/>
          <w:color w:val="auto"/>
        </w:rPr>
      </w:pPr>
    </w:p>
    <w:p>
      <w:pPr>
        <w:ind w:right="220" w:firstLine="180"/>
        <w:spacing w:after="0" w:line="272" w:lineRule="auto"/>
        <w:rPr>
          <w:sz w:val="20"/>
          <w:szCs w:val="20"/>
          <w:color w:val="auto"/>
        </w:rPr>
      </w:pPr>
      <w:r>
        <w:rPr>
          <w:rFonts w:ascii="Arial" w:cs="Arial" w:eastAsia="Arial" w:hAnsi="Arial"/>
          <w:sz w:val="18"/>
          <w:szCs w:val="18"/>
          <w:color w:val="auto"/>
        </w:rPr>
        <w:t>In fiscal 2006, we introduced a new line of fixed and floating deck mid-sized walk-behind commercial mowers, featuring the same high performance Turboforce</w:t>
      </w:r>
      <w:r>
        <w:rPr>
          <w:rFonts w:ascii="Arial" w:cs="Arial" w:eastAsia="Arial" w:hAnsi="Arial"/>
          <w:sz w:val="8"/>
          <w:szCs w:val="8"/>
          <w:color w:val="auto"/>
        </w:rPr>
        <w:t>®</w:t>
      </w:r>
      <w:r>
        <w:rPr>
          <w:rFonts w:ascii="Arial" w:cs="Arial" w:eastAsia="Arial" w:hAnsi="Arial"/>
          <w:sz w:val="18"/>
          <w:szCs w:val="18"/>
          <w:color w:val="auto"/>
        </w:rPr>
        <w:t xml:space="preserve"> deck technology used on the Toro zero-turn radius riding mowers. In fiscal 2006, we also introduced the Exmark Phazer™, a compact commercial zero-turn radius riding mower for landscape professionals with smaller properties unsuitable for larger commercial riders, and the Exmark FrontRunner™, a front mount commercial zero-turn radius riding mower with a hydraulic deck lift and fold for enhanced serviceability.</w:t>
      </w:r>
    </w:p>
    <w:p>
      <w:pPr>
        <w:spacing w:after="0" w:line="2"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Our compact utility loaders are cornerstone products for the Toro Sitework Systems product line. These products are designed to improve efficiency in the creation of landscapes. We offer over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35 attachments for our compact utility loaders, including trenchers, augers, vibratory plows, and backhoes. In fiscal 2006, we introduced two new diesel-powered compact utility loaders.</w:t>
      </w:r>
    </w:p>
    <w:p>
      <w:pPr>
        <w:spacing w:after="0" w:line="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4673B6"/>
        </w:rPr>
        <w:t xml:space="preserve">Sports Fields and Grounds Market. </w:t>
      </w:r>
      <w:r>
        <w:rPr>
          <w:rFonts w:ascii="Arial" w:cs="Arial" w:eastAsia="Arial" w:hAnsi="Arial"/>
          <w:sz w:val="18"/>
          <w:szCs w:val="18"/>
          <w:color w:val="000000"/>
        </w:rPr>
        <w:t>Products for the sports fields and grounds market include riding rotary units with cutting widths ranging from</w:t>
      </w:r>
      <w:r>
        <w:rPr>
          <w:rFonts w:ascii="Arial" w:cs="Arial" w:eastAsia="Arial" w:hAnsi="Arial"/>
          <w:sz w:val="18"/>
          <w:szCs w:val="18"/>
          <w:i w:val="1"/>
          <w:iCs w:val="1"/>
          <w:color w:val="4673B6"/>
        </w:rPr>
        <w:t xml:space="preserve"> </w:t>
      </w:r>
      <w:r>
        <w:rPr>
          <w:rFonts w:ascii="Arial" w:cs="Arial" w:eastAsia="Arial" w:hAnsi="Arial"/>
          <w:sz w:val="18"/>
          <w:szCs w:val="18"/>
          <w:color w:val="000000"/>
        </w:rPr>
        <w:t>21 inches to 16 feet, aerators, attachments, and debris management products, which include versatile debris vacuums, blowers, and sweepers. Other products include multipurpose vehicles, such as the Workman</w:t>
      </w:r>
      <w:r>
        <w:rPr>
          <w:rFonts w:ascii="Arial" w:cs="Arial" w:eastAsia="Arial" w:hAnsi="Arial"/>
          <w:sz w:val="8"/>
          <w:szCs w:val="8"/>
          <w:color w:val="000000"/>
        </w:rPr>
        <w:t>®</w:t>
      </w:r>
      <w:r>
        <w:rPr>
          <w:rFonts w:ascii="Arial" w:cs="Arial" w:eastAsia="Arial" w:hAnsi="Arial"/>
          <w:sz w:val="18"/>
          <w:szCs w:val="18"/>
          <w:color w:val="000000"/>
        </w:rPr>
        <w:t>, that can be used for turf maintenance, towing, and industrial hauling.</w:t>
      </w:r>
    </w:p>
    <w:p>
      <w:pPr>
        <w:spacing w:after="0" w:line="4"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color w:val="auto"/>
        </w:rPr>
        <w:t>These products are sold through distributors, who then sell to owners and/or managers of sports fields, municipal and institutional properties, cemeteries, and facilities such as airports and corporate headquarters. In fiscal 2006, we introduced the Infield Pro</w:t>
      </w:r>
      <w:r>
        <w:rPr>
          <w:rFonts w:ascii="Arial" w:cs="Arial" w:eastAsia="Arial" w:hAnsi="Arial"/>
          <w:sz w:val="8"/>
          <w:szCs w:val="8"/>
          <w:color w:val="auto"/>
        </w:rPr>
        <w:t>®</w:t>
      </w:r>
      <w:r>
        <w:rPr>
          <w:rFonts w:ascii="Arial" w:cs="Arial" w:eastAsia="Arial" w:hAnsi="Arial"/>
          <w:sz w:val="18"/>
          <w:szCs w:val="18"/>
          <w:color w:val="auto"/>
        </w:rPr>
        <w:t xml:space="preserve"> 3040 and 5040 infield groomers, featuring the new Quick Attachment System that provides attachment changes without the use of tools for most of the 17 attachments.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4673B6"/>
        </w:rPr>
        <w:t xml:space="preserve">Residential/Commercial Irrigation Market. </w:t>
      </w:r>
      <w:r>
        <w:rPr>
          <w:rFonts w:ascii="Arial" w:cs="Arial" w:eastAsia="Arial" w:hAnsi="Arial"/>
          <w:sz w:val="18"/>
          <w:szCs w:val="18"/>
          <w:color w:val="000000"/>
        </w:rPr>
        <w:t>Turf irrigation products marketed under the Toro and Irritrol brand names include sprinkler heads,</w:t>
      </w:r>
      <w:r>
        <w:rPr>
          <w:rFonts w:ascii="Arial" w:cs="Arial" w:eastAsia="Arial" w:hAnsi="Arial"/>
          <w:sz w:val="18"/>
          <w:szCs w:val="18"/>
          <w:i w:val="1"/>
          <w:iCs w:val="1"/>
          <w:color w:val="4673B6"/>
        </w:rPr>
        <w:t xml:space="preserve"> </w:t>
      </w:r>
      <w:r>
        <w:rPr>
          <w:rFonts w:ascii="Arial" w:cs="Arial" w:eastAsia="Arial" w:hAnsi="Arial"/>
          <w:sz w:val="18"/>
          <w:szCs w:val="18"/>
          <w:color w:val="000000"/>
        </w:rPr>
        <w:t>brass and 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 We also offer wireless rain and freeze switches on some products in an effort to conserve water usage. Our IntelliSense™ and SmartDial™ controllers self-adjust their watering schedules based on current environment conditions. In fiscal 2006, we introduced the Irritrol</w:t>
      </w:r>
      <w:r>
        <w:rPr>
          <w:rFonts w:ascii="Arial" w:cs="Arial" w:eastAsia="Arial" w:hAnsi="Arial"/>
          <w:sz w:val="8"/>
          <w:szCs w:val="8"/>
          <w:color w:val="000000"/>
        </w:rPr>
        <w:t>®</w:t>
      </w:r>
      <w:r>
        <w:rPr>
          <w:rFonts w:ascii="Arial" w:cs="Arial" w:eastAsia="Arial" w:hAnsi="Arial"/>
          <w:sz w:val="18"/>
          <w:szCs w:val="18"/>
          <w:color w:val="000000"/>
        </w:rPr>
        <w:t xml:space="preserve"> PC Control™ residential controller system, featuring wireless transmission of watering and landscape lighting schedules between a user’s personal computer and the irrigation controller.</w:t>
      </w:r>
    </w:p>
    <w:p>
      <w:pPr>
        <w:spacing w:after="0" w:line="74"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i w:val="1"/>
          <w:iCs w:val="1"/>
          <w:color w:val="4673B6"/>
        </w:rPr>
        <w:t xml:space="preserve">Golf Course Market. </w:t>
      </w:r>
      <w:r>
        <w:rPr>
          <w:rFonts w:ascii="Arial" w:cs="Arial" w:eastAsia="Arial" w:hAnsi="Arial"/>
          <w:sz w:val="18"/>
          <w:szCs w:val="18"/>
          <w:color w:val="000000"/>
        </w:rPr>
        <w:t>Products for the golf course market include large reel and rotary riding products for fairway, rough and trim cutting; riding</w:t>
      </w:r>
      <w:r>
        <w:rPr>
          <w:rFonts w:ascii="Arial" w:cs="Arial" w:eastAsia="Arial" w:hAnsi="Arial"/>
          <w:sz w:val="18"/>
          <w:szCs w:val="18"/>
          <w:i w:val="1"/>
          <w:iCs w:val="1"/>
          <w:color w:val="4673B6"/>
        </w:rPr>
        <w:t xml:space="preserve"> </w:t>
      </w:r>
      <w:r>
        <w:rPr>
          <w:rFonts w:ascii="Arial" w:cs="Arial" w:eastAsia="Arial" w:hAnsi="Arial"/>
          <w:sz w:val="18"/>
          <w:szCs w:val="18"/>
          <w:color w:val="000000"/>
        </w:rPr>
        <w:t>and walking mowers for putting greens and specialty areas; turf sprayer equipment; utility vehicles; turf aerators, including the ProCore</w:t>
      </w:r>
      <w:r>
        <w:rPr>
          <w:rFonts w:ascii="Arial" w:cs="Arial" w:eastAsia="Arial" w:hAnsi="Arial"/>
          <w:sz w:val="8"/>
          <w:szCs w:val="8"/>
          <w:color w:val="000000"/>
        </w:rPr>
        <w:t>®</w:t>
      </w:r>
      <w:r>
        <w:rPr>
          <w:rFonts w:ascii="Arial" w:cs="Arial" w:eastAsia="Arial" w:hAnsi="Arial"/>
          <w:sz w:val="18"/>
          <w:szCs w:val="18"/>
          <w:color w:val="000000"/>
        </w:rPr>
        <w:t xml:space="preserve"> 648 walk-behind aerator; and bunker maintenance equipment. We also manufacture and market underground irrigation systems, including sprinkler heads and controllers that activate electric, battery-operated, or hydraulic valves. Our professional irrigation systems are designed to use computerized management systems and a variety of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also provides an upgrade path to customers with existing controllers.</w:t>
      </w:r>
    </w:p>
    <w:p>
      <w:pPr>
        <w:spacing w:after="0" w:line="4" w:lineRule="exact"/>
        <w:rPr>
          <w:sz w:val="20"/>
          <w:szCs w:val="20"/>
          <w:color w:val="auto"/>
        </w:rPr>
      </w:pPr>
    </w:p>
    <w:p>
      <w:pPr>
        <w:ind w:right="240" w:firstLine="180"/>
        <w:spacing w:after="0" w:line="287" w:lineRule="auto"/>
        <w:rPr>
          <w:sz w:val="20"/>
          <w:szCs w:val="20"/>
          <w:color w:val="auto"/>
        </w:rPr>
      </w:pPr>
      <w:r>
        <w:rPr>
          <w:rFonts w:ascii="Arial" w:cs="Arial" w:eastAsia="Arial" w:hAnsi="Arial"/>
          <w:sz w:val="18"/>
          <w:szCs w:val="18"/>
          <w:color w:val="auto"/>
        </w:rPr>
        <w:t>In fiscal 2006, we introduced four models to the all-new Reelmaster</w:t>
      </w:r>
      <w:r>
        <w:rPr>
          <w:rFonts w:ascii="Arial" w:cs="Arial" w:eastAsia="Arial" w:hAnsi="Arial"/>
          <w:sz w:val="8"/>
          <w:szCs w:val="8"/>
          <w:color w:val="auto"/>
        </w:rPr>
        <w:t>®</w:t>
      </w:r>
      <w:r>
        <w:rPr>
          <w:rFonts w:ascii="Arial" w:cs="Arial" w:eastAsia="Arial" w:hAnsi="Arial"/>
          <w:sz w:val="18"/>
          <w:szCs w:val="18"/>
          <w:color w:val="auto"/>
        </w:rPr>
        <w:t xml:space="preserve"> 5010 Series of fairway mowers, featuring Dual Precision Adjustment cutting units, improved serviceability and comfort features, and an optional upgrade that enhances traction and climbing ability with the CrossTrax</w:t>
      </w:r>
      <w:r>
        <w:rPr>
          <w:rFonts w:ascii="Arial" w:cs="Arial" w:eastAsia="Arial" w:hAnsi="Arial"/>
          <w:sz w:val="8"/>
          <w:szCs w:val="8"/>
          <w:color w:val="auto"/>
        </w:rPr>
        <w:t>®</w:t>
      </w:r>
      <w:r>
        <w:rPr>
          <w:rFonts w:ascii="Arial" w:cs="Arial" w:eastAsia="Arial" w:hAnsi="Arial"/>
          <w:sz w:val="18"/>
          <w:szCs w:val="18"/>
          <w:color w:val="auto"/>
        </w:rPr>
        <w:t xml:space="preserve"> all-wheel drive system. In fiscal 2006, we also introduced the Sand Pro</w:t>
      </w:r>
      <w:r>
        <w:rPr>
          <w:rFonts w:ascii="Arial" w:cs="Arial" w:eastAsia="Arial" w:hAnsi="Arial"/>
          <w:sz w:val="8"/>
          <w:szCs w:val="8"/>
          <w:color w:val="auto"/>
        </w:rPr>
        <w:t>®</w:t>
      </w:r>
      <w:r>
        <w:rPr>
          <w:rFonts w:ascii="Arial" w:cs="Arial" w:eastAsia="Arial" w:hAnsi="Arial"/>
          <w:sz w:val="18"/>
          <w:szCs w:val="18"/>
          <w:color w:val="auto"/>
        </w:rPr>
        <w:t xml:space="preserve"> 3040 and 5040 professional golf course bunker management machines that feature the new Quick Attachment System that provides attachment changes without the use of tools for most of the Sand Pro’s 17 attachments. In fiscal 2006, we also introduced the Groundsmaster</w:t>
      </w:r>
      <w:r>
        <w:rPr>
          <w:rFonts w:ascii="Arial" w:cs="Arial" w:eastAsia="Arial" w:hAnsi="Arial"/>
          <w:sz w:val="8"/>
          <w:szCs w:val="8"/>
          <w:color w:val="auto"/>
        </w:rPr>
        <w:t>®</w:t>
      </w:r>
      <w:r>
        <w:rPr>
          <w:rFonts w:ascii="Arial" w:cs="Arial" w:eastAsia="Arial" w:hAnsi="Arial"/>
          <w:sz w:val="18"/>
          <w:szCs w:val="18"/>
          <w:color w:val="auto"/>
        </w:rPr>
        <w:t xml:space="preserve"> 3280-D compact rotary mowers to our international markets.</w:t>
      </w:r>
    </w:p>
    <w:p>
      <w:pPr>
        <w:spacing w:after="0" w:line="6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4673B6"/>
        </w:rPr>
        <w:t xml:space="preserve">Micro-Irrigation Market. </w:t>
      </w:r>
      <w:r>
        <w:rPr>
          <w:rFonts w:ascii="Arial" w:cs="Arial" w:eastAsia="Arial" w:hAnsi="Arial"/>
          <w:sz w:val="18"/>
          <w:szCs w:val="18"/>
          <w:color w:val="000000"/>
        </w:rPr>
        <w:t>Products for the micro-irrigation market include emission devices that regulate flow for drip irrigation, including Aqua-TraXX</w:t>
      </w:r>
      <w:r>
        <w:rPr>
          <w:rFonts w:ascii="Arial" w:cs="Arial" w:eastAsia="Arial" w:hAnsi="Arial"/>
          <w:sz w:val="8"/>
          <w:szCs w:val="8"/>
          <w:color w:val="000000"/>
        </w:rPr>
        <w:t>®</w:t>
      </w:r>
      <w:r>
        <w:rPr>
          <w:rFonts w:ascii="Arial" w:cs="Arial" w:eastAsia="Arial" w:hAnsi="Arial"/>
          <w:sz w:val="18"/>
          <w:szCs w:val="18"/>
          <w:color w:val="000000"/>
        </w:rPr>
        <w:t xml:space="preserve"> drip tape, patented Aqua-TraXX</w:t>
      </w:r>
      <w:r>
        <w:rPr>
          <w:rFonts w:ascii="Arial" w:cs="Arial" w:eastAsia="Arial" w:hAnsi="Arial"/>
          <w:sz w:val="8"/>
          <w:szCs w:val="8"/>
          <w:color w:val="000000"/>
        </w:rPr>
        <w:t>®</w:t>
      </w:r>
      <w:r>
        <w:rPr>
          <w:rFonts w:ascii="Arial" w:cs="Arial" w:eastAsia="Arial" w:hAnsi="Arial"/>
          <w:sz w:val="18"/>
          <w:szCs w:val="18"/>
          <w:color w:val="000000"/>
        </w:rPr>
        <w:t xml:space="preserve"> PC (pressure-compensating), Blue Stripe</w:t>
      </w:r>
      <w:r>
        <w:rPr>
          <w:rFonts w:ascii="Arial" w:cs="Arial" w:eastAsia="Arial" w:hAnsi="Arial"/>
          <w:sz w:val="8"/>
          <w:szCs w:val="8"/>
          <w:color w:val="000000"/>
        </w:rPr>
        <w:t>®</w:t>
      </w:r>
      <w:r>
        <w:rPr>
          <w:rFonts w:ascii="Arial" w:cs="Arial" w:eastAsia="Arial" w:hAnsi="Arial"/>
          <w:sz w:val="18"/>
          <w:szCs w:val="18"/>
          <w:color w:val="000000"/>
        </w:rPr>
        <w:t xml:space="preserve"> polyethylene tubing, and Drip In</w:t>
      </w:r>
      <w:r>
        <w:rPr>
          <w:rFonts w:ascii="Arial" w:cs="Arial" w:eastAsia="Arial" w:hAnsi="Arial"/>
          <w:sz w:val="8"/>
          <w:szCs w:val="8"/>
          <w:color w:val="000000"/>
        </w:rPr>
        <w:t>®</w:t>
      </w:r>
      <w:r>
        <w:rPr>
          <w:rFonts w:ascii="Arial" w:cs="Arial" w:eastAsia="Arial" w:hAnsi="Arial"/>
          <w:sz w:val="18"/>
          <w:szCs w:val="18"/>
          <w:color w:val="000000"/>
        </w:rPr>
        <w:t xml:space="preserve"> drip line, all used in agriculture, mining, and landscape applications. These products are sold primarily through dealers and distributors who then sell to end users for use primarily in vegetable fields, fruit and nut orchards, vineyards, and landscapes. In fiscal 2006, we introduced a product life-cycle management program that includes an industry-first recycling service and permanent identification for ease of installation.</w:t>
      </w:r>
    </w:p>
    <w:p>
      <w:pPr>
        <w:spacing w:after="0" w:line="6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4673B6"/>
        </w:rPr>
        <w:t xml:space="preserve">Residential – </w:t>
      </w:r>
      <w:r>
        <w:rPr>
          <w:rFonts w:ascii="Arial" w:cs="Arial" w:eastAsia="Arial" w:hAnsi="Arial"/>
          <w:sz w:val="18"/>
          <w:szCs w:val="18"/>
          <w:color w:val="000000"/>
        </w:rPr>
        <w:t>We market our residential products to homeowners through a variety of distribution channels, including dealers, hardware</w:t>
      </w:r>
      <w:r>
        <w:rPr>
          <w:rFonts w:ascii="Arial" w:cs="Arial" w:eastAsia="Arial" w:hAnsi="Arial"/>
          <w:sz w:val="18"/>
          <w:szCs w:val="18"/>
          <w:b w:val="1"/>
          <w:bCs w:val="1"/>
          <w:color w:val="4673B6"/>
        </w:rPr>
        <w:t xml:space="preserve"> </w:t>
      </w:r>
      <w:r>
        <w:rPr>
          <w:rFonts w:ascii="Arial" w:cs="Arial" w:eastAsia="Arial" w:hAnsi="Arial"/>
          <w:sz w:val="18"/>
          <w:szCs w:val="18"/>
          <w:color w:val="000000"/>
        </w:rPr>
        <w:t>retailers, home centers, mass retailers, and over the Internet. These products are sold mainly in North America, Europe, and Australia, with the exception of snow removal products, which are sold primarily in North America and Europe. We also license our trade name to other manufacturers and retailers on certain products as a means of expanding our brand name presence.</w:t>
      </w:r>
    </w:p>
    <w:p>
      <w:pPr>
        <w:spacing w:after="0" w:line="71"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i w:val="1"/>
          <w:iCs w:val="1"/>
          <w:color w:val="4673B6"/>
        </w:rPr>
        <w:t xml:space="preserve">Walk Power Mower Products. </w:t>
      </w:r>
      <w:r>
        <w:rPr>
          <w:rFonts w:ascii="Arial" w:cs="Arial" w:eastAsia="Arial" w:hAnsi="Arial"/>
          <w:sz w:val="18"/>
          <w:szCs w:val="18"/>
          <w:color w:val="000000"/>
        </w:rPr>
        <w:t>We manufacture and market numerous walk power mower models under our Toro and Lawn-Boy brand names,</w:t>
      </w:r>
      <w:r>
        <w:rPr>
          <w:rFonts w:ascii="Arial" w:cs="Arial" w:eastAsia="Arial" w:hAnsi="Arial"/>
          <w:sz w:val="18"/>
          <w:szCs w:val="18"/>
          <w:i w:val="1"/>
          <w:iCs w:val="1"/>
          <w:color w:val="4673B6"/>
        </w:rPr>
        <w:t xml:space="preserve"> </w:t>
      </w:r>
      <w:r>
        <w:rPr>
          <w:rFonts w:ascii="Arial" w:cs="Arial" w:eastAsia="Arial" w:hAnsi="Arial"/>
          <w:sz w:val="18"/>
          <w:szCs w:val="18"/>
          <w:color w:val="000000"/>
        </w:rPr>
        <w:t>as well as the Pope brand name in Australia and the Hayter brand name in the United Kingdom. Models differ as to cutting width, type of starter</w:t>
      </w:r>
    </w:p>
    <w:p>
      <w:pPr>
        <w:sectPr>
          <w:pgSz w:w="11900" w:h="16906" w:orient="portrait"/>
          <w:cols w:equalWidth="0" w:num="1">
            <w:col w:w="11420"/>
          </w:cols>
          <w:pgMar w:left="240" w:top="111" w:right="239" w:bottom="0" w:gutter="0" w:footer="0" w:header="0"/>
        </w:sectPr>
      </w:pPr>
    </w:p>
    <w:bookmarkStart w:id="3" w:name="page4"/>
    <w:bookmarkEnd w:id="3"/>
    <w:p>
      <w:pPr>
        <w:ind w:right="160"/>
        <w:spacing w:after="0" w:line="270" w:lineRule="auto"/>
        <w:rPr>
          <w:sz w:val="20"/>
          <w:szCs w:val="20"/>
          <w:color w:val="auto"/>
        </w:rPr>
      </w:pPr>
      <w:r>
        <w:rPr>
          <w:rFonts w:ascii="Arial" w:cs="Arial" w:eastAsia="Arial" w:hAnsi="Arial"/>
          <w:sz w:val="18"/>
          <w:szCs w:val="18"/>
          <w:color w:val="auto"/>
        </w:rPr>
        <w:t>mechanism, ability to mulch, bag or side discharge grass clippings, cast aluminum or steel decks, controls, and power sources, and are either self-propelled or push mowers. Toro brand lawn mowers are backed by our “Guaranteed To Start” program. We also offer a line of rear roller walk power mowers, a design that provides a striped finish for the United Kingdom market. In fiscal 2006, we introduced two models of the Eurocycler™, an electric mower designed exclusively for the European homeowner.</w:t>
      </w:r>
    </w:p>
    <w:p>
      <w:pPr>
        <w:spacing w:after="0" w:line="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4673B6"/>
        </w:rPr>
        <w:t xml:space="preserve">Riding Products. </w:t>
      </w:r>
      <w:r>
        <w:rPr>
          <w:rFonts w:ascii="Arial" w:cs="Arial" w:eastAsia="Arial" w:hAnsi="Arial"/>
          <w:sz w:val="18"/>
          <w:szCs w:val="18"/>
          <w:color w:val="000000"/>
        </w:rPr>
        <w:t>We manufacture and market riding products under the Toro and Lawn-Boy brand names and the Hayter brand name in the</w:t>
      </w:r>
      <w:r>
        <w:rPr>
          <w:rFonts w:ascii="Arial" w:cs="Arial" w:eastAsia="Arial" w:hAnsi="Arial"/>
          <w:sz w:val="18"/>
          <w:szCs w:val="18"/>
          <w:i w:val="1"/>
          <w:iCs w:val="1"/>
          <w:color w:val="4673B6"/>
        </w:rPr>
        <w:t xml:space="preserve"> </w:t>
      </w:r>
      <w:r>
        <w:rPr>
          <w:rFonts w:ascii="Arial" w:cs="Arial" w:eastAsia="Arial" w:hAnsi="Arial"/>
          <w:sz w:val="18"/>
          <w:szCs w:val="18"/>
          <w:color w:val="000000"/>
        </w:rPr>
        <w:t>United Kingdom. Riding mowers and tractors include a rear engine riding mower manufactured and sold in the European market; lawn tractor models; and garden tractor models. Many models are available with a variety of decks and accessories.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Recycler cutting decks are available on some models. Models can be equipped with manual, automatic, or hydrostatic transmissions. In recent years, we introduced a new line of riding products, the TimeCutter</w:t>
      </w:r>
      <w:r>
        <w:rPr>
          <w:rFonts w:ascii="Arial" w:cs="Arial" w:eastAsia="Arial" w:hAnsi="Arial"/>
          <w:sz w:val="8"/>
          <w:szCs w:val="8"/>
          <w:color w:val="auto"/>
        </w:rPr>
        <w:t>®</w:t>
      </w:r>
      <w:r>
        <w:rPr>
          <w:rFonts w:ascii="Arial" w:cs="Arial" w:eastAsia="Arial" w:hAnsi="Arial"/>
          <w:sz w:val="18"/>
          <w:szCs w:val="18"/>
          <w:color w:val="auto"/>
        </w:rPr>
        <w:t xml:space="preserve"> zero-turning radius riding mowers. In early fiscal 2007, we introduced four new models to the TimeCutter</w:t>
      </w:r>
      <w:r>
        <w:rPr>
          <w:rFonts w:ascii="Arial" w:cs="Arial" w:eastAsia="Arial" w:hAnsi="Arial"/>
          <w:sz w:val="8"/>
          <w:szCs w:val="8"/>
          <w:color w:val="auto"/>
        </w:rPr>
        <w:t>®</w:t>
      </w:r>
      <w:r>
        <w:rPr>
          <w:rFonts w:ascii="Arial" w:cs="Arial" w:eastAsia="Arial" w:hAnsi="Arial"/>
          <w:sz w:val="18"/>
          <w:szCs w:val="18"/>
          <w:color w:val="auto"/>
        </w:rPr>
        <w:t xml:space="preserve"> line of zero-turning radius riding mowers, featuring larger engines and deck options and other enhancements designed to further reduce mowing time for homeowners. We also manufacture riding mower products plus attachments for a third party under a private label agreement. In fiscal 2006, we introduced the LX Series and GT2000 Series value-priced lawn and garden tractors to the North American market. In fiscal 2006, we also introduced a new D-Series lawn tractor to the European market, featuring a larger engine and improved comfort features.</w:t>
      </w:r>
    </w:p>
    <w:p>
      <w:pPr>
        <w:spacing w:after="0" w:line="73"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4673B6"/>
        </w:rPr>
        <w:t xml:space="preserve">Home Solutions Products. </w:t>
      </w:r>
      <w:r>
        <w:rPr>
          <w:rFonts w:ascii="Arial" w:cs="Arial" w:eastAsia="Arial" w:hAnsi="Arial"/>
          <w:sz w:val="18"/>
          <w:szCs w:val="18"/>
          <w:color w:val="000000"/>
        </w:rPr>
        <w:t>We design and market home solutions products under the Toro and Pope brand names, including electric and</w:t>
      </w:r>
      <w:r>
        <w:rPr>
          <w:rFonts w:ascii="Arial" w:cs="Arial" w:eastAsia="Arial" w:hAnsi="Arial"/>
          <w:sz w:val="18"/>
          <w:szCs w:val="18"/>
          <w:i w:val="1"/>
          <w:iCs w:val="1"/>
          <w:color w:val="4673B6"/>
        </w:rPr>
        <w:t xml:space="preserve"> </w:t>
      </w:r>
      <w:r>
        <w:rPr>
          <w:rFonts w:ascii="Arial" w:cs="Arial" w:eastAsia="Arial" w:hAnsi="Arial"/>
          <w:sz w:val="18"/>
          <w:szCs w:val="18"/>
          <w:color w:val="000000"/>
        </w:rPr>
        <w:t>battery operated flexible line grass trimmers, electric blowers, electric blower-vacuums, and electric snow throwers. The versatile electric Power Shovel Plus is an innovative machine for every season that can clear snow up to six inches deep and sweep away dirt, leaves, and other debris from hard surfaces. In fiscal 2007, we introduced three new electric blower-vacuum models, featuring a more powerful air force and an improved flow rate.</w:t>
      </w:r>
    </w:p>
    <w:p>
      <w:pPr>
        <w:spacing w:after="0" w:line="74"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i w:val="1"/>
          <w:iCs w:val="1"/>
          <w:color w:val="4673B6"/>
        </w:rPr>
        <w:t xml:space="preserve">Retail Irrigation Products. </w:t>
      </w:r>
      <w:r>
        <w:rPr>
          <w:rFonts w:ascii="Arial" w:cs="Arial" w:eastAsia="Arial" w:hAnsi="Arial"/>
          <w:sz w:val="18"/>
          <w:szCs w:val="18"/>
          <w:color w:val="000000"/>
        </w:rPr>
        <w:t>We design and market underground retail irrigation products under the Toro and Lawn Genie brand names. In</w:t>
      </w:r>
      <w:r>
        <w:rPr>
          <w:rFonts w:ascii="Arial" w:cs="Arial" w:eastAsia="Arial" w:hAnsi="Arial"/>
          <w:sz w:val="18"/>
          <w:szCs w:val="18"/>
          <w:i w:val="1"/>
          <w:iCs w:val="1"/>
          <w:color w:val="4673B6"/>
        </w:rPr>
        <w:t xml:space="preserve"> </w:t>
      </w:r>
      <w:r>
        <w:rPr>
          <w:rFonts w:ascii="Arial" w:cs="Arial" w:eastAsia="Arial" w:hAnsi="Arial"/>
          <w:sz w:val="18"/>
          <w:szCs w:val="18"/>
          <w:color w:val="000000"/>
        </w:rPr>
        <w:t>Australia, we also design and market underground and hose-end retail irrigation products under the Pope brand name. These products are designed for homeowner installation and include sprinkler heads, valves, and electronic and mechanical timers. Our ECXTRA™ sprinkler timers can be used with a home computer and our Scheduling Advisor™ recommends the proper watering schedule based on the local weather, plant type, and sprinkler. We also design and market drip irrigation systems for residential landscapes and gardens.</w:t>
      </w:r>
    </w:p>
    <w:p>
      <w:pPr>
        <w:spacing w:after="0" w:line="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4673B6"/>
        </w:rPr>
        <w:t xml:space="preserve">Gas Snow Removal Products. </w:t>
      </w:r>
      <w:r>
        <w:rPr>
          <w:rFonts w:ascii="Arial" w:cs="Arial" w:eastAsia="Arial" w:hAnsi="Arial"/>
          <w:sz w:val="18"/>
          <w:szCs w:val="18"/>
          <w:color w:val="000000"/>
        </w:rPr>
        <w:t>We manufacture and market a range of gas-powered single-stage and two-stage snow thrower models under</w:t>
      </w:r>
      <w:r>
        <w:rPr>
          <w:rFonts w:ascii="Arial" w:cs="Arial" w:eastAsia="Arial" w:hAnsi="Arial"/>
          <w:sz w:val="18"/>
          <w:szCs w:val="18"/>
          <w:i w:val="1"/>
          <w:iCs w:val="1"/>
          <w:color w:val="4673B6"/>
        </w:rPr>
        <w:t xml:space="preserve"> </w:t>
      </w:r>
      <w:r>
        <w:rPr>
          <w:rFonts w:ascii="Arial" w:cs="Arial" w:eastAsia="Arial" w:hAnsi="Arial"/>
          <w:sz w:val="18"/>
          <w:szCs w:val="18"/>
          <w:color w:val="000000"/>
        </w:rPr>
        <w:t>the Toro and Lawn-Boy brand names. Single-stage snow throwers are walk behind units with lightweight two-cycle gasoline engines. Most single-stage snow thrower models include Power Curve</w:t>
      </w:r>
      <w:r>
        <w:rPr>
          <w:rFonts w:ascii="Arial" w:cs="Arial" w:eastAsia="Arial" w:hAnsi="Arial"/>
          <w:sz w:val="8"/>
          <w:szCs w:val="8"/>
          <w:color w:val="000000"/>
        </w:rPr>
        <w:t>®</w:t>
      </w:r>
      <w:r>
        <w:rPr>
          <w:rFonts w:ascii="Arial" w:cs="Arial" w:eastAsia="Arial" w:hAnsi="Arial"/>
          <w:sz w:val="18"/>
          <w:szCs w:val="18"/>
          <w:color w:val="000000"/>
        </w:rPr>
        <w:t xml:space="preserve"> snow thrower technology. Our large two-stage snow throwers are designed for relatively large areas of deep, heavy snow falls and use two- and four-cycle engines, and include a line of innovative models featuring the Power Max</w:t>
      </w:r>
      <w:r>
        <w:rPr>
          <w:rFonts w:ascii="Arial" w:cs="Arial" w:eastAsia="Arial" w:hAnsi="Arial"/>
          <w:sz w:val="8"/>
          <w:szCs w:val="8"/>
          <w:color w:val="000000"/>
        </w:rPr>
        <w:t>®</w:t>
      </w:r>
      <w:r>
        <w:rPr>
          <w:rFonts w:ascii="Arial" w:cs="Arial" w:eastAsia="Arial" w:hAnsi="Arial"/>
          <w:sz w:val="18"/>
          <w:szCs w:val="18"/>
          <w:color w:val="000000"/>
        </w:rPr>
        <w:t xml:space="preserve"> auger system for enhanced performance and the Quick Stick</w:t>
      </w:r>
      <w:r>
        <w:rPr>
          <w:rFonts w:ascii="Arial" w:cs="Arial" w:eastAsia="Arial" w:hAnsi="Arial"/>
          <w:sz w:val="8"/>
          <w:szCs w:val="8"/>
          <w:color w:val="000000"/>
        </w:rPr>
        <w:t>®</w:t>
      </w:r>
      <w:r>
        <w:rPr>
          <w:rFonts w:ascii="Arial" w:cs="Arial" w:eastAsia="Arial" w:hAnsi="Arial"/>
          <w:sz w:val="18"/>
          <w:szCs w:val="18"/>
          <w:color w:val="000000"/>
        </w:rPr>
        <w:t xml:space="preserve"> chute control technology. We also manufacture and market hybrid models with single-stage snow thrower technology that are self-propelling, providing the operational ease of a single-stage snow thrower with the power of a two-stage unit. In fiscal 2006, we introduced a new line of compact two-stage snow throwers.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Information About Foreign Operations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and Business Segments</w:t>
      </w:r>
    </w:p>
    <w:p>
      <w:pPr>
        <w:spacing w:after="0" w:line="1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Belgium, the United Kingdom, France, Australia, Singapore, Japan, China, Italy, and Switzerland. New product development is pursued primarily in the United States. Our net sales outside the United States were 27.0 percent, 24.8 percent, and 20.7 percent of total consolidated net sales for fiscal 2006, 2005, and 2004, respectively.</w:t>
      </w:r>
    </w:p>
    <w:p>
      <w:pPr>
        <w:spacing w:after="0" w:line="1" w:lineRule="exact"/>
        <w:rPr>
          <w:sz w:val="20"/>
          <w:szCs w:val="20"/>
          <w:color w:val="auto"/>
        </w:rPr>
      </w:pPr>
    </w:p>
    <w:p>
      <w:pPr>
        <w:ind w:right="60" w:firstLine="180"/>
        <w:spacing w:after="0" w:line="269"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Item 7A entitled “Quantitative and Qualitative Disclosures about Market Risk.” For additional financial information regarding our foreign operations and each of our segments, see Note 11 of Notes to Consolidated Financial Statements entitled “Segment Data,” included in Item 8 of Part II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Manufacturing and Production</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products. Operations are also designed to be flexible enough to accommodate product design changes required to respond to market demand.</w:t>
      </w:r>
    </w:p>
    <w:p>
      <w:pPr>
        <w:spacing w:after="0" w:line="1" w:lineRule="exact"/>
        <w:rPr>
          <w:sz w:val="20"/>
          <w:szCs w:val="20"/>
          <w:color w:val="auto"/>
        </w:rPr>
      </w:pPr>
    </w:p>
    <w:p>
      <w:pPr>
        <w:ind w:right="280" w:firstLine="180"/>
        <w:spacing w:after="0" w:line="268"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which are intended to streamline work and eliminate waste. We have some flexible assembly lines that can handle a wide product mix and deliver products when customers require them. Additionally, we spend considerable effort to reduce manufacturing costs through Lean methods and process improvement, product and platform design, application of advanced technology, enhanced environmental management systems, SKU consolidation, safety improvements, and better supply-chain management. We also manufacture products sold under a private label agreement to a third party on a competitive basis, and we have agreements with</w:t>
      </w:r>
    </w:p>
    <w:p>
      <w:pPr>
        <w:sectPr>
          <w:pgSz w:w="11900" w:h="16838" w:orient="portrait"/>
          <w:cols w:equalWidth="0" w:num="1">
            <w:col w:w="11420"/>
          </w:cols>
          <w:pgMar w:left="240" w:top="152" w:right="239" w:bottom="26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2" w:right="239" w:bottom="260" w:gutter="0" w:footer="0" w:header="0"/>
          <w:type w:val="continuous"/>
        </w:sectPr>
      </w:pPr>
    </w:p>
    <w:bookmarkStart w:id="4" w:name="page5"/>
    <w:bookmarkEnd w:id="4"/>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third party manufacturers to manufacture products on our behalf.</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Our professional products are manufactured throughout the year. Our residential spring and summer products are also generally manufactured throughout the year. However, our residential fall and winter products are generally manufactured in the summer and fall months. Our products are tested in conditions and locations similar to those in which they are used. We use computer-aided design and manufacturing systems to shorten the time between initial concept and final production.</w:t>
      </w:r>
    </w:p>
    <w:p>
      <w:pPr>
        <w:spacing w:after="0" w:line="1" w:lineRule="exact"/>
        <w:rPr>
          <w:sz w:val="20"/>
          <w:szCs w:val="20"/>
          <w:color w:val="auto"/>
        </w:rPr>
      </w:pPr>
    </w:p>
    <w:p>
      <w:pPr>
        <w:ind w:right="160" w:firstLine="180"/>
        <w:spacing w:after="0" w:line="269" w:lineRule="auto"/>
        <w:rPr>
          <w:sz w:val="20"/>
          <w:szCs w:val="20"/>
          <w:color w:val="auto"/>
        </w:rPr>
      </w:pPr>
      <w:r>
        <w:rPr>
          <w:rFonts w:ascii="Arial" w:cs="Arial" w:eastAsia="Arial" w:hAnsi="Arial"/>
          <w:sz w:val="18"/>
          <w:szCs w:val="18"/>
          <w:color w:val="auto"/>
        </w:rPr>
        <w:t>Our production levels and inventory management goals are based on estimates of demand for our products, taking into account production capacity, timing of shipments, and field inventory levels. We also periodically shut down production to allow for maintenance, rearrangement, and capital equipment installation at our manufacturing facilities. Capital expenditures for fiscal 2007 are expected to be approximately $45 to $50 million, which is $5 to $10 million higher than fiscal 2006 capital expenditures as we expect to continue to invest in manufacturing equipment and tooling for new products.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Engineering and Research</w:t>
      </w:r>
    </w:p>
    <w:p>
      <w:pPr>
        <w:spacing w:after="0" w:line="4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will be slow to be or not accepted by the marketplace. We attempt to mitigate this risk through our focus on and commitment to understanding our customers’ needs and requirements. We are investing more time upfront with customers, using “Voice of the Customer” tools to ensure we develop innovative products that will be valued by our customers. We are also utilizing Design for Manufacturing and Assembly (DFMA) tools and enhancing our New Product Development System to ensure early manufacturing involvement in new product designs to reduce product cost. DFMA focuses on reducing the number of parts required to assemble new products as well as designing products to move more efficiently through the manufacturing process. We are also making several improvements to our engineering process as part of our Lean initiatives.</w:t>
      </w:r>
    </w:p>
    <w:p>
      <w:pPr>
        <w:spacing w:after="0" w:line="1" w:lineRule="exact"/>
        <w:rPr>
          <w:sz w:val="20"/>
          <w:szCs w:val="20"/>
          <w:color w:val="auto"/>
        </w:rPr>
      </w:pPr>
    </w:p>
    <w:p>
      <w:pPr>
        <w:ind w:right="120" w:firstLine="180"/>
        <w:spacing w:after="0" w:line="269"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approximately $57.3 million (3.1 percent of net sales) in fiscal 2006, $52.6 million (3.0 percent of net sales) in fiscal 2005, and $48.0 million (2.9 percent of net sales) in fiscal 2004. In fiscal 2007, we anticipate engineering and research costs to increase compared to fiscal 2006 as we plan to continue to invest in new product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Raw Materials</w:t>
      </w:r>
    </w:p>
    <w:p>
      <w:pPr>
        <w:spacing w:after="0" w:line="40" w:lineRule="exact"/>
        <w:rPr>
          <w:sz w:val="20"/>
          <w:szCs w:val="20"/>
          <w:color w:val="auto"/>
        </w:rPr>
      </w:pPr>
    </w:p>
    <w:p>
      <w:pPr>
        <w:jc w:val="center"/>
        <w:ind w:right="80"/>
        <w:spacing w:after="0" w:line="266" w:lineRule="auto"/>
        <w:rPr>
          <w:sz w:val="20"/>
          <w:szCs w:val="20"/>
          <w:color w:val="auto"/>
        </w:rPr>
      </w:pPr>
      <w:r>
        <w:rPr>
          <w:rFonts w:ascii="Arial" w:cs="Arial" w:eastAsia="Arial" w:hAnsi="Arial"/>
          <w:sz w:val="18"/>
          <w:szCs w:val="18"/>
          <w:color w:val="auto"/>
        </w:rPr>
        <w:t>Most of the components of our products are commercially available from a number of sources and are in adequate supply. Therefore, we are generally not dependent on any one supplier, except for engines from Japanese suppliers used in some of our professional segment products. In fiscal 2006, we experienced no significant work stoppages as a result of shortages of raw materials or commodities. The highest value component costs are generally engines, steel, transmissions, transaxles, hydraulics, electric motors, and plastic resin purchased from several</w:t>
      </w:r>
    </w:p>
    <w:p>
      <w:pPr>
        <w:spacing w:after="0" w:line="1"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suppliers around the world. We have some long-term commitments for the purchase of various component parts and raw materials that management believes are unlikely to be terminated prematurely.</w:t>
      </w:r>
    </w:p>
    <w:p>
      <w:pPr>
        <w:ind w:right="120" w:firstLine="180"/>
        <w:spacing w:after="0" w:line="271" w:lineRule="auto"/>
        <w:rPr>
          <w:sz w:val="20"/>
          <w:szCs w:val="20"/>
          <w:color w:val="auto"/>
        </w:rPr>
      </w:pPr>
      <w:r>
        <w:rPr>
          <w:rFonts w:ascii="Arial" w:cs="Arial" w:eastAsia="Arial" w:hAnsi="Arial"/>
          <w:sz w:val="18"/>
          <w:szCs w:val="18"/>
          <w:color w:val="auto"/>
        </w:rPr>
        <w:t>During fiscal 2006, we continued to experience an increase in commodity costs, which resulted in a negative impact on our gross margins and net earnings. We have offset and expect to continue to mitigate in part the impact of these increased costs through internal cost reduction efforts, vendor negotiations, alternative sourcing options, and by recovering a portion of these costs with price increases to customers.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Service and Warranty</w:t>
      </w:r>
    </w:p>
    <w:p>
      <w:pPr>
        <w:spacing w:after="0" w:line="4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length varies depending on whether product usage is for “residential” or “professional” applications within individual product lines. Some products have an over-the-counter exchange option and some have a 30-day satisfaction guarantee. Warranty coverage ranges from a period of six months to seven years, and generally covers parts, labor, and other expenses for non-maintenance repairs, provided operator abuse, improper use, or negligence did not necessitate the repair. An authorized Toro, Lawn-Boy, Hayter, or Exmark distributor or dealer must perform warranty work. Distributors, dealers, and contractors submit claims for warranty reimbursement and are credited for the cost of repairs, labor, and other expenses as long as the repairs meet our prescribed standards. Warranty expense is accrued at the time of sale based on, among other factors, historical claims experience by individual product lines. Warranty reserves are also accrued for major rework campaigns and product recalls. Service support outside of the warranty period is provided by independent Toro, Lawn-Boy, Hayter, or Exmark distributors and dealers at the customer’s expense. We also sell extended warranty coverage on select products for a prescribed period after the original factory warranty period expires.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Product Liability</w:t>
      </w:r>
    </w:p>
    <w:p>
      <w:pPr>
        <w:spacing w:after="0" w:line="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individual claims. We purchase excess insurance coverage for catastrophic product liability claims for incidents that exceed our self-insured retention levels.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Patents</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we believe our patents are valuable and patent protection is beneficial, our patent protection does not deter or prevent competitors from attempting to develop similar products. We are not materially dependent on any one or more of our patents.</w:t>
      </w:r>
    </w:p>
    <w:p>
      <w:pPr>
        <w:spacing w:after="0" w:line="1" w:lineRule="exact"/>
        <w:rPr>
          <w:sz w:val="20"/>
          <w:szCs w:val="20"/>
          <w:color w:val="auto"/>
        </w:rPr>
      </w:pPr>
    </w:p>
    <w:p>
      <w:pPr>
        <w:ind w:right="20" w:firstLine="180"/>
        <w:spacing w:after="0" w:line="268" w:lineRule="auto"/>
        <w:rPr>
          <w:sz w:val="20"/>
          <w:szCs w:val="20"/>
          <w:color w:val="auto"/>
        </w:rPr>
      </w:pPr>
      <w:r>
        <w:rPr>
          <w:rFonts w:ascii="Arial" w:cs="Arial" w:eastAsia="Arial" w:hAnsi="Arial"/>
          <w:sz w:val="18"/>
          <w:szCs w:val="18"/>
          <w:color w:val="auto"/>
        </w:rPr>
        <w:t>To prevent possible infringement of our patents by others, we periodically review competitors’ products. To avoid potential liability with respect to others’ patents, we regularly review certain patents issued by the U.S. Patent and Trademark Office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effect on our consolidated financial results.</w:t>
      </w:r>
    </w:p>
    <w:p>
      <w:pPr>
        <w:sectPr>
          <w:pgSz w:w="11900" w:h="16865" w:orient="portrait"/>
          <w:cols w:equalWidth="0" w:num="1">
            <w:col w:w="11400"/>
          </w:cols>
          <w:pgMar w:left="240" w:top="395" w:right="259" w:bottom="0" w:gutter="0" w:footer="0" w:header="0"/>
        </w:sectPr>
      </w:pPr>
    </w:p>
    <w:bookmarkStart w:id="5" w:name="page6"/>
    <w:bookmarkEnd w:id="5"/>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Seasonality</w:t>
      </w:r>
    </w:p>
    <w:p>
      <w:pPr>
        <w:spacing w:after="0" w:line="4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Sales of our residential products, which accounted for approximately 31 percent of total consolidated net sales in fiscal 2006,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West Coast, Southern states, and our markets in the Southern hemisphere such as Australia, Latin America, and Asia continues for a longer portion of the year than in Northern regions of the world.</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Typically, accounts receivable balances increase between January and April as a result of higher sales volumes and extended payment terms made available to our customers. Accounts receivable balances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operations and with our bank credit lines. Peak borrowing generally occurs between February and May.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total consolidated net sales and net earnings for each quarter as a percentage of the total fiscal year.</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92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rPr>
              <w:t>Fiscal 2006</w:t>
            </w:r>
          </w:p>
        </w:tc>
        <w:tc>
          <w:tcPr>
            <w:tcW w:w="2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Fiscal 2005</w:t>
            </w:r>
          </w:p>
        </w:tc>
        <w:tc>
          <w:tcPr>
            <w:tcW w:w="2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Net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r>
      <w:tr>
        <w:trPr>
          <w:trHeight w:val="189"/>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Sales</w:t>
            </w: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Earnings</w:t>
            </w: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Sales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Earnings</w:t>
            </w:r>
          </w:p>
        </w:tc>
        <w:tc>
          <w:tcPr>
            <w:tcW w:w="220" w:type="dxa"/>
            <w:vAlign w:val="bottom"/>
            <w:tcBorders>
              <w:bottom w:val="single" w:sz="8" w:color="CCEEFF"/>
            </w:tcBorders>
          </w:tcPr>
          <w:p>
            <w:pPr>
              <w:spacing w:after="0"/>
              <w:rPr>
                <w:sz w:val="16"/>
                <w:szCs w:val="16"/>
                <w:color w:val="auto"/>
              </w:rPr>
            </w:pPr>
          </w:p>
        </w:tc>
      </w:tr>
      <w:tr>
        <w:trPr>
          <w:trHeight w:val="183"/>
        </w:trPr>
        <w:tc>
          <w:tcPr>
            <w:tcW w:w="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20%</w:t>
            </w:r>
          </w:p>
        </w:tc>
        <w:tc>
          <w:tcPr>
            <w:tcW w:w="126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11%</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r>
      <w:tr>
        <w:trPr>
          <w:trHeight w:val="189"/>
        </w:trPr>
        <w:tc>
          <w:tcPr>
            <w:tcW w:w="92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720" w:type="dxa"/>
            <w:vAlign w:val="bottom"/>
          </w:tcPr>
          <w:p>
            <w:pPr>
              <w:ind w:left="240"/>
              <w:spacing w:after="0"/>
              <w:rPr>
                <w:sz w:val="20"/>
                <w:szCs w:val="20"/>
                <w:color w:val="auto"/>
              </w:rPr>
            </w:pPr>
            <w:r>
              <w:rPr>
                <w:rFonts w:ascii="Arial" w:cs="Arial" w:eastAsia="Arial" w:hAnsi="Arial"/>
                <w:sz w:val="14"/>
                <w:szCs w:val="14"/>
                <w:b w:val="1"/>
                <w:bCs w:val="1"/>
                <w:color w:val="auto"/>
              </w:rPr>
              <w:t>36</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35</w:t>
            </w:r>
          </w:p>
        </w:tc>
        <w:tc>
          <w:tcPr>
            <w:tcW w:w="78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6"/>
                <w:szCs w:val="16"/>
                <w:color w:val="auto"/>
              </w:rPr>
            </w:pPr>
          </w:p>
        </w:tc>
      </w:tr>
      <w:tr>
        <w:trPr>
          <w:trHeight w:val="189"/>
        </w:trPr>
        <w:tc>
          <w:tcPr>
            <w:tcW w:w="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26</w:t>
            </w:r>
          </w:p>
        </w:tc>
        <w:tc>
          <w:tcPr>
            <w:tcW w:w="12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31</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6"/>
                <w:szCs w:val="16"/>
                <w:color w:val="auto"/>
              </w:rPr>
            </w:pPr>
          </w:p>
        </w:tc>
      </w:tr>
      <w:tr>
        <w:trPr>
          <w:trHeight w:val="189"/>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18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4</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Effects of Weather</w:t>
      </w:r>
    </w:p>
    <w:p>
      <w:pPr>
        <w:spacing w:after="0" w:line="4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From time to time, weather conditions in a particular region or market may adversely affect sales of some of our products and field inventory levels, and result in a negative impact on our future net sales. As the percentage of our net sales from outside the United States has continued to increase, our dependency on weather in any one part of the world has decreased. Nonetheless, weather conditions could materially affect our future net sales.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Distribution and Marketing</w:t>
      </w:r>
    </w:p>
    <w:p>
      <w:pPr>
        <w:spacing w:after="0" w:line="4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We market the majority of our products through approximately 50 domestic and 100 foreign distributors, as well as a number of hardware retailers, home centers, and mass retailers in more than 90 countries worldwide.</w:t>
      </w:r>
    </w:p>
    <w:p>
      <w:pPr>
        <w:ind w:right="60" w:firstLine="180"/>
        <w:spacing w:after="0" w:line="266" w:lineRule="auto"/>
        <w:rPr>
          <w:sz w:val="20"/>
          <w:szCs w:val="20"/>
          <w:color w:val="auto"/>
        </w:rPr>
      </w:pPr>
      <w:r>
        <w:rPr>
          <w:rFonts w:ascii="Arial" w:cs="Arial" w:eastAsia="Arial" w:hAnsi="Arial"/>
          <w:sz w:val="18"/>
          <w:szCs w:val="18"/>
          <w:color w:val="auto"/>
        </w:rPr>
        <w:t>Toro and Lawn-Boy residential products, such as walk power mowers, riding products, and snow throwers, are sold to distributors, including Toro-owned distributors, for resale to retail dealers throughout the United States. Walk power mowers, snow throwers, and riding products are also sold directly to dealers, hardware retailers, home centers, and mass retailers. Home solutions products and retail irrigation products are primarily sold directly to home centers, mass retailers, hardware retailers, and dealers. We also sell selected residential products over the Internet, mainly through Internet retailers. Internationally, residential products are sold direct to retail dealers and mass merchandisers in Australia, Belgium, Canada, and the United Kingdom. In most other countries, products are mainly sold to distributors for resale to dealers and mass merchandisers.</w:t>
      </w:r>
    </w:p>
    <w:p>
      <w:pPr>
        <w:spacing w:after="0" w:line="1" w:lineRule="exact"/>
        <w:rPr>
          <w:sz w:val="20"/>
          <w:szCs w:val="20"/>
          <w:color w:val="auto"/>
        </w:rPr>
      </w:pPr>
    </w:p>
    <w:p>
      <w:pPr>
        <w:ind w:right="160" w:firstLine="180"/>
        <w:spacing w:after="0" w:line="266" w:lineRule="auto"/>
        <w:rPr>
          <w:sz w:val="20"/>
          <w:szCs w:val="20"/>
          <w:color w:val="auto"/>
        </w:rPr>
      </w:pPr>
      <w:r>
        <w:rPr>
          <w:rFonts w:ascii="Arial" w:cs="Arial" w:eastAsia="Arial" w:hAnsi="Arial"/>
          <w:sz w:val="18"/>
          <w:szCs w:val="18"/>
          <w:color w:val="auto"/>
        </w:rPr>
        <w:t>Worldwide, professional products are sold mainly to distributors for resale to dealers, sports complexes, industrial facilities, contractors, municipalities, rental stores, and golf courses. We also sell some professional segment products directly to government customers and rental companies. Selected residential/commercial irrigation products are also sold directly to professional irrigation distributors. Compact utility loaders and attachments are sold directly to dealers and large rental companies. Beginning in fiscal 2006, we sold Exmark products direct to dealers in certain regions of the United States.</w:t>
      </w:r>
    </w:p>
    <w:p>
      <w:pPr>
        <w:spacing w:after="0" w:line="1"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We currently own two domestic distribution companies. Our primary purposes in owning domestic distributorships are to facilitate ownership transfers while improving operations, and test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color w:val="auto"/>
        </w:rPr>
        <w:t>and deploy new strategies and business practices that could be replicated by our independent distributors. These distribution companies sell professional and residential products directly to retail dealers and customers in the United States and a majority of their revenues are derived from Toro-manufactured products.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our distribution network to be a competitive advantage in marketing and selling our products.</w:t>
      </w:r>
    </w:p>
    <w:p>
      <w:pPr>
        <w:spacing w:after="0" w:line="23" w:lineRule="exact"/>
        <w:rPr>
          <w:sz w:val="20"/>
          <w:szCs w:val="20"/>
          <w:color w:val="auto"/>
        </w:rPr>
      </w:pPr>
    </w:p>
    <w:p>
      <w:pPr>
        <w:ind w:right="240" w:firstLine="180"/>
        <w:spacing w:after="0" w:line="297" w:lineRule="auto"/>
        <w:rPr>
          <w:sz w:val="20"/>
          <w:szCs w:val="20"/>
          <w:color w:val="auto"/>
        </w:rPr>
      </w:pPr>
      <w:r>
        <w:rPr>
          <w:rFonts w:ascii="Arial" w:cs="Arial" w:eastAsia="Arial" w:hAnsi="Arial"/>
          <w:sz w:val="18"/>
          <w:szCs w:val="18"/>
          <w:color w:val="auto"/>
        </w:rPr>
        <w:t>Our current marketing strategy is to maintain distinct brands and brand identification for Toro</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Lawn Genie</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and Pope</w:t>
      </w:r>
      <w:r>
        <w:rPr>
          <w:rFonts w:ascii="Arial" w:cs="Arial" w:eastAsia="Arial" w:hAnsi="Arial"/>
          <w:sz w:val="8"/>
          <w:szCs w:val="8"/>
          <w:color w:val="auto"/>
        </w:rPr>
        <w:t>®</w:t>
      </w:r>
      <w:r>
        <w:rPr>
          <w:rFonts w:ascii="Arial" w:cs="Arial" w:eastAsia="Arial" w:hAnsi="Arial"/>
          <w:sz w:val="18"/>
          <w:szCs w:val="18"/>
          <w:color w:val="auto"/>
        </w:rPr>
        <w:t xml:space="preserve"> products.</w:t>
      </w:r>
    </w:p>
    <w:p>
      <w:pPr>
        <w:spacing w:after="0" w:line="1" w:lineRule="exact"/>
        <w:rPr>
          <w:sz w:val="20"/>
          <w:szCs w:val="20"/>
          <w:color w:val="auto"/>
        </w:rPr>
      </w:pPr>
    </w:p>
    <w:p>
      <w:pPr>
        <w:ind w:right="140" w:firstLine="180"/>
        <w:spacing w:after="0" w:line="270" w:lineRule="auto"/>
        <w:rPr>
          <w:sz w:val="20"/>
          <w:szCs w:val="20"/>
          <w:color w:val="auto"/>
        </w:rPr>
      </w:pPr>
      <w:r>
        <w:rPr>
          <w:rFonts w:ascii="Arial" w:cs="Arial" w:eastAsia="Arial" w:hAnsi="Arial"/>
          <w:sz w:val="18"/>
          <w:szCs w:val="18"/>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purchased by the company as well as through cooperative programs with distributors, dealers, hardware retailers, home centers, and mass retailers.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Customers</w:t>
      </w:r>
    </w:p>
    <w:p>
      <w:pPr>
        <w:spacing w:after="0" w:line="4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Overall, we believe that in the long-term we are not dependent on any single customer. However, The Home Depot accounted for greater than 10 percent of our total consolidated net sales in fiscal 2006, 2005, and 2004. The residential segment of our business is dependent on The Home Depot as a customer. While the loss of any substantial customer could have a material short-term impact on our business, we believe that our diverse distribution channels and customer base should reduce the long-term impact of any such loss.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Backlog of Orders</w:t>
      </w:r>
    </w:p>
    <w:p>
      <w:pPr>
        <w:sectPr>
          <w:pgSz w:w="11900" w:h="16861" w:orient="portrait"/>
          <w:cols w:equalWidth="0" w:num="1">
            <w:col w:w="11380"/>
          </w:cols>
          <w:pgMar w:left="240" w:top="111" w:right="279" w:bottom="0" w:gutter="0" w:footer="0" w:header="0"/>
        </w:sectPr>
      </w:pPr>
    </w:p>
    <w:p>
      <w:pPr>
        <w:spacing w:after="0" w:line="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approximate backlog of orders believed to be firm as of October 31, 2006 and 2005 was $120.6 million and $117.6 million, respectively, an increase of 2.5 percent. We expect the existing backlog of orders will be filled in early fiscal 2007.</w:t>
      </w:r>
    </w:p>
    <w:p>
      <w:pPr>
        <w:sectPr>
          <w:pgSz w:w="11900" w:h="16861" w:orient="portrait"/>
          <w:cols w:equalWidth="0" w:num="1">
            <w:col w:w="11380"/>
          </w:cols>
          <w:pgMar w:left="240" w:top="111"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4673B6"/>
        </w:rPr>
        <w:t>Competition</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pricing, product innovation, quality and reliability, product support and customer service, warranty, reputation, distribution, shelf space, and financing options. Pricing has become an increasingly important competitive factor for a majority of our products. We believe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many product lines with numerous manufacturers, many of who have substantially greater financial resources than we do. We believe that we have a competitive advantage because we manufacture a broad range of product lines, we are committed to product innovation and customer service, we focus on Lean manufacturing methods, we have a strong focus in maintaining landscapes, and our distribution channels position us well to compete in various markets.</w:t>
      </w:r>
    </w:p>
    <w:p>
      <w:pPr>
        <w:spacing w:after="0" w:line="2" w:lineRule="exact"/>
        <w:rPr>
          <w:sz w:val="20"/>
          <w:szCs w:val="20"/>
          <w:color w:val="auto"/>
        </w:rPr>
      </w:pPr>
    </w:p>
    <w:p>
      <w:pPr>
        <w:ind w:right="40" w:firstLine="180"/>
        <w:spacing w:after="0" w:line="270" w:lineRule="auto"/>
        <w:rPr>
          <w:sz w:val="20"/>
          <w:szCs w:val="20"/>
          <w:color w:val="auto"/>
        </w:rPr>
      </w:pPr>
      <w:r>
        <w:rPr>
          <w:rFonts w:ascii="Arial" w:cs="Arial" w:eastAsia="Arial" w:hAnsi="Arial"/>
          <w:sz w:val="18"/>
          <w:szCs w:val="18"/>
          <w:color w:val="auto"/>
        </w:rPr>
        <w:t>Internationally, residential segment products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Environmental Matters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 Governmental Regulation</w:t>
      </w:r>
    </w:p>
    <w:p>
      <w:pPr>
        <w:spacing w:after="0" w:line="1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We are subject to a wide variety of federal, state, and other governmental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The European Union (EU) has adopted the following environmental directives: Waste Electrical and Electronic Equipment (WEEE) and Restriction on the use of Hazardous Substances (RoHS). Both directives are being transposed into legislation of the 25 EU member states. The WEEE directive mandates the labeling, collection, and disposal of electrical and electronic equipment. The RoHS directive bans the sale of electrical and electronic equipment containing certain hazardous substances, such as lead, mercury, chromium, cadmium, and brominated-flame retardants. We believe that we are in substantial compliance with these regulations.</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The United States Environmental Protection Agency (EPA) and the California Air Resources Board (CARB) have adopted emission regulations setting maximum emission standards for certain off-road equipment. New engine emission regulations are being phased in by the federal government and the State of California. Our products are also subject to international laws and regulations related to emissions in places where we sell our products outside the United States. We are currently unable to predict the ultimate impact of the adopted and proposed regulations on our business.</w:t>
      </w:r>
    </w:p>
    <w:p>
      <w:pPr>
        <w:spacing w:after="0" w:line="1"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Our residential products are subject to various United States statutes designed to protect consumers and are subject to the administrative jurisdiction of the Consumer Product Safety Commission. We are also subject to international, federal and state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environmental, occupational safety, transportation, and other regulations. We believe we are in substantial compliance with all such regulations, of which none has had a material adverse effect on our operations or business.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 Financing</w:t>
      </w:r>
    </w:p>
    <w:p>
      <w:pPr>
        <w:spacing w:after="0" w:line="31"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Toro Credit Company, our wholly owned finance subsidiary, provides financing for select products we manufacture for</w:t>
      </w:r>
      <w:r>
        <w:rPr>
          <w:rFonts w:ascii="Arial" w:cs="Arial" w:eastAsia="Arial" w:hAnsi="Arial"/>
          <w:sz w:val="18"/>
          <w:szCs w:val="18"/>
          <w:b w:val="1"/>
          <w:bCs w:val="1"/>
          <w:color w:val="4673B6"/>
        </w:rPr>
        <w:t xml:space="preserve"> </w:t>
      </w:r>
      <w:r>
        <w:rPr>
          <w:rFonts w:ascii="Arial" w:cs="Arial" w:eastAsia="Arial" w:hAnsi="Arial"/>
          <w:sz w:val="18"/>
          <w:szCs w:val="18"/>
          <w:color w:val="000000"/>
        </w:rPr>
        <w:t>North American Toro distributors and approximately 200 selected U.S. dealers. Toro Credit Company purchases select receivables from us and our distributors for extended periods that assist the distributors and dealers to carry representative inventories of equipment. Down payments are not required and, depending on the finance program for each product line, finance charges are incurred by us, shared between us and the distributor and/or the dealer, or paid by the distributor or dealer. A security interest is retained in the distributors’ and dealers’ inventories, and periodic physical checks are made of those inventories. Terms to the distributors and dealers require payment as the equipment, which secures the indebtedness, is sold to customers, or when payment terms become due, whichever occurs first. Rates are based on prime rate plus a fixed percentage that differs based on whether the financing is for a distributor or dealer. Rates may also vary based on the product that is financed. Independent Toro dealers that do not finance through Toro Credit Company finance their inventories with third party sources. The finance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charges represent interest for a pre-established length of time based on a predefined rate by a contract with third party financing sources.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Exmark and some international products sold through dealers are financed primarily with third party financing sources or by the distributor.</w:t>
      </w:r>
    </w:p>
    <w:p>
      <w:pPr>
        <w:spacing w:after="0" w:line="109" w:lineRule="exact"/>
        <w:rPr>
          <w:sz w:val="20"/>
          <w:szCs w:val="20"/>
          <w:color w:val="auto"/>
        </w:rPr>
      </w:pPr>
    </w:p>
    <w:p>
      <w:pPr>
        <w:jc w:val="both"/>
        <w:ind w:right="120"/>
        <w:spacing w:after="0" w:line="274"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color w:val="4673B6"/>
        </w:rPr>
        <w:t xml:space="preserve"> </w:t>
      </w:r>
      <w:r>
        <w:rPr>
          <w:rFonts w:ascii="Arial" w:cs="Arial" w:eastAsia="Arial" w:hAnsi="Arial"/>
          <w:sz w:val="18"/>
          <w:szCs w:val="18"/>
          <w:color w:val="000000"/>
        </w:rPr>
        <w:t>fields and grounds equipment customers and micro-irrigation customers in North America and Europe. The purpose of these agreements is to increase sales by giving buyers of our products alternative financing options when purchasing our products.</w:t>
      </w:r>
    </w:p>
    <w:p>
      <w:pPr>
        <w:spacing w:after="0" w:line="2"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We also have a multi-year agreement with a third party financing company to provide financing programs under a private label program in the U.S. This program, offered primarily to Toro and Exmark dealers, provides end-user customers a revolving line of credit for Toro and Exmark products, parts, and services.</w:t>
      </w:r>
    </w:p>
    <w:p>
      <w:pPr>
        <w:spacing w:after="0" w:line="74"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color w:val="4673B6"/>
        </w:rPr>
        <w:t xml:space="preserve">Distributor Financing – </w:t>
      </w:r>
      <w:r>
        <w:rPr>
          <w:rFonts w:ascii="Arial" w:cs="Arial" w:eastAsia="Arial" w:hAnsi="Arial"/>
          <w:sz w:val="18"/>
          <w:szCs w:val="18"/>
          <w:color w:val="000000"/>
        </w:rPr>
        <w:t>We enter into long-term loan agreements with some distributors. These transactions are used for expansion of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distributors’ businesses, acquisitions, refinancing working capital agreements, or ownership changes.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Employees</w:t>
      </w:r>
    </w:p>
    <w:p>
      <w:pPr>
        <w:spacing w:after="0" w:line="40"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During fiscal 2006, we employed an average of 5,343 employees. The total number of employees as of October 31, 2006 was 5,262. We consider our employee relations to be good. Three collective bargaining agreements cover approximately 16 percent of these employees. These three agreements expire in October 2007, October 2008, and May 2009. From time to time, we also retain consultants, independent contractors, and temporary and part-time workers.</w:t>
      </w:r>
    </w:p>
    <w:p>
      <w:pPr>
        <w:sectPr>
          <w:pgSz w:w="11900" w:h="16838" w:orient="portrait"/>
          <w:cols w:equalWidth="0" w:num="1">
            <w:col w:w="11420"/>
          </w:cols>
          <w:pgMar w:left="240" w:top="111" w:right="23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Available Information</w:t>
      </w:r>
    </w:p>
    <w:p>
      <w:pPr>
        <w:sectPr>
          <w:pgSz w:w="11900" w:h="16838" w:orient="portrait"/>
          <w:cols w:equalWidth="0" w:num="1">
            <w:col w:w="11420"/>
          </w:cols>
          <w:pgMar w:left="240" w:top="111" w:right="239" w:bottom="0" w:gutter="0" w:footer="0" w:header="0"/>
          <w:type w:val="continuous"/>
        </w:sectPr>
      </w:pPr>
    </w:p>
    <w:bookmarkStart w:id="7" w:name="page8"/>
    <w:bookmarkEnd w:id="7"/>
    <w:p>
      <w:pPr>
        <w:spacing w:after="0" w:line="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4673B6"/>
        </w:rPr>
        <w:t xml:space="preserve">Filings with the SEC – </w:t>
      </w:r>
      <w:r>
        <w:rPr>
          <w:rFonts w:ascii="Arial" w:cs="Arial" w:eastAsia="Arial" w:hAnsi="Arial"/>
          <w:sz w:val="18"/>
          <w:szCs w:val="18"/>
          <w:color w:val="000000"/>
        </w:rPr>
        <w:t>We are a reporting company under the Securities Exchange Act of 1934, as amended, and file reports, proxy</w:t>
      </w:r>
      <w:r>
        <w:rPr>
          <w:rFonts w:ascii="Arial" w:cs="Arial" w:eastAsia="Arial" w:hAnsi="Arial"/>
          <w:sz w:val="18"/>
          <w:szCs w:val="18"/>
          <w:b w:val="1"/>
          <w:bCs w:val="1"/>
          <w:color w:val="4673B6"/>
        </w:rPr>
        <w:t xml:space="preserve"> </w:t>
      </w:r>
      <w:r>
        <w:rPr>
          <w:rFonts w:ascii="Arial" w:cs="Arial" w:eastAsia="Arial" w:hAnsi="Arial"/>
          <w:sz w:val="18"/>
          <w:szCs w:val="18"/>
          <w:color w:val="000000"/>
        </w:rPr>
        <w:t>statements, and other information with the Securities and Exchange Commission (SEC). Copies of these reports, proxy statements, and other information can be inspected and copied at the SEC’s Public Reference Room at 100 F Street N.E., Room 1580,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 w:lineRule="exact"/>
        <w:rPr>
          <w:sz w:val="20"/>
          <w:szCs w:val="20"/>
          <w:color w:val="auto"/>
        </w:rPr>
      </w:pPr>
    </w:p>
    <w:p>
      <w:pPr>
        <w:ind w:right="80" w:firstLine="180"/>
        <w:spacing w:after="0" w:line="269" w:lineRule="auto"/>
        <w:rPr>
          <w:sz w:val="20"/>
          <w:szCs w:val="20"/>
          <w:color w:val="auto"/>
        </w:rPr>
      </w:pPr>
      <w:r>
        <w:rPr>
          <w:rFonts w:ascii="Arial" w:cs="Arial" w:eastAsia="Arial" w:hAnsi="Arial"/>
          <w:sz w:val="18"/>
          <w:szCs w:val="18"/>
          <w:color w:val="auto"/>
        </w:rPr>
        <w:t>We make available, free of charge on our Internet web site www.thetorocompany.com, our Annual Reports on Form 10-K, Quarterly Reports on Form 10-Q, Current Reports on Form 8-K, proxy statements on Schedule 14A, amendments to those reports, and other documents filed or furnished pursuant to Section 13(a) or 15(d) of the Securities Exchange Act of 1934, as amended,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4673B6"/>
        </w:rPr>
        <w:t xml:space="preserve">Corporate Governance – </w:t>
      </w:r>
      <w:r>
        <w:rPr>
          <w:rFonts w:ascii="Arial" w:cs="Arial" w:eastAsia="Arial" w:hAnsi="Arial"/>
          <w:sz w:val="18"/>
          <w:szCs w:val="18"/>
          <w:color w:val="000000"/>
        </w:rPr>
        <w:t>We have a Code of Ethics for the CEO and Senior Financial Officers and a Code of Conduct for all employees.</w:t>
      </w:r>
      <w:r>
        <w:rPr>
          <w:rFonts w:ascii="Arial" w:cs="Arial" w:eastAsia="Arial" w:hAnsi="Arial"/>
          <w:sz w:val="18"/>
          <w:szCs w:val="18"/>
          <w:b w:val="1"/>
          <w:bCs w:val="1"/>
          <w:color w:val="4673B6"/>
        </w:rPr>
        <w:t xml:space="preserve"> </w:t>
      </w:r>
      <w:r>
        <w:rPr>
          <w:rFonts w:ascii="Arial" w:cs="Arial" w:eastAsia="Arial" w:hAnsi="Arial"/>
          <w:sz w:val="18"/>
          <w:szCs w:val="18"/>
          <w:color w:val="000000"/>
        </w:rPr>
        <w:t>Copies of these codes are posted on our website at www.thetorocompany.com — select the “Investor Information” link and then the “Corporate Governance” link. If we amend or grant any waivers to the code that are applicable to our executive officers, which we do not anticipate doing, we have committed that we will post the amendments or waivers on our website under “Corporate Governance.”</w:t>
      </w:r>
    </w:p>
    <w:p>
      <w:pPr>
        <w:spacing w:after="0" w:line="2" w:lineRule="exact"/>
        <w:rPr>
          <w:sz w:val="20"/>
          <w:szCs w:val="20"/>
          <w:color w:val="auto"/>
        </w:rPr>
      </w:pPr>
    </w:p>
    <w:p>
      <w:pPr>
        <w:ind w:right="140" w:firstLine="180"/>
        <w:spacing w:after="0" w:line="270" w:lineRule="auto"/>
        <w:rPr>
          <w:sz w:val="20"/>
          <w:szCs w:val="20"/>
          <w:color w:val="auto"/>
        </w:rPr>
      </w:pPr>
      <w:r>
        <w:rPr>
          <w:rFonts w:ascii="Arial" w:cs="Arial" w:eastAsia="Arial" w:hAnsi="Arial"/>
          <w:sz w:val="18"/>
          <w:szCs w:val="18"/>
          <w:color w:val="auto"/>
        </w:rPr>
        <w:t>We also make available, free of charge on our web site www.thetorocompany.com (select the “Investor Information” link and then the “Corporate Governance” link) and in print to any stockholder who requests, our corporate governance guidelines and the charters of our Audit Committee, Compensation and Human Resources Committee, and Nominating and Governance Committee of our Board of Directors. Requests for copies can be directed to Investor Relations, telephone: 952-887-7141.</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180"/>
        <w:spacing w:after="0" w:line="271" w:lineRule="auto"/>
        <w:rPr>
          <w:sz w:val="20"/>
          <w:szCs w:val="20"/>
          <w:color w:val="auto"/>
        </w:rPr>
      </w:pPr>
      <w:r>
        <w:rPr>
          <w:rFonts w:ascii="Arial" w:cs="Arial" w:eastAsia="Arial" w:hAnsi="Arial"/>
          <w:sz w:val="18"/>
          <w:szCs w:val="18"/>
          <w:color w:val="auto"/>
        </w:rPr>
        <w:t>We have furnished to the SEC the required certifications under Section 302 of the Sarbanes-Oxley Act of 2002 regarding the quality of our public disclosures as Exhibits 31(a) and 31(b) to this report. We have filed with the New York Stock Exchange (NYSE) the CEO certification regarding our compliance with the NYSE’s corporate governance listing standards as required by NYSE Rule 3030A.12(a) on March 17, 2006.</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Forward-Looking Statements</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“plan”,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as well as new accounting pronouncements and outstanding litigation, on our business, operating results, and financial condition.</w:t>
      </w:r>
    </w:p>
    <w:p>
      <w:pPr>
        <w:spacing w:after="0" w:line="2"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later in this report under the heading entitled “Item 1A. 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under the heading entitled “Item 1A. Risk Factors,” as well as others that we may consider immaterial or do not anticipate at this time. The risks and uncertainties described in this report, including those under the heading entitled “Item 1A. Risk Factors,” are not exclusive and further information concerning our company and our businesses, including factors that potentially could materially affect our financial results or condition, may emerge from time to time.</w:t>
      </w:r>
    </w:p>
    <w:p>
      <w:pPr>
        <w:spacing w:after="0" w:line="2" w:lineRule="exact"/>
        <w:rPr>
          <w:sz w:val="20"/>
          <w:szCs w:val="20"/>
          <w:color w:val="auto"/>
        </w:rPr>
      </w:pPr>
    </w:p>
    <w:p>
      <w:pPr>
        <w:ind w:right="180" w:firstLine="180"/>
        <w:spacing w:after="0" w:line="271"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1A. RISK FACTORS</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operations, industry, financial position, or future financial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Changes in economic conditions in the United States and around the world could adversely affect our net sales.</w:t>
      </w:r>
    </w:p>
    <w:p>
      <w:pPr>
        <w:spacing w:after="0" w:line="148"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demand for our products is dependent upon economic conditions, including but not limited to economic growth rates; slow downs or reductions in home ownership, construction, and home sales; consumer spending levels; employment rates; interest rates; inflation; and consumer confidence in the United States and the foreign economies in which we conduct business. Inflationary pressures, higher fuel prices, and higher short-term and mortgage interest rates could cause consumers to reduce spending, which could have an adverse effect on our net sales and earnings.</w:t>
      </w:r>
    </w:p>
    <w:p>
      <w:pPr>
        <w:sectPr>
          <w:pgSz w:w="11900" w:h="16909" w:orient="portrait"/>
          <w:cols w:equalWidth="0" w:num="1">
            <w:col w:w="11400"/>
          </w:cols>
          <w:pgMar w:left="240" w:top="130" w:right="259" w:bottom="0" w:gutter="0" w:footer="0" w:header="0"/>
        </w:sectPr>
      </w:pPr>
    </w:p>
    <w:bookmarkStart w:id="8" w:name="page9"/>
    <w:bookmarkEnd w:id="8"/>
    <w:p>
      <w:pPr>
        <w:spacing w:after="0" w:line="272" w:lineRule="auto"/>
        <w:rPr>
          <w:sz w:val="20"/>
          <w:szCs w:val="20"/>
          <w:color w:val="auto"/>
        </w:rPr>
      </w:pPr>
      <w:r>
        <w:rPr>
          <w:rFonts w:ascii="Arial" w:cs="Arial" w:eastAsia="Arial" w:hAnsi="Arial"/>
          <w:sz w:val="20"/>
          <w:szCs w:val="20"/>
          <w:b w:val="1"/>
          <w:bCs w:val="1"/>
          <w:i w:val="1"/>
          <w:iCs w:val="1"/>
          <w:color w:val="4673B6"/>
        </w:rPr>
        <w:t>Increases in the cost and availability of raw materials and components that we purchase and increases in our other costs of doing business, such as transportation costs, may adversely affect our profit margins and business.</w:t>
      </w:r>
    </w:p>
    <w:p>
      <w:pPr>
        <w:spacing w:after="0" w:line="8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purchase raw materials, such as steel, fuel, petroleum-based resins, and other commodities, and components, such as engines, transmissions, transaxles, hydraulics, and electric motors, for use in our products. Increases in the cost of such raw materials and components may adversely affect our profit margins if we are unable to pass along any cost increases in the form of price increases or otherwise reduce our cost of goods sold. In the past, the benefits from our Lean manufacturing initiative, as well as the implementation of other productivity improvement initiatives and price increases on some of our products, have offset a portion of increased raw material and component costs. However, we cannot commit that we will be able to continue to do so in the future. Although most of the raw materials and components of our products are commercially available from a number of sources and in adequate supply, any disruption in the availability of such raw materials and components, our inability to obtain substitutes for such items, or any deterioration in our relationships with our suppliers could adversely affect our business. Increases in our other costs of doing business may also adversely affect our profit margins and business. For example, an increase in fuel costs may also result in an increase in our transportation costs, which also could adversely affect our operating results and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Weather conditions may reduce demand for some of our products and adversely affect our net sales.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From time to time, weather conditions in a particular region or market may adversely affect sales of some of our products and field inventory levels.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have had an adverse effect on sales of our snow thrower products.</w:t>
      </w:r>
    </w:p>
    <w:p>
      <w:pPr>
        <w:spacing w:after="0" w:line="163" w:lineRule="exact"/>
        <w:rPr>
          <w:sz w:val="20"/>
          <w:szCs w:val="20"/>
          <w:color w:val="auto"/>
        </w:rPr>
      </w:pPr>
    </w:p>
    <w:p>
      <w:pPr>
        <w:jc w:val="both"/>
        <w:ind w:right="1020"/>
        <w:spacing w:after="0" w:line="275" w:lineRule="auto"/>
        <w:rPr>
          <w:sz w:val="20"/>
          <w:szCs w:val="20"/>
          <w:color w:val="auto"/>
        </w:rPr>
      </w:pPr>
      <w:r>
        <w:rPr>
          <w:rFonts w:ascii="Arial" w:cs="Arial" w:eastAsia="Arial" w:hAnsi="Arial"/>
          <w:sz w:val="19"/>
          <w:szCs w:val="19"/>
          <w:b w:val="1"/>
          <w:bCs w:val="1"/>
          <w:i w:val="1"/>
          <w:iCs w:val="1"/>
          <w:color w:val="4673B6"/>
        </w:rPr>
        <w:t>Our professional segment net sales are dependent upon the level of growth in the residential and commercial construction markets, growth of homeowners’ outsourcing lawn care, the amount of investment in golf course renovations and improvements, new golf course development, and the amount of government spending.</w:t>
      </w:r>
    </w:p>
    <w:p>
      <w:pPr>
        <w:spacing w:after="0" w:line="86"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Our professional segment products are sold by distributors or dealers, or sold directly to government customers, rental companies, and professional users engaged in maintaining and creating landscapes, such as golf courses, sports fields, municipal properties, and residential and commercial landscapes. Our professional segment net sales, therefore, are dependent upon the level of growth in residential and commercial construction markets, growth of homeowners’ outsourcing lawn care, the amount of investment in golf course renovations and improvements, new golf course construction, and the amount of government spending. Reduced tax revenue, increased expenses, and tighter government budgets generally result in reduced government spending for grounds maintenance equipment, which could have an adverse effect on our professional segment net sales. In addition, a slow rate of growth in golf rounds played that impacts revenue for golf courses could adversely affect our sales of golf course equipment and irrigation products.</w:t>
      </w:r>
    </w:p>
    <w:p>
      <w:pPr>
        <w:spacing w:after="0" w:line="170" w:lineRule="exact"/>
        <w:rPr>
          <w:sz w:val="20"/>
          <w:szCs w:val="20"/>
          <w:color w:val="auto"/>
        </w:rPr>
      </w:pPr>
    </w:p>
    <w:p>
      <w:pPr>
        <w:ind w:right="360"/>
        <w:spacing w:after="0" w:line="272" w:lineRule="auto"/>
        <w:rPr>
          <w:sz w:val="20"/>
          <w:szCs w:val="20"/>
          <w:color w:val="auto"/>
        </w:rPr>
      </w:pPr>
      <w:r>
        <w:rPr>
          <w:rFonts w:ascii="Arial" w:cs="Arial" w:eastAsia="Arial" w:hAnsi="Arial"/>
          <w:sz w:val="20"/>
          <w:szCs w:val="20"/>
          <w:b w:val="1"/>
          <w:bCs w:val="1"/>
          <w:i w:val="1"/>
          <w:iCs w:val="1"/>
          <w:color w:val="4673B6"/>
        </w:rPr>
        <w:t>Our residential segment net sales are dependent upon the amount of product placement at retailers, changing buying patterns of customers, and The Home Depot, Inc. as a major customer.</w:t>
      </w:r>
    </w:p>
    <w:p>
      <w:pPr>
        <w:spacing w:after="0" w:line="86"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elimination or reduction of shelf space assigned to our products by retailers could adversely affect our residential segment net sales. Our residential segment net sales are also dependent upon changing buying patterns of customers. For example, in the last decade, there has been a trend away from purchases at dealer outlets and hardware retailers to price and value sensitive purchases at home centers and mass retailers. This trend has resulted in a demand for residential products purchased at retailers, such as The Home Depot, which accounted for a greater percentage of our net sales in the past few fiscal years compared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to our net sales during and prior to the 1990’s. The Home Depot accounted for greater than 10 percent of our total consolidated net sales in fiscal 2006, 2005, and 2004. We believe that our diverse distribution channels and customer base should reduce the impact on us if we were to lose The Home Depot or any other substantial customer. However, the loss of any substantial customer or a significant reduction in sales to The Home Depot or other customers could have a material impact on our business and operating results. Changing buying patterns of customers also could result in reduced sales of one or more of our residential segment products, resulting in increased inventory levels. Although our residential spring and summer products are generally manufactured throughout the year, our residential fall and winter products are generally manufactured in the summer and fall months. Our production levels and inventory management goals are based on estimates of demand for our products, taking into account production capacity, timing of shipments, and field inventory levels. If we overestimate or underestimate demand during a given season, we may have excess or insufficient inventories.</w:t>
      </w:r>
    </w:p>
    <w:p>
      <w:pPr>
        <w:spacing w:after="0" w:line="170"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b w:val="1"/>
          <w:bCs w:val="1"/>
          <w:i w:val="1"/>
          <w:iCs w:val="1"/>
          <w:color w:val="4673B6"/>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Our sales from new products in the past have represented a significant component of our net sales and are expected to continue to represent a significant component of our future net sales. We may not be able to compete as effectively with our competitors, and ultimately satisfy our customers, unless we can continue to enhance existing products and develop new innovative products in the markets in which we compete. Product development requires significant financial, technological, and other resources. Although in the past we have implemented Lean manufacturing and other productivity improvement initiatives to provide investment funding for new products, we cannot be certain that we will be able to continue to do so in the future. Product improvements and new product introductions also require significant planning, design, development, and testing at the technological, product, and manufacturing process levels and we may not be able to timely develop product improvements or new products. Our competitors’ new products may beat our products to market, may be more effective with more features and/or less expensive than our products or render our products obsolete. Any new products that we may develop may not receive market acceptance or otherwise generate any meaningful net sales or profits for us relative to our expectations, based on, among other things, existing and anticipated</w:t>
      </w:r>
    </w:p>
    <w:p>
      <w:pPr>
        <w:sectPr>
          <w:pgSz w:w="11900" w:h="16838" w:orient="portrait"/>
          <w:cols w:equalWidth="0" w:num="1">
            <w:col w:w="11420"/>
          </w:cols>
          <w:pgMar w:left="240" w:top="111" w:right="239" w:bottom="0" w:gutter="0" w:footer="0" w:header="0"/>
        </w:sectPr>
      </w:pPr>
    </w:p>
    <w:bookmarkStart w:id="9" w:name="page10"/>
    <w:bookmarkEnd w:id="9"/>
    <w:p>
      <w:pPr>
        <w:spacing w:after="0" w:line="77"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investments in manufacturing capacity and commitments to fund advertising, marketing, promotional programs, and research and development.</w:t>
      </w:r>
    </w:p>
    <w:p>
      <w:pPr>
        <w:spacing w:after="0" w:line="157"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b w:val="1"/>
          <w:bCs w:val="1"/>
          <w:i w:val="1"/>
          <w:iCs w:val="1"/>
          <w:color w:val="4673B6"/>
        </w:rPr>
        <w:t>We face intense competition in all of our product lines with numerous manufacturers, including from some that have greater financial and other resources than we do. We may not be able to compete effectively against competitors’ actions, which could harm our business and operating results.</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pricing, product innovation, quality and reliability, product support and customer service, warranty, reputation, distribution, shelf space, and financing options. We compete in all of our product lines with numerous manufacturers, some who have substantially greater financial, marketing, and other resources than we do. As a result, they may be able to adapt more quickly to new or emerging technologies and changes in customer requirements, or to devote greater resources to the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Pricing has become an increasingly important competitive factor for many of our products. We may not be able to compete effectively against competitors’ actions, which could harm our business and operating results.</w:t>
      </w:r>
    </w:p>
    <w:p>
      <w:pPr>
        <w:spacing w:after="0" w:line="168"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b w:val="1"/>
          <w:bCs w:val="1"/>
          <w:i w:val="1"/>
          <w:iCs w:val="1"/>
          <w:color w:val="4673B6"/>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0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manufacture our products in the United States, Mexico, Australia, the United Kingdom, and Italy for sale throughout the world and maintain sales offices in the United States, Belgium, the United Kingdom, France, Australia, Singapore, Japan, China, Italy, and Switzerland. Our net sales outside the United States were 27.0 percent, 24.8 percent, and 20.7 percent of our total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net sales for fiscal 2006, 2005, and 2004, respectively. International markets have in the past and will continue to be a focus for us to grow our revenues. For example, in February 2005, we completed the acquisition of certain assets and assumed certain liabilities of Hayter Limited, a company located in the United Kingdom that designs, manufactures, and markets residential and professional turf maintenance equipment, primarily for the United Kingdom market. We believe many opportunities exist in the international markets, and our goal is for international net sales to comprise a larger percentage of our total consolidated net sales. The expansion of our existing international operations and entry into additional international markets requires significant management attention and financial resources. Many of the countries in which we sell our products or otherwise have an international presence are, to some degree, subject to political, economic, and/or social instability. Our international operations expose us and our representatives, agents, and distributors to risks inherent in operating in foreign jurisdictions. These risks include:</w:t>
      </w:r>
    </w:p>
    <w:p>
      <w:pPr>
        <w:spacing w:after="0" w:line="17"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information technology;</w:t>
      </w:r>
    </w:p>
    <w:p>
      <w:pPr>
        <w:spacing w:after="0" w:line="23"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w:t>
      </w:r>
    </w:p>
    <w:p>
      <w:pPr>
        <w:spacing w:after="0" w:line="63" w:lineRule="exact"/>
        <w:rPr>
          <w:sz w:val="20"/>
          <w:szCs w:val="20"/>
          <w:color w:val="auto"/>
        </w:rPr>
      </w:pPr>
    </w:p>
    <w:p>
      <w:pPr>
        <w:ind w:left="180" w:right="720"/>
        <w:spacing w:after="0" w:line="258" w:lineRule="auto"/>
        <w:rPr>
          <w:sz w:val="20"/>
          <w:szCs w:val="20"/>
          <w:color w:val="auto"/>
        </w:rPr>
      </w:pPr>
      <w:r>
        <w:rPr>
          <w:rFonts w:ascii="Arial" w:cs="Arial" w:eastAsia="Arial" w:hAnsi="Arial"/>
          <w:sz w:val="18"/>
          <w:szCs w:val="18"/>
          <w:color w:val="auto"/>
        </w:rPr>
        <w:t>foreign agents, representatives, and distributors; and the imposition of increases in costly and lengthy export licensing requirements, customs duties and tariffs, license obligations, and other non-tariff barriers to trade;</w:t>
      </w:r>
    </w:p>
    <w:p>
      <w:pPr>
        <w:spacing w:after="0" w:line="1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 or prohibit our continued business with the sanctioned country, company, person, or entity;</w:t>
      </w:r>
    </w:p>
    <w:p>
      <w:pPr>
        <w:spacing w:after="0" w:line="23"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in particular, rules relating to environmental,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health, and safety matters.</w:t>
      </w:r>
    </w:p>
    <w:p>
      <w:pPr>
        <w:spacing w:after="0" w:line="23" w:lineRule="exact"/>
        <w:rPr>
          <w:sz w:val="20"/>
          <w:szCs w:val="20"/>
          <w:color w:val="auto"/>
        </w:rPr>
      </w:pPr>
    </w:p>
    <w:p>
      <w:pPr>
        <w:jc w:val="both"/>
        <w:ind w:right="580" w:firstLine="180"/>
        <w:spacing w:after="0" w:line="271" w:lineRule="auto"/>
        <w:rPr>
          <w:sz w:val="20"/>
          <w:szCs w:val="20"/>
          <w:color w:val="auto"/>
        </w:rPr>
      </w:pPr>
      <w:r>
        <w:rPr>
          <w:rFonts w:ascii="Arial" w:cs="Arial" w:eastAsia="Arial" w:hAnsi="Arial"/>
          <w:sz w:val="18"/>
          <w:szCs w:val="18"/>
          <w:color w:val="auto"/>
        </w:rPr>
        <w:t>Our operations in other countries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Fluctuations in foreign currency exchange rates could result in declines in our reported net sales and net earnings.</w:t>
      </w:r>
    </w:p>
    <w:p>
      <w:pPr>
        <w:spacing w:after="0" w:line="14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exchange rates.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Australian dollar, the Canadian dollar, the British pound, the Mexican peso, and the Japanese yen against the U.S. dollar. While we actively manage the exposure of our foreign currency market risk in the normal course of business by entering into various foreign exchange contracts, these instruments may not effectively limit our</w:t>
      </w:r>
    </w:p>
    <w:p>
      <w:pPr>
        <w:sectPr>
          <w:pgSz w:w="11900" w:h="16915" w:orient="portrait"/>
          <w:cols w:equalWidth="0" w:num="1">
            <w:col w:w="11420"/>
          </w:cols>
          <w:pgMar w:left="240" w:top="152" w:right="239" w:bottom="0" w:gutter="0" w:footer="0" w:header="0"/>
        </w:sectPr>
      </w:pPr>
    </w:p>
    <w:bookmarkStart w:id="10" w:name="page11"/>
    <w:bookmarkEnd w:id="10"/>
    <w:p>
      <w:pPr>
        <w:ind w:right="40"/>
        <w:spacing w:after="0" w:line="277" w:lineRule="auto"/>
        <w:rPr>
          <w:sz w:val="20"/>
          <w:szCs w:val="20"/>
          <w:color w:val="auto"/>
        </w:rPr>
      </w:pPr>
      <w:r>
        <w:rPr>
          <w:rFonts w:ascii="Arial" w:cs="Arial" w:eastAsia="Arial" w:hAnsi="Arial"/>
          <w:sz w:val="18"/>
          <w:szCs w:val="18"/>
          <w:color w:val="auto"/>
        </w:rPr>
        <w:t>underlying exposure from currency fluctuations or minimize our net earnings and cash volatility associated with foreign currency exchange rate changes.</w:t>
      </w:r>
    </w:p>
    <w:p>
      <w:pPr>
        <w:spacing w:after="0" w:line="157" w:lineRule="exact"/>
        <w:rPr>
          <w:sz w:val="20"/>
          <w:szCs w:val="20"/>
          <w:color w:val="auto"/>
        </w:rPr>
      </w:pPr>
    </w:p>
    <w:p>
      <w:pPr>
        <w:ind w:right="540"/>
        <w:spacing w:after="0" w:line="255" w:lineRule="auto"/>
        <w:rPr>
          <w:sz w:val="20"/>
          <w:szCs w:val="20"/>
          <w:color w:val="auto"/>
        </w:rPr>
      </w:pPr>
      <w:r>
        <w:rPr>
          <w:rFonts w:ascii="Arial" w:cs="Arial" w:eastAsia="Arial" w:hAnsi="Arial"/>
          <w:sz w:val="20"/>
          <w:szCs w:val="20"/>
          <w:b w:val="1"/>
          <w:bCs w:val="1"/>
          <w:i w:val="1"/>
          <w:iCs w:val="1"/>
          <w:color w:val="4673B6"/>
        </w:rPr>
        <w:t>We manufacture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manufacture most of our products at seven locations in the United States, two locations in Mexico, and one location in each of Australia, Italy, and the United Kingdom. We also have several locations that serve as distribution centers, warehouses, test facilities, and corporate offices. Our facilities may be affected by natural or man-made disasters. In the event one of our manufacturing facilities was affected by a disaster, we could be forced to shift production to one of our other manufacturing facilities. Although we purchase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strike at any one of our three facilities operating under a collective bargaining agreement or the failure to renew or enter into a new collective bargaining agreement, could impair our ability to meet the demand of our</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customers and our customers may cancel orders or purchase products from our competitors, which could adversely affect our business and operating results. Our operating results may also be adversely affected if we are unable to cost-effectively expand existing and move production between manufacturing facilities as needed from time to time.</w:t>
      </w:r>
    </w:p>
    <w:p>
      <w:pPr>
        <w:spacing w:after="0" w:line="163" w:lineRule="exact"/>
        <w:rPr>
          <w:sz w:val="20"/>
          <w:szCs w:val="20"/>
          <w:color w:val="auto"/>
        </w:rPr>
      </w:pPr>
    </w:p>
    <w:p>
      <w:pPr>
        <w:ind w:right="440"/>
        <w:spacing w:after="0" w:line="272" w:lineRule="auto"/>
        <w:rPr>
          <w:sz w:val="20"/>
          <w:szCs w:val="20"/>
          <w:color w:val="auto"/>
        </w:rPr>
      </w:pPr>
      <w:r>
        <w:rPr>
          <w:rFonts w:ascii="Arial" w:cs="Arial" w:eastAsia="Arial" w:hAnsi="Arial"/>
          <w:sz w:val="20"/>
          <w:szCs w:val="20"/>
          <w:b w:val="1"/>
          <w:bCs w:val="1"/>
          <w:i w:val="1"/>
          <w:iCs w:val="1"/>
          <w:color w:val="4673B6"/>
        </w:rPr>
        <w:t>We intend to grow our business through additional acquisitions and alliances, stronger customer relations, and new partnerships, which are risky and could harm our business.</w:t>
      </w:r>
    </w:p>
    <w:p>
      <w:pPr>
        <w:spacing w:after="0" w:line="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alliances, stronger customer relations, and new partnerships that complement our existing brands and product portfolio. In February 2005, we completed the acquisition of certain assets and assumed certain liabilities of Hayter Limited in the United Kingdom. The benefits of an acquisition or new partnership may take more time than expected to develop or integrate into our operations, and we cannot guarantee that our Hayter acquisition or any future acquisitions, alliances, or joint ventures will in fact produce any benefits. In addition, acquisitions, alliances, joint ventures, and partnerships involve a number of risks, including:</w:t>
      </w:r>
    </w:p>
    <w:p>
      <w:pPr>
        <w:spacing w:after="0" w:line="17"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synergies;</w:t>
      </w:r>
    </w:p>
    <w:p>
      <w:pPr>
        <w:spacing w:after="0" w:line="2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customers;</w:t>
      </w:r>
    </w:p>
    <w:p>
      <w:pPr>
        <w:spacing w:after="0" w:line="23"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w:t>
      </w:r>
    </w:p>
    <w:p>
      <w:pPr>
        <w:spacing w:after="0" w:line="63" w:lineRule="exact"/>
        <w:rPr>
          <w:sz w:val="20"/>
          <w:szCs w:val="20"/>
          <w:color w:val="auto"/>
        </w:rPr>
      </w:pPr>
    </w:p>
    <w:p>
      <w:pPr>
        <w:ind w:left="180" w:right="420"/>
        <w:spacing w:after="0" w:line="258" w:lineRule="auto"/>
        <w:rPr>
          <w:sz w:val="20"/>
          <w:szCs w:val="20"/>
          <w:color w:val="auto"/>
        </w:rPr>
      </w:pPr>
      <w:r>
        <w:rPr>
          <w:rFonts w:ascii="Arial" w:cs="Arial" w:eastAsia="Arial" w:hAnsi="Arial"/>
          <w:sz w:val="18"/>
          <w:szCs w:val="18"/>
          <w:color w:val="auto"/>
        </w:rPr>
        <w:t>acquisition purchase prices, which could in turn restrict our ability to access additional capital when needed or to pursue other important elements of our business strategy;</w:t>
      </w:r>
    </w:p>
    <w:p>
      <w:pPr>
        <w:spacing w:after="0" w:line="1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unanticipated costs associated with an acquisition, and 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inability to recover or manage such liabilities and costs; and</w:t>
      </w:r>
    </w:p>
    <w:p>
      <w:pPr>
        <w:spacing w:after="0" w:line="2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or other assets that could adversely affect our operating results.</w:t>
      </w:r>
    </w:p>
    <w:p>
      <w:pPr>
        <w:spacing w:after="0" w:line="23" w:lineRule="exact"/>
        <w:rPr>
          <w:sz w:val="20"/>
          <w:szCs w:val="20"/>
          <w:color w:val="auto"/>
        </w:rPr>
      </w:pPr>
    </w:p>
    <w:p>
      <w:pPr>
        <w:ind w:right="200" w:firstLine="180"/>
        <w:spacing w:after="0" w:line="268" w:lineRule="auto"/>
        <w:rPr>
          <w:sz w:val="20"/>
          <w:szCs w:val="20"/>
          <w:color w:val="auto"/>
        </w:rPr>
      </w:pPr>
      <w:r>
        <w:rPr>
          <w:rFonts w:ascii="Arial" w:cs="Arial" w:eastAsia="Arial" w:hAnsi="Arial"/>
          <w:sz w:val="18"/>
          <w:szCs w:val="18"/>
          <w:color w:val="auto"/>
        </w:rPr>
        <w:t>Our ability to grow through acquisitions will depend, in part, on the availability of suitable acquisition candidates at an acceptable price, our ability to compete effectively for these acquisition candidates, and the availability of capital and personnel to complete such acquisitions and run the acquired business effectively. These risks could be heightened if we complete a large acquisition or several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i w:val="1"/>
          <w:iCs w:val="1"/>
          <w:color w:val="4673B6"/>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efficient operation of our business is dependent on our management information systems. We rely on our management information systems to effectively manage accounting and financial functions, manage manufacturing and supply chain processes, and maintain our research and development data. The failure of our management information systems to perform properly could disrupt our business and product development and could result in decreased sales, increased overhead costs, excess inventory, and product shortages, causing our business and operating results to suffer. In addition, our management information systems, including our computer systems, Internet web sites, telecommunications, and data networks, are vulnerable to damage or interruption from natural or man-made disasters, terrorist attacks and attacks by computer viruses or hackers, or power loss. Any such interruption could adversely affect our business and operating results.</w:t>
      </w:r>
    </w:p>
    <w:p>
      <w:pPr>
        <w:spacing w:after="0" w:line="165"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4673B6"/>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ectPr>
          <w:pgSz w:w="11900" w:h="16838" w:orient="portrait"/>
          <w:cols w:equalWidth="0" w:num="1">
            <w:col w:w="11380"/>
          </w:cols>
          <w:pgMar w:left="240" w:top="152" w:right="279" w:bottom="0" w:gutter="0" w:footer="0" w:header="0"/>
        </w:sectPr>
      </w:pPr>
    </w:p>
    <w:bookmarkStart w:id="11" w:name="page12"/>
    <w:bookmarkEnd w:id="11"/>
    <w:p>
      <w:pPr>
        <w:spacing w:after="0" w:line="270" w:lineRule="auto"/>
        <w:rPr>
          <w:sz w:val="20"/>
          <w:szCs w:val="20"/>
          <w:color w:val="auto"/>
        </w:rPr>
      </w:pPr>
      <w:r>
        <w:rPr>
          <w:rFonts w:ascii="Arial" w:cs="Arial" w:eastAsia="Arial" w:hAnsi="Arial"/>
          <w:sz w:val="18"/>
          <w:szCs w:val="18"/>
          <w:color w:val="auto"/>
        </w:rPr>
        <w:t>Some Toro and Lawn-Boy dealers and Exmark distributors and dealers generally finance their inventories with third party financing companies. These third party financing companies purchase select receivables from us and our distributors and dealers for extended periods that assist our distributors and dealers in carrying representative inventories of our products. We also have agreements with third party financing companies to provide financing options to golf course and sports fields and grounds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equipment customers and micro-irrigation customers in North America and Europe. The purpose of these agreements is to increase our net sales by giving buyers of our products alternative financing options when purchasing our products. We also have an agreement with a third party financing company to provide financing programs under a private label program offered primarily to Toro, Lawn-Boy, and Exmark dealers that provides our end-user customers a revolving line of credit for Toro and Exmark products, parts, and services. Termination of our agreements with these third parties, any material change to the terms of our agreements with these third parties or in the availability or terms of credit for our customers from these third parties, or any delay in securing replacement credit sources, could adversely affect our operating results.</w:t>
      </w:r>
    </w:p>
    <w:p>
      <w:pPr>
        <w:spacing w:after="0" w:line="165" w:lineRule="exact"/>
        <w:rPr>
          <w:sz w:val="20"/>
          <w:szCs w:val="20"/>
          <w:color w:val="auto"/>
        </w:rPr>
      </w:pPr>
    </w:p>
    <w:p>
      <w:pPr>
        <w:ind w:right="620"/>
        <w:spacing w:after="0" w:line="272" w:lineRule="auto"/>
        <w:rPr>
          <w:sz w:val="20"/>
          <w:szCs w:val="20"/>
          <w:color w:val="auto"/>
        </w:rPr>
      </w:pPr>
      <w:r>
        <w:rPr>
          <w:rFonts w:ascii="Arial" w:cs="Arial" w:eastAsia="Arial" w:hAnsi="Arial"/>
          <w:sz w:val="20"/>
          <w:szCs w:val="20"/>
          <w:b w:val="1"/>
          <w:bCs w:val="1"/>
          <w:i w:val="1"/>
          <w:iCs w:val="1"/>
          <w:color w:val="4673B6"/>
        </w:rPr>
        <w:t>Our reliance upon patents, trademark laws, and contractual provisions to protect our proprietary rights may not be sufficient to protect our intellectual property from others who may sell similar products.</w:t>
      </w:r>
    </w:p>
    <w:p>
      <w:pPr>
        <w:spacing w:after="0" w:line="8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generally as well as many of our products.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Our competitors may initiate litigation to challenge the validity of our patents, or they may use their resources to design comparable products that do not infringe our patents. We may incur substantial costs if our competitors initiate litigation to challenge the validity of our patents, or if we initiate any proceedings to protect our proprietary rights, and if the outcome of any such litigation is unfavorable to us, our business and operating results could be adversely affected. There may also be pending or issued patents held by parties not affiliated with us that relate to our products or technologies, and we may need to acquire licenses to any such patents to continue selling some or all of our products. If we had to obtain any such license in order to be able to continue to sell some or all of our products, we may not be able to do so on terms that were favorable to us, if at all.</w:t>
      </w:r>
    </w:p>
    <w:p>
      <w:pPr>
        <w:spacing w:after="0" w:line="2"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63" w:lineRule="exact"/>
        <w:rPr>
          <w:sz w:val="20"/>
          <w:szCs w:val="20"/>
          <w:color w:val="auto"/>
        </w:rPr>
      </w:pPr>
    </w:p>
    <w:p>
      <w:pPr>
        <w:jc w:val="both"/>
        <w:ind w:right="60"/>
        <w:spacing w:after="0" w:line="255" w:lineRule="auto"/>
        <w:rPr>
          <w:sz w:val="20"/>
          <w:szCs w:val="20"/>
          <w:color w:val="auto"/>
        </w:rPr>
      </w:pPr>
      <w:r>
        <w:rPr>
          <w:rFonts w:ascii="Arial" w:cs="Arial" w:eastAsia="Arial" w:hAnsi="Arial"/>
          <w:sz w:val="20"/>
          <w:szCs w:val="20"/>
          <w:b w:val="1"/>
          <w:bCs w:val="1"/>
          <w:i w:val="1"/>
          <w:iCs w:val="1"/>
          <w:color w:val="4673B6"/>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business, properties, and products are subject to a wide variety of international, federal, state and local laws, rules and regulations relating to the protection of the environment, natural resources, and worker and product user health and safety, and the use, management, storage, and disposal of hazardous substances, wastes, and other regulated materials. These laws, rules, and regulations may affect the way we conduct our operations, and the failure to comply with these regulations could lead to fines and other penalties. Because we own and lease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consolidated financial position or operating results, our future costs of complying with the various environmental requirements, as they now exist or may be altered in the future, could adversely affect our financial condition and operating results. We are also subject to other international, federal and state laws, rules and regulations, the future non-compliance with which may harm our business or may adversely affect the demand for some of our products. For example, our residential products are subject to various United States statutes designed to protect consumers and are subject to the administrative jurisdiction of the Consumer Product Safety Commission. The United States Environmental Protection Agency and California Air Resources Board adopted emissions regulations setting maximum emission standards for certain off-road equipment. The European Union also adopted environmental directives that mandate the labeling, collection, and disposal of electrical and electronic equipment and bans the sale of electrical and electronic equipment containing certain hazardous substances. In addition, governmental restrictions placed on water usage as well as water availability may adversely affect demand for our irrigation products. Changes in laws and regulations, including changes in accounting standards, taxation changes, including tax rate changes, new tax</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laws, and revised tax law interpretations, also may adversely affect our operating results.</w:t>
      </w:r>
    </w:p>
    <w:p>
      <w:pPr>
        <w:spacing w:after="0" w:line="198" w:lineRule="exact"/>
        <w:rPr>
          <w:sz w:val="20"/>
          <w:szCs w:val="20"/>
          <w:color w:val="auto"/>
        </w:rPr>
      </w:pPr>
    </w:p>
    <w:p>
      <w:pPr>
        <w:ind w:right="820"/>
        <w:spacing w:after="0" w:line="272" w:lineRule="auto"/>
        <w:rPr>
          <w:sz w:val="20"/>
          <w:szCs w:val="20"/>
          <w:color w:val="auto"/>
        </w:rPr>
      </w:pPr>
      <w:r>
        <w:rPr>
          <w:rFonts w:ascii="Arial" w:cs="Arial" w:eastAsia="Arial" w:hAnsi="Arial"/>
          <w:sz w:val="20"/>
          <w:szCs w:val="20"/>
          <w:b w:val="1"/>
          <w:bCs w:val="1"/>
          <w:i w:val="1"/>
          <w:iCs w:val="1"/>
          <w:color w:val="4673B6"/>
        </w:rPr>
        <w:t>We are subject to product liability claims, product quality issues, and other litigation from time to time that could adversely affect our operating results or financial condition.</w:t>
      </w:r>
    </w:p>
    <w:p>
      <w:pPr>
        <w:sectPr>
          <w:pgSz w:w="11900" w:h="16838" w:orient="portrait"/>
          <w:cols w:equalWidth="0" w:num="1">
            <w:col w:w="11420"/>
          </w:cols>
          <w:pgMar w:left="240" w:top="152" w:right="239" w:bottom="0" w:gutter="0" w:footer="0" w:header="0"/>
        </w:sectPr>
      </w:pP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manufacture, sale, and usage of our products expose us to significant risk of product liability claims. If a product liability claim or series of claims is brought against us for uninsured liabilities or in excess of our insurance coverage and it is ultimately determined that we are liable, our</w:t>
      </w:r>
    </w:p>
    <w:p>
      <w:pPr>
        <w:sectPr>
          <w:pgSz w:w="11900" w:h="16838" w:orient="portrait"/>
          <w:cols w:equalWidth="0" w:num="1">
            <w:col w:w="11420"/>
          </w:cols>
          <w:pgMar w:left="240" w:top="152" w:right="239" w:bottom="0" w:gutter="0" w:footer="0" w:header="0"/>
          <w:type w:val="continuous"/>
        </w:sectPr>
      </w:pPr>
    </w:p>
    <w:bookmarkStart w:id="12" w:name="page13"/>
    <w:bookmarkEnd w:id="12"/>
    <w:p>
      <w:pPr>
        <w:ind w:right="120"/>
        <w:spacing w:after="0" w:line="266" w:lineRule="auto"/>
        <w:rPr>
          <w:sz w:val="20"/>
          <w:szCs w:val="20"/>
          <w:color w:val="auto"/>
        </w:rPr>
      </w:pPr>
      <w:r>
        <w:rPr>
          <w:rFonts w:ascii="Arial" w:cs="Arial" w:eastAsia="Arial" w:hAnsi="Arial"/>
          <w:sz w:val="18"/>
          <w:szCs w:val="18"/>
          <w:color w:val="auto"/>
        </w:rPr>
        <w:t>business could suffer. While we instruct our customers on the proper usage of our products, we cannot ensure that they will implement our instructions accurately. If our products are defective or used incorrectly by our customers, injury may result and this could give rise to product liability claims against us. Any losses that we may suffer from any liability claims, and the effect that any product liability litigation may have upon the reputation and marketability of our products, may divert management’s attention from other matters and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and higher warranty expense.</w:t>
      </w:r>
    </w:p>
    <w:p>
      <w:pPr>
        <w:spacing w:after="0" w:line="2" w:lineRule="exact"/>
        <w:rPr>
          <w:sz w:val="20"/>
          <w:szCs w:val="20"/>
          <w:color w:val="auto"/>
        </w:rPr>
      </w:pPr>
    </w:p>
    <w:p>
      <w:pPr>
        <w:ind w:right="160" w:firstLine="180"/>
        <w:spacing w:after="0" w:line="267" w:lineRule="auto"/>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 For example, we are currently one of nine defendants in a purported class action in which the plaintiffs are alleging that the horsepower labels on the products the plaintiffs purchased were inaccurate. The amended complaint asserts violations of the federal Racketeer Influenced and Corrupt Organizations (RICO) Act and statutory and common law claims arising from the laws of 48 states. The amended complaint seeks an injunction, unspecified compensatory and punitive damages, treble damages under the RICO Act, and attorneys’ fees. Even if the plaintiffs’ claims are found to be without merit, we have incurred and may continue to incur substantial costs in defending the lawsuit. The lawsuit could divert the time and attention of our management and could result in adverse publicity, either of which could significantly harm our operating results and financial condition. Although we are currently unable to assess whether the litigation would have a material adverse effect on our consolidated operating results or financial condition, any adverse determination in the litigation might result in material liability, which could adversely impact our operating results and financial condition.</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20"/>
          <w:szCs w:val="20"/>
          <w:b w:val="1"/>
          <w:bCs w:val="1"/>
          <w:i w:val="1"/>
          <w:iCs w:val="1"/>
          <w:color w:val="4673B6"/>
        </w:rPr>
        <w:t>If we are unable to retain our key employees and attract and retain other qualified personnel, we may not be able to meet strategic objectives and our business could suffer.</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meet our strategic objectives and otherwise grow will depend to a significant extent on the continued contributions of our senior management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slowdowns, strikes, or similar actions could make it difficult for us to conduct and manage our business and meet key objectives, which could harm our business, financial condition, and operating results.</w:t>
      </w:r>
    </w:p>
    <w:p>
      <w:pPr>
        <w:spacing w:after="0" w:line="165" w:lineRule="exact"/>
        <w:rPr>
          <w:sz w:val="20"/>
          <w:szCs w:val="20"/>
          <w:color w:val="auto"/>
        </w:rPr>
      </w:pPr>
    </w:p>
    <w:p>
      <w:pPr>
        <w:ind w:right="740"/>
        <w:spacing w:after="0" w:line="272" w:lineRule="auto"/>
        <w:rPr>
          <w:sz w:val="20"/>
          <w:szCs w:val="20"/>
          <w:color w:val="auto"/>
        </w:rPr>
      </w:pPr>
      <w:r>
        <w:rPr>
          <w:rFonts w:ascii="Arial" w:cs="Arial" w:eastAsia="Arial" w:hAnsi="Arial"/>
          <w:sz w:val="20"/>
          <w:szCs w:val="20"/>
          <w:b w:val="1"/>
          <w:bCs w:val="1"/>
          <w:i w:val="1"/>
          <w:iCs w:val="1"/>
          <w:color w:val="4673B6"/>
        </w:rPr>
        <w:t>Our business is subject to a number of other miscellaneous risks that may adversely affect our operating results, financial condition, or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3"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or man-made disasters, which may result in shortages of raw materials, higher fuel costs, and increase in insurance premiums;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viability of distributors and dealers, changes in distributor ownership, our success in partnering with new dealers, and our customers’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ability to pay amounts owed to us; and</w:t>
      </w:r>
    </w:p>
    <w:p>
      <w:pPr>
        <w:spacing w:after="0" w:line="23" w:lineRule="exact"/>
        <w:rPr>
          <w:sz w:val="20"/>
          <w:szCs w:val="20"/>
          <w:color w:val="auto"/>
        </w:rPr>
      </w:pPr>
    </w:p>
    <w:p>
      <w:pPr>
        <w:ind w:left="180" w:right="640" w:hanging="172"/>
        <w:spacing w:after="0" w:line="324" w:lineRule="auto"/>
        <w:tabs>
          <w:tab w:leader="none" w:pos="1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1B. UNRESOLVED SEC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2.  PROPERTIES</w:t>
      </w:r>
    </w:p>
    <w:p>
      <w:pPr>
        <w:spacing w:after="0" w:line="2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October 31, 2006, we utilized manufacturing, distribution, warehouse, and office facilities totaling approximately 5.1 million square feet of space. We also utilize approximately 20 acres of land in California as a testing facility, 16 acres of land in Nebraska as a parking lot and testing facility, and 36 acres of land in Minnesota as a testing and storage facility. Plant utilization varies during the year depending on the production cycle. We consider each of our current facilities in use to be in good operating condition and adequate for its present use. Management believes we have sufficient manufacturing capacity for fiscal 2007. The following schedule outlines our significant facilities by location, ownership, and function as of October 31, 2006:</w:t>
      </w:r>
    </w:p>
    <w:p>
      <w:pPr>
        <w:spacing w:after="0" w:line="162"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Ownership</w:t>
            </w:r>
          </w:p>
        </w:tc>
        <w:tc>
          <w:tcPr>
            <w:tcW w:w="5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Products Manufactured / Use</w:t>
            </w:r>
          </w:p>
        </w:tc>
      </w:tr>
      <w:tr>
        <w:trPr>
          <w:trHeight w:val="184"/>
        </w:trPr>
        <w:tc>
          <w:tcPr>
            <w:tcW w:w="2440" w:type="dxa"/>
            <w:vAlign w:val="bottom"/>
          </w:tcPr>
          <w:p>
            <w:pPr>
              <w:spacing w:after="0"/>
              <w:rPr>
                <w:sz w:val="20"/>
                <w:szCs w:val="20"/>
                <w:color w:val="auto"/>
              </w:rPr>
            </w:pPr>
            <w:r>
              <w:rPr>
                <w:rFonts w:ascii="Arial" w:cs="Arial" w:eastAsia="Arial" w:hAnsi="Arial"/>
                <w:sz w:val="14"/>
                <w:szCs w:val="14"/>
                <w:color w:val="auto"/>
              </w:rPr>
              <w:t>Bloomington, MN</w:t>
            </w:r>
          </w:p>
        </w:tc>
        <w:tc>
          <w:tcPr>
            <w:tcW w:w="1740" w:type="dxa"/>
            <w:vAlign w:val="bottom"/>
          </w:tcPr>
          <w:p>
            <w:pPr>
              <w:ind w:left="5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Corporate headquarters, warehouse, and test facility</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El Paso, TX</w:t>
            </w:r>
          </w:p>
        </w:tc>
        <w:tc>
          <w:tcPr>
            <w:tcW w:w="1740" w:type="dxa"/>
            <w:vAlign w:val="bottom"/>
          </w:tcPr>
          <w:p>
            <w:pPr>
              <w:ind w:left="5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Components for professional and residential products, distribution center</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Plymouth, WI</w:t>
            </w:r>
          </w:p>
        </w:tc>
        <w:tc>
          <w:tcPr>
            <w:tcW w:w="1740" w:type="dxa"/>
            <w:vAlign w:val="bottom"/>
          </w:tcPr>
          <w:p>
            <w:pPr>
              <w:ind w:left="500"/>
              <w:spacing w:after="0"/>
              <w:rPr>
                <w:sz w:val="20"/>
                <w:szCs w:val="20"/>
                <w:color w:val="auto"/>
              </w:rPr>
            </w:pPr>
            <w:r>
              <w:rPr>
                <w:rFonts w:ascii="Arial" w:cs="Arial" w:eastAsia="Arial" w:hAnsi="Arial"/>
                <w:sz w:val="14"/>
                <w:szCs w:val="14"/>
                <w:color w:val="auto"/>
              </w:rPr>
              <w:t>Owned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Juarez, Mexico</w:t>
            </w:r>
          </w:p>
        </w:tc>
        <w:tc>
          <w:tcPr>
            <w:tcW w:w="1740" w:type="dxa"/>
            <w:vAlign w:val="bottom"/>
          </w:tcPr>
          <w:p>
            <w:pPr>
              <w:ind w:left="5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products</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Tomah, WI</w:t>
            </w:r>
          </w:p>
        </w:tc>
        <w:tc>
          <w:tcPr>
            <w:tcW w:w="1740" w:type="dxa"/>
            <w:vAlign w:val="bottom"/>
          </w:tcPr>
          <w:p>
            <w:pPr>
              <w:ind w:left="5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products and warehouse</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Windom, MN</w:t>
            </w:r>
          </w:p>
        </w:tc>
        <w:tc>
          <w:tcPr>
            <w:tcW w:w="1740" w:type="dxa"/>
            <w:vAlign w:val="bottom"/>
          </w:tcPr>
          <w:p>
            <w:pPr>
              <w:ind w:left="5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Residential and professional products and warehouse</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Baraboo, WI</w:t>
            </w:r>
          </w:p>
        </w:tc>
        <w:tc>
          <w:tcPr>
            <w:tcW w:w="1740" w:type="dxa"/>
            <w:vAlign w:val="bottom"/>
          </w:tcPr>
          <w:p>
            <w:pPr>
              <w:ind w:left="5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finished goods distribution center</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Beatrice, NE</w:t>
            </w:r>
          </w:p>
        </w:tc>
        <w:tc>
          <w:tcPr>
            <w:tcW w:w="1740" w:type="dxa"/>
            <w:vAlign w:val="bottom"/>
          </w:tcPr>
          <w:p>
            <w:pPr>
              <w:ind w:left="500"/>
              <w:spacing w:after="0"/>
              <w:rPr>
                <w:sz w:val="20"/>
                <w:szCs w:val="20"/>
                <w:color w:val="auto"/>
              </w:rPr>
            </w:pPr>
            <w:r>
              <w:rPr>
                <w:rFonts w:ascii="Arial" w:cs="Arial" w:eastAsia="Arial" w:hAnsi="Arial"/>
                <w:sz w:val="14"/>
                <w:szCs w:val="14"/>
                <w:color w:val="auto"/>
              </w:rPr>
              <w:t>Owned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products, office, and test facility</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Riverside, CA</w:t>
            </w:r>
          </w:p>
        </w:tc>
        <w:tc>
          <w:tcPr>
            <w:tcW w:w="1740" w:type="dxa"/>
            <w:vAlign w:val="bottom"/>
          </w:tcPr>
          <w:p>
            <w:pPr>
              <w:ind w:left="500"/>
              <w:spacing w:after="0"/>
              <w:rPr>
                <w:sz w:val="20"/>
                <w:szCs w:val="20"/>
                <w:color w:val="auto"/>
              </w:rPr>
            </w:pPr>
            <w:r>
              <w:rPr>
                <w:rFonts w:ascii="Arial" w:cs="Arial" w:eastAsia="Arial" w:hAnsi="Arial"/>
                <w:sz w:val="14"/>
                <w:szCs w:val="14"/>
                <w:color w:val="auto"/>
              </w:rPr>
              <w:t>Owned/Leased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Office and test facility</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Lakeville, MN</w:t>
            </w:r>
          </w:p>
        </w:tc>
        <w:tc>
          <w:tcPr>
            <w:tcW w:w="1740" w:type="dxa"/>
            <w:vAlign w:val="bottom"/>
          </w:tcPr>
          <w:p>
            <w:pPr>
              <w:ind w:left="5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Residential finished goods distribution center</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Lincoln, NE</w:t>
            </w:r>
          </w:p>
        </w:tc>
        <w:tc>
          <w:tcPr>
            <w:tcW w:w="1740" w:type="dxa"/>
            <w:vAlign w:val="bottom"/>
          </w:tcPr>
          <w:p>
            <w:pPr>
              <w:ind w:left="5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finished goods distribution center</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1740" w:type="dxa"/>
            <w:vAlign w:val="bottom"/>
          </w:tcPr>
          <w:p>
            <w:pPr>
              <w:ind w:left="500"/>
              <w:spacing w:after="0"/>
              <w:rPr>
                <w:sz w:val="20"/>
                <w:szCs w:val="20"/>
                <w:color w:val="auto"/>
              </w:rPr>
            </w:pPr>
            <w:r>
              <w:rPr>
                <w:rFonts w:ascii="Arial" w:cs="Arial" w:eastAsia="Arial" w:hAnsi="Arial"/>
                <w:sz w:val="14"/>
                <w:szCs w:val="14"/>
                <w:color w:val="auto"/>
              </w:rPr>
              <w:t>Owned</w:t>
            </w:r>
          </w:p>
        </w:tc>
        <w:tc>
          <w:tcPr>
            <w:tcW w:w="5180" w:type="dxa"/>
            <w:vAlign w:val="bottom"/>
          </w:tcPr>
          <w:p>
            <w:pPr>
              <w:ind w:left="26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Shakopee, MN</w:t>
            </w:r>
          </w:p>
        </w:tc>
        <w:tc>
          <w:tcPr>
            <w:tcW w:w="1740" w:type="dxa"/>
            <w:vAlign w:val="bottom"/>
          </w:tcPr>
          <w:p>
            <w:pPr>
              <w:ind w:left="500"/>
              <w:spacing w:after="0"/>
              <w:rPr>
                <w:sz w:val="20"/>
                <w:szCs w:val="20"/>
                <w:color w:val="auto"/>
              </w:rPr>
            </w:pPr>
            <w:r>
              <w:rPr>
                <w:rFonts w:ascii="Arial" w:cs="Arial" w:eastAsia="Arial" w:hAnsi="Arial"/>
                <w:sz w:val="14"/>
                <w:szCs w:val="14"/>
                <w:color w:val="auto"/>
              </w:rPr>
              <w:t>Owned</w:t>
            </w:r>
          </w:p>
        </w:tc>
        <w:tc>
          <w:tcPr>
            <w:tcW w:w="5180" w:type="dxa"/>
            <w:vAlign w:val="bottom"/>
          </w:tcPr>
          <w:p>
            <w:pPr>
              <w:ind w:left="260"/>
              <w:spacing w:after="0"/>
              <w:rPr>
                <w:sz w:val="20"/>
                <w:szCs w:val="20"/>
                <w:color w:val="auto"/>
              </w:rPr>
            </w:pPr>
            <w:r>
              <w:rPr>
                <w:rFonts w:ascii="Arial" w:cs="Arial" w:eastAsia="Arial" w:hAnsi="Arial"/>
                <w:sz w:val="14"/>
                <w:szCs w:val="14"/>
                <w:color w:val="auto"/>
              </w:rPr>
              <w:t>Components for professional and residential products</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Braeside, Australia</w:t>
            </w:r>
          </w:p>
        </w:tc>
        <w:tc>
          <w:tcPr>
            <w:tcW w:w="1740" w:type="dxa"/>
            <w:vAlign w:val="bottom"/>
          </w:tcPr>
          <w:p>
            <w:pPr>
              <w:ind w:left="500"/>
              <w:spacing w:after="0"/>
              <w:rPr>
                <w:sz w:val="20"/>
                <w:szCs w:val="20"/>
                <w:color w:val="auto"/>
              </w:rPr>
            </w:pPr>
            <w:r>
              <w:rPr>
                <w:rFonts w:ascii="Arial" w:cs="Arial" w:eastAsia="Arial" w:hAnsi="Arial"/>
                <w:sz w:val="14"/>
                <w:szCs w:val="14"/>
                <w:color w:val="auto"/>
              </w:rPr>
              <w:t>Leased</w:t>
            </w:r>
          </w:p>
        </w:tc>
        <w:tc>
          <w:tcPr>
            <w:tcW w:w="5180" w:type="dxa"/>
            <w:vAlign w:val="bottom"/>
          </w:tcPr>
          <w:p>
            <w:pPr>
              <w:ind w:left="260"/>
              <w:spacing w:after="0"/>
              <w:rPr>
                <w:sz w:val="20"/>
                <w:szCs w:val="20"/>
                <w:color w:val="auto"/>
              </w:rPr>
            </w:pPr>
            <w:r>
              <w:rPr>
                <w:rFonts w:ascii="Arial" w:cs="Arial" w:eastAsia="Arial" w:hAnsi="Arial"/>
                <w:sz w:val="14"/>
                <w:szCs w:val="14"/>
                <w:color w:val="auto"/>
              </w:rPr>
              <w:t>Distribution facility</w:t>
            </w:r>
          </w:p>
        </w:tc>
      </w:tr>
    </w:tbl>
    <w:p>
      <w:pPr>
        <w:sectPr>
          <w:pgSz w:w="11900" w:h="16838" w:orient="portrait"/>
          <w:cols w:equalWidth="0" w:num="1">
            <w:col w:w="11400"/>
          </w:cols>
          <w:pgMar w:left="240" w:top="152" w:right="259" w:bottom="0" w:gutter="0" w:footer="0" w:header="0"/>
        </w:sectPr>
      </w:pPr>
    </w:p>
    <w:bookmarkStart w:id="13" w:name="page14"/>
    <w:bookmarkEnd w:id="13"/>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Arial" w:cs="Arial" w:eastAsia="Arial" w:hAnsi="Arial"/>
                <w:sz w:val="14"/>
                <w:szCs w:val="14"/>
                <w:color w:val="auto"/>
              </w:rPr>
              <w:t>Beverley, Australia</w:t>
            </w:r>
          </w:p>
        </w:tc>
        <w:tc>
          <w:tcPr>
            <w:tcW w:w="1780" w:type="dxa"/>
            <w:vAlign w:val="bottom"/>
          </w:tcPr>
          <w:p>
            <w:pPr>
              <w:ind w:left="800"/>
              <w:spacing w:after="0"/>
              <w:rPr>
                <w:sz w:val="20"/>
                <w:szCs w:val="20"/>
                <w:color w:val="auto"/>
              </w:rPr>
            </w:pPr>
            <w:r>
              <w:rPr>
                <w:rFonts w:ascii="Arial" w:cs="Arial" w:eastAsia="Arial" w:hAnsi="Arial"/>
                <w:sz w:val="14"/>
                <w:szCs w:val="14"/>
                <w:color w:val="auto"/>
              </w:rPr>
              <w:t>Owned</w:t>
            </w:r>
          </w:p>
        </w:tc>
        <w:tc>
          <w:tcPr>
            <w:tcW w:w="5440" w:type="dxa"/>
            <w:vAlign w:val="bottom"/>
          </w:tcPr>
          <w:p>
            <w:pPr>
              <w:ind w:left="520"/>
              <w:spacing w:after="0"/>
              <w:rPr>
                <w:sz w:val="20"/>
                <w:szCs w:val="20"/>
                <w:color w:val="auto"/>
              </w:rPr>
            </w:pPr>
            <w:r>
              <w:rPr>
                <w:rFonts w:ascii="Arial" w:cs="Arial" w:eastAsia="Arial" w:hAnsi="Arial"/>
                <w:sz w:val="14"/>
                <w:szCs w:val="14"/>
                <w:color w:val="auto"/>
              </w:rPr>
              <w:t>Professional products, office and finished goods distribution center</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El Cajon, CA</w:t>
            </w:r>
          </w:p>
        </w:tc>
        <w:tc>
          <w:tcPr>
            <w:tcW w:w="1780" w:type="dxa"/>
            <w:vAlign w:val="bottom"/>
          </w:tcPr>
          <w:p>
            <w:pPr>
              <w:ind w:left="800"/>
              <w:spacing w:after="0"/>
              <w:rPr>
                <w:sz w:val="20"/>
                <w:szCs w:val="20"/>
                <w:color w:val="auto"/>
              </w:rPr>
            </w:pPr>
            <w:r>
              <w:rPr>
                <w:rFonts w:ascii="Arial" w:cs="Arial" w:eastAsia="Arial" w:hAnsi="Arial"/>
                <w:sz w:val="14"/>
                <w:szCs w:val="14"/>
                <w:color w:val="auto"/>
              </w:rPr>
              <w:t>Owned</w:t>
            </w:r>
          </w:p>
        </w:tc>
        <w:tc>
          <w:tcPr>
            <w:tcW w:w="5440" w:type="dxa"/>
            <w:vAlign w:val="bottom"/>
          </w:tcPr>
          <w:p>
            <w:pPr>
              <w:ind w:left="52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Brooklyn Center, MN</w:t>
            </w:r>
          </w:p>
        </w:tc>
        <w:tc>
          <w:tcPr>
            <w:tcW w:w="1780" w:type="dxa"/>
            <w:vAlign w:val="bottom"/>
          </w:tcPr>
          <w:p>
            <w:pPr>
              <w:ind w:left="800"/>
              <w:spacing w:after="0"/>
              <w:rPr>
                <w:sz w:val="20"/>
                <w:szCs w:val="20"/>
                <w:color w:val="auto"/>
              </w:rPr>
            </w:pPr>
            <w:r>
              <w:rPr>
                <w:rFonts w:ascii="Arial" w:cs="Arial" w:eastAsia="Arial" w:hAnsi="Arial"/>
                <w:sz w:val="14"/>
                <w:szCs w:val="14"/>
                <w:color w:val="auto"/>
              </w:rPr>
              <w:t>Leased</w:t>
            </w:r>
          </w:p>
        </w:tc>
        <w:tc>
          <w:tcPr>
            <w:tcW w:w="5440" w:type="dxa"/>
            <w:vAlign w:val="bottom"/>
          </w:tcPr>
          <w:p>
            <w:pPr>
              <w:ind w:left="520"/>
              <w:spacing w:after="0"/>
              <w:rPr>
                <w:sz w:val="20"/>
                <w:szCs w:val="20"/>
                <w:color w:val="auto"/>
              </w:rPr>
            </w:pPr>
            <w:r>
              <w:rPr>
                <w:rFonts w:ascii="Arial" w:cs="Arial" w:eastAsia="Arial" w:hAnsi="Arial"/>
                <w:sz w:val="14"/>
                <w:szCs w:val="14"/>
                <w:color w:val="auto"/>
              </w:rPr>
              <w:t>Distribution facility</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Capena, Italy</w:t>
            </w:r>
          </w:p>
        </w:tc>
        <w:tc>
          <w:tcPr>
            <w:tcW w:w="1780" w:type="dxa"/>
            <w:vAlign w:val="bottom"/>
          </w:tcPr>
          <w:p>
            <w:pPr>
              <w:ind w:left="800"/>
              <w:spacing w:after="0"/>
              <w:rPr>
                <w:sz w:val="20"/>
                <w:szCs w:val="20"/>
                <w:color w:val="auto"/>
              </w:rPr>
            </w:pPr>
            <w:r>
              <w:rPr>
                <w:rFonts w:ascii="Arial" w:cs="Arial" w:eastAsia="Arial" w:hAnsi="Arial"/>
                <w:sz w:val="14"/>
                <w:szCs w:val="14"/>
                <w:color w:val="auto"/>
              </w:rPr>
              <w:t>Leased</w:t>
            </w:r>
          </w:p>
        </w:tc>
        <w:tc>
          <w:tcPr>
            <w:tcW w:w="5440" w:type="dxa"/>
            <w:vAlign w:val="bottom"/>
          </w:tcPr>
          <w:p>
            <w:pPr>
              <w:ind w:left="520"/>
              <w:spacing w:after="0"/>
              <w:rPr>
                <w:sz w:val="20"/>
                <w:szCs w:val="20"/>
                <w:color w:val="auto"/>
              </w:rPr>
            </w:pPr>
            <w:r>
              <w:rPr>
                <w:rFonts w:ascii="Arial" w:cs="Arial" w:eastAsia="Arial" w:hAnsi="Arial"/>
                <w:sz w:val="14"/>
                <w:szCs w:val="14"/>
                <w:color w:val="auto"/>
              </w:rPr>
              <w:t>Distribution facility</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Oevel, Belgium</w:t>
            </w:r>
          </w:p>
        </w:tc>
        <w:tc>
          <w:tcPr>
            <w:tcW w:w="1780" w:type="dxa"/>
            <w:vAlign w:val="bottom"/>
          </w:tcPr>
          <w:p>
            <w:pPr>
              <w:ind w:left="800"/>
              <w:spacing w:after="0"/>
              <w:rPr>
                <w:sz w:val="20"/>
                <w:szCs w:val="20"/>
                <w:color w:val="auto"/>
              </w:rPr>
            </w:pPr>
            <w:r>
              <w:rPr>
                <w:rFonts w:ascii="Arial" w:cs="Arial" w:eastAsia="Arial" w:hAnsi="Arial"/>
                <w:sz w:val="14"/>
                <w:szCs w:val="14"/>
                <w:color w:val="auto"/>
              </w:rPr>
              <w:t>Owned</w:t>
            </w:r>
          </w:p>
        </w:tc>
        <w:tc>
          <w:tcPr>
            <w:tcW w:w="5440" w:type="dxa"/>
            <w:vAlign w:val="bottom"/>
          </w:tcPr>
          <w:p>
            <w:pPr>
              <w:ind w:left="520"/>
              <w:spacing w:after="0"/>
              <w:rPr>
                <w:sz w:val="20"/>
                <w:szCs w:val="20"/>
                <w:color w:val="auto"/>
              </w:rPr>
            </w:pPr>
            <w:r>
              <w:rPr>
                <w:rFonts w:ascii="Arial" w:cs="Arial" w:eastAsia="Arial" w:hAnsi="Arial"/>
                <w:sz w:val="14"/>
                <w:szCs w:val="14"/>
                <w:color w:val="auto"/>
              </w:rPr>
              <w:t>Distribution facility</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Hazelwood, MO</w:t>
            </w:r>
          </w:p>
        </w:tc>
        <w:tc>
          <w:tcPr>
            <w:tcW w:w="1780" w:type="dxa"/>
            <w:vAlign w:val="bottom"/>
          </w:tcPr>
          <w:p>
            <w:pPr>
              <w:ind w:left="800"/>
              <w:spacing w:after="0"/>
              <w:rPr>
                <w:sz w:val="20"/>
                <w:szCs w:val="20"/>
                <w:color w:val="auto"/>
              </w:rPr>
            </w:pPr>
            <w:r>
              <w:rPr>
                <w:rFonts w:ascii="Arial" w:cs="Arial" w:eastAsia="Arial" w:hAnsi="Arial"/>
                <w:sz w:val="14"/>
                <w:szCs w:val="14"/>
                <w:color w:val="auto"/>
              </w:rPr>
              <w:t>Leased</w:t>
            </w:r>
          </w:p>
        </w:tc>
        <w:tc>
          <w:tcPr>
            <w:tcW w:w="5440" w:type="dxa"/>
            <w:vAlign w:val="bottom"/>
          </w:tcPr>
          <w:p>
            <w:pPr>
              <w:ind w:left="520"/>
              <w:spacing w:after="0"/>
              <w:rPr>
                <w:sz w:val="20"/>
                <w:szCs w:val="20"/>
                <w:color w:val="auto"/>
              </w:rPr>
            </w:pPr>
            <w:r>
              <w:rPr>
                <w:rFonts w:ascii="Arial" w:cs="Arial" w:eastAsia="Arial" w:hAnsi="Arial"/>
                <w:sz w:val="14"/>
                <w:szCs w:val="14"/>
                <w:color w:val="auto"/>
              </w:rPr>
              <w:t>Distribution facility</w:t>
            </w:r>
          </w:p>
        </w:tc>
      </w:tr>
      <w:tr>
        <w:trPr>
          <w:trHeight w:val="189"/>
        </w:trPr>
        <w:tc>
          <w:tcPr>
            <w:tcW w:w="2140" w:type="dxa"/>
            <w:vAlign w:val="bottom"/>
          </w:tcPr>
          <w:p>
            <w:pPr>
              <w:spacing w:after="0"/>
              <w:rPr>
                <w:sz w:val="20"/>
                <w:szCs w:val="20"/>
                <w:color w:val="auto"/>
              </w:rPr>
            </w:pPr>
            <w:r>
              <w:rPr>
                <w:rFonts w:ascii="Arial" w:cs="Arial" w:eastAsia="Arial" w:hAnsi="Arial"/>
                <w:sz w:val="14"/>
                <w:szCs w:val="14"/>
                <w:color w:val="auto"/>
              </w:rPr>
              <w:t>Sanford, FL</w:t>
            </w:r>
          </w:p>
        </w:tc>
        <w:tc>
          <w:tcPr>
            <w:tcW w:w="1780" w:type="dxa"/>
            <w:vAlign w:val="bottom"/>
          </w:tcPr>
          <w:p>
            <w:pPr>
              <w:ind w:left="800"/>
              <w:spacing w:after="0"/>
              <w:rPr>
                <w:sz w:val="20"/>
                <w:szCs w:val="20"/>
                <w:color w:val="auto"/>
              </w:rPr>
            </w:pPr>
            <w:r>
              <w:rPr>
                <w:rFonts w:ascii="Arial" w:cs="Arial" w:eastAsia="Arial" w:hAnsi="Arial"/>
                <w:sz w:val="14"/>
                <w:szCs w:val="14"/>
                <w:color w:val="auto"/>
              </w:rPr>
              <w:t>Leased</w:t>
            </w:r>
          </w:p>
        </w:tc>
        <w:tc>
          <w:tcPr>
            <w:tcW w:w="5440" w:type="dxa"/>
            <w:vAlign w:val="bottom"/>
          </w:tcPr>
          <w:p>
            <w:pPr>
              <w:ind w:left="520"/>
              <w:spacing w:after="0"/>
              <w:rPr>
                <w:sz w:val="20"/>
                <w:szCs w:val="20"/>
                <w:color w:val="auto"/>
              </w:rPr>
            </w:pPr>
            <w:r>
              <w:rPr>
                <w:rFonts w:ascii="Arial" w:cs="Arial" w:eastAsia="Arial" w:hAnsi="Arial"/>
                <w:sz w:val="14"/>
                <w:szCs w:val="14"/>
                <w:color w:val="auto"/>
              </w:rPr>
              <w:t>Professional products and distribution center</w:t>
            </w:r>
          </w:p>
        </w:tc>
      </w:tr>
      <w:tr>
        <w:trPr>
          <w:trHeight w:val="195"/>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Franklin Park, IL</w:t>
            </w:r>
          </w:p>
        </w:tc>
        <w:tc>
          <w:tcPr>
            <w:tcW w:w="17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Leased</w:t>
            </w:r>
          </w:p>
        </w:tc>
        <w:tc>
          <w:tcPr>
            <w:tcW w:w="54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Distribution facility</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3.  LEGAL PROCEEDINGS</w:t>
      </w:r>
    </w:p>
    <w:p>
      <w:pPr>
        <w:spacing w:after="0" w:line="26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the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we believe that the outcome of these cases is unlikely to have a materially adverse effect on our consolidated operating results or financial condition. Further, although we are self-insured to some extent, we maintain insurance against certain product liability losses.</w:t>
      </w:r>
    </w:p>
    <w:p>
      <w:pPr>
        <w:spacing w:after="0" w:line="5" w:lineRule="exact"/>
        <w:rPr>
          <w:sz w:val="20"/>
          <w:szCs w:val="20"/>
          <w:color w:val="auto"/>
        </w:rPr>
      </w:pPr>
    </w:p>
    <w:p>
      <w:pPr>
        <w:ind w:firstLine="180"/>
        <w:spacing w:after="0" w:line="235"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 stroke or four stroke gas combustible engines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As of December 22, 2006, the court has not yet ruled on these motions. On December 21, 2006, one of the defendants, American Honda Motor Company, notified us that it had reached an agreement of settlement with the plaintiffs. We continue to evaluate this lawsuit and are unable to reasonably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4.  SUBMISSION OF MATTERS TO A VOTE OF SECURITY 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fiscal 2006.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EXECUTIVE OFFICERS OF THE REGISTRANT</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list below identifies those persons designated as executive officers of the company, including their age and position with the company as of December 15, 2006 and positions held by them during the last five or more years. Officers are elected by the Board of Directors or appointed by the Chief Executive Officer annually. All executive officers listed below are subject to Section 16 under the Securities Exchange Act of 1934, as amended.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Name, Age, and Position with the Company</w:t>
            </w:r>
          </w:p>
        </w:tc>
        <w:tc>
          <w:tcPr>
            <w:tcW w:w="62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Michael J. Hoffman</w:t>
            </w:r>
          </w:p>
        </w:tc>
        <w:tc>
          <w:tcPr>
            <w:tcW w:w="6220" w:type="dxa"/>
            <w:vAlign w:val="bottom"/>
          </w:tcPr>
          <w:p>
            <w:pPr>
              <w:ind w:left="200"/>
              <w:spacing w:after="0"/>
              <w:rPr>
                <w:sz w:val="20"/>
                <w:szCs w:val="20"/>
                <w:color w:val="auto"/>
              </w:rPr>
            </w:pPr>
            <w:r>
              <w:rPr>
                <w:rFonts w:ascii="Arial" w:cs="Arial" w:eastAsia="Arial" w:hAnsi="Arial"/>
                <w:sz w:val="14"/>
                <w:szCs w:val="14"/>
                <w:color w:val="auto"/>
              </w:rPr>
              <w:t>Chairman of the Board since March 2006, Chief Executive Officer since March 2005 and</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51, Chairman of the Board, President and Chief</w:t>
            </w:r>
          </w:p>
        </w:tc>
        <w:tc>
          <w:tcPr>
            <w:tcW w:w="6220" w:type="dxa"/>
            <w:vAlign w:val="bottom"/>
          </w:tcPr>
          <w:p>
            <w:pPr>
              <w:ind w:left="200"/>
              <w:spacing w:after="0"/>
              <w:rPr>
                <w:sz w:val="20"/>
                <w:szCs w:val="20"/>
                <w:color w:val="auto"/>
              </w:rPr>
            </w:pPr>
            <w:r>
              <w:rPr>
                <w:rFonts w:ascii="Arial" w:cs="Arial" w:eastAsia="Arial" w:hAnsi="Arial"/>
                <w:sz w:val="14"/>
                <w:szCs w:val="14"/>
                <w:color w:val="auto"/>
              </w:rPr>
              <w:t>President since October 2004. He also served as Chief Operating Officer from October 2004</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Executive Officer</w:t>
            </w:r>
          </w:p>
        </w:tc>
        <w:tc>
          <w:tcPr>
            <w:tcW w:w="6220" w:type="dxa"/>
            <w:vAlign w:val="bottom"/>
          </w:tcPr>
          <w:p>
            <w:pPr>
              <w:ind w:left="200"/>
              <w:spacing w:after="0"/>
              <w:rPr>
                <w:sz w:val="20"/>
                <w:szCs w:val="20"/>
                <w:color w:val="auto"/>
              </w:rPr>
            </w:pPr>
            <w:r>
              <w:rPr>
                <w:rFonts w:ascii="Arial" w:cs="Arial" w:eastAsia="Arial" w:hAnsi="Arial"/>
                <w:sz w:val="14"/>
                <w:szCs w:val="14"/>
                <w:color w:val="auto"/>
              </w:rPr>
              <w:t>to March 2005. From November 2002 to October 2004, he served as Group Vice President,</w:t>
            </w:r>
          </w:p>
        </w:tc>
      </w:tr>
      <w:tr>
        <w:trPr>
          <w:trHeight w:val="189"/>
        </w:trPr>
        <w:tc>
          <w:tcPr>
            <w:tcW w:w="3240" w:type="dxa"/>
            <w:vAlign w:val="bottom"/>
          </w:tcPr>
          <w:p>
            <w:pPr>
              <w:spacing w:after="0"/>
              <w:rPr>
                <w:sz w:val="16"/>
                <w:szCs w:val="16"/>
                <w:color w:val="auto"/>
              </w:rPr>
            </w:pPr>
          </w:p>
        </w:tc>
        <w:tc>
          <w:tcPr>
            <w:tcW w:w="6220" w:type="dxa"/>
            <w:vAlign w:val="bottom"/>
          </w:tcPr>
          <w:p>
            <w:pPr>
              <w:ind w:left="200"/>
              <w:spacing w:after="0"/>
              <w:rPr>
                <w:sz w:val="20"/>
                <w:szCs w:val="20"/>
                <w:color w:val="auto"/>
              </w:rPr>
            </w:pPr>
            <w:r>
              <w:rPr>
                <w:rFonts w:ascii="Arial" w:cs="Arial" w:eastAsia="Arial" w:hAnsi="Arial"/>
                <w:sz w:val="14"/>
                <w:szCs w:val="14"/>
                <w:color w:val="auto"/>
              </w:rPr>
              <w:t>Consumer, Exmark, Landscape Contractor, and International Businesses. From May 2001 to</w:t>
            </w:r>
          </w:p>
        </w:tc>
      </w:tr>
      <w:tr>
        <w:trPr>
          <w:trHeight w:val="189"/>
        </w:trPr>
        <w:tc>
          <w:tcPr>
            <w:tcW w:w="3240" w:type="dxa"/>
            <w:vAlign w:val="bottom"/>
          </w:tcPr>
          <w:p>
            <w:pPr>
              <w:spacing w:after="0"/>
              <w:rPr>
                <w:sz w:val="16"/>
                <w:szCs w:val="16"/>
                <w:color w:val="auto"/>
              </w:rPr>
            </w:pPr>
          </w:p>
        </w:tc>
        <w:tc>
          <w:tcPr>
            <w:tcW w:w="6220" w:type="dxa"/>
            <w:vAlign w:val="bottom"/>
          </w:tcPr>
          <w:p>
            <w:pPr>
              <w:ind w:left="200"/>
              <w:spacing w:after="0"/>
              <w:rPr>
                <w:sz w:val="20"/>
                <w:szCs w:val="20"/>
                <w:color w:val="auto"/>
              </w:rPr>
            </w:pPr>
            <w:r>
              <w:rPr>
                <w:rFonts w:ascii="Arial" w:cs="Arial" w:eastAsia="Arial" w:hAnsi="Arial"/>
                <w:sz w:val="14"/>
                <w:szCs w:val="14"/>
                <w:color w:val="auto"/>
              </w:rPr>
              <w:t>October 2002, he served as Group Vice President, Consumer and Landscape Contractor</w:t>
            </w:r>
          </w:p>
        </w:tc>
      </w:tr>
      <w:tr>
        <w:trPr>
          <w:trHeight w:val="188"/>
        </w:trPr>
        <w:tc>
          <w:tcPr>
            <w:tcW w:w="324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Businesses.</w:t>
            </w:r>
          </w:p>
        </w:tc>
      </w:t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William E. Brown, Jr.</w:t>
            </w:r>
          </w:p>
        </w:tc>
        <w:tc>
          <w:tcPr>
            <w:tcW w:w="6220" w:type="dxa"/>
            <w:vAlign w:val="bottom"/>
          </w:tcPr>
          <w:p>
            <w:pPr>
              <w:ind w:left="200"/>
              <w:spacing w:after="0"/>
              <w:rPr>
                <w:sz w:val="20"/>
                <w:szCs w:val="20"/>
                <w:color w:val="auto"/>
              </w:rPr>
            </w:pPr>
            <w:r>
              <w:rPr>
                <w:rFonts w:ascii="Arial" w:cs="Arial" w:eastAsia="Arial" w:hAnsi="Arial"/>
                <w:sz w:val="14"/>
                <w:szCs w:val="14"/>
                <w:color w:val="auto"/>
              </w:rPr>
              <w:t>Vice President, Consumer and Landscape Contractor Business – Toro since November 2006.</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45, Vice President, Consumer and Landscape</w:t>
            </w:r>
          </w:p>
        </w:tc>
        <w:tc>
          <w:tcPr>
            <w:tcW w:w="6220" w:type="dxa"/>
            <w:vAlign w:val="bottom"/>
          </w:tcPr>
          <w:p>
            <w:pPr>
              <w:ind w:left="200"/>
              <w:spacing w:after="0"/>
              <w:rPr>
                <w:sz w:val="20"/>
                <w:szCs w:val="20"/>
                <w:color w:val="auto"/>
              </w:rPr>
            </w:pPr>
            <w:r>
              <w:rPr>
                <w:rFonts w:ascii="Arial" w:cs="Arial" w:eastAsia="Arial" w:hAnsi="Arial"/>
                <w:sz w:val="14"/>
                <w:szCs w:val="14"/>
                <w:color w:val="auto"/>
              </w:rPr>
              <w:t>From February 2003 to October 2006, he served as Vice President and General Manager,</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Contractor Business – Toro</w:t>
            </w:r>
          </w:p>
        </w:tc>
        <w:tc>
          <w:tcPr>
            <w:tcW w:w="6220" w:type="dxa"/>
            <w:vAlign w:val="bottom"/>
          </w:tcPr>
          <w:p>
            <w:pPr>
              <w:ind w:left="200"/>
              <w:spacing w:after="0"/>
              <w:rPr>
                <w:sz w:val="20"/>
                <w:szCs w:val="20"/>
                <w:color w:val="auto"/>
              </w:rPr>
            </w:pPr>
            <w:r>
              <w:rPr>
                <w:rFonts w:ascii="Arial" w:cs="Arial" w:eastAsia="Arial" w:hAnsi="Arial"/>
                <w:sz w:val="14"/>
                <w:szCs w:val="14"/>
                <w:color w:val="auto"/>
              </w:rPr>
              <w:t>Commercial Business. From September 2000 to January 2003, he served as General</w:t>
            </w:r>
          </w:p>
        </w:tc>
      </w:tr>
      <w:tr>
        <w:trPr>
          <w:trHeight w:val="188"/>
        </w:trPr>
        <w:tc>
          <w:tcPr>
            <w:tcW w:w="324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Manager, Landscape Contractor Business.</w:t>
            </w:r>
          </w:p>
        </w:tc>
      </w:t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Philip A. Burkart</w:t>
            </w:r>
          </w:p>
        </w:tc>
        <w:tc>
          <w:tcPr>
            <w:tcW w:w="6220" w:type="dxa"/>
            <w:vAlign w:val="bottom"/>
          </w:tcPr>
          <w:p>
            <w:pPr>
              <w:ind w:left="200"/>
              <w:spacing w:after="0"/>
              <w:rPr>
                <w:sz w:val="20"/>
                <w:szCs w:val="20"/>
                <w:color w:val="auto"/>
              </w:rPr>
            </w:pPr>
            <w:r>
              <w:rPr>
                <w:rFonts w:ascii="Arial" w:cs="Arial" w:eastAsia="Arial" w:hAnsi="Arial"/>
                <w:sz w:val="14"/>
                <w:szCs w:val="14"/>
                <w:color w:val="auto"/>
              </w:rPr>
              <w:t>Vice President, Irrigation Businesses since November 2006. From February 2003 to</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44, Vice President, Irrigation Businesses</w:t>
            </w:r>
          </w:p>
        </w:tc>
        <w:tc>
          <w:tcPr>
            <w:tcW w:w="6220" w:type="dxa"/>
            <w:vAlign w:val="bottom"/>
          </w:tcPr>
          <w:p>
            <w:pPr>
              <w:ind w:left="200"/>
              <w:spacing w:after="0"/>
              <w:rPr>
                <w:sz w:val="20"/>
                <w:szCs w:val="20"/>
                <w:color w:val="auto"/>
              </w:rPr>
            </w:pPr>
            <w:r>
              <w:rPr>
                <w:rFonts w:ascii="Arial" w:cs="Arial" w:eastAsia="Arial" w:hAnsi="Arial"/>
                <w:sz w:val="14"/>
                <w:szCs w:val="14"/>
                <w:color w:val="auto"/>
              </w:rPr>
              <w:t>October 2006, he served as Vice President and General Manager, Irrigation Business. From</w:t>
            </w:r>
          </w:p>
        </w:tc>
      </w:tr>
      <w:tr>
        <w:trPr>
          <w:trHeight w:val="189"/>
        </w:trPr>
        <w:tc>
          <w:tcPr>
            <w:tcW w:w="3240" w:type="dxa"/>
            <w:vAlign w:val="bottom"/>
          </w:tcPr>
          <w:p>
            <w:pPr>
              <w:spacing w:after="0"/>
              <w:rPr>
                <w:sz w:val="16"/>
                <w:szCs w:val="16"/>
                <w:color w:val="auto"/>
              </w:rPr>
            </w:pPr>
          </w:p>
        </w:tc>
        <w:tc>
          <w:tcPr>
            <w:tcW w:w="6220" w:type="dxa"/>
            <w:vAlign w:val="bottom"/>
          </w:tcPr>
          <w:p>
            <w:pPr>
              <w:ind w:left="200"/>
              <w:spacing w:after="0"/>
              <w:rPr>
                <w:sz w:val="20"/>
                <w:szCs w:val="20"/>
                <w:color w:val="auto"/>
              </w:rPr>
            </w:pPr>
            <w:r>
              <w:rPr>
                <w:rFonts w:ascii="Arial" w:cs="Arial" w:eastAsia="Arial" w:hAnsi="Arial"/>
                <w:sz w:val="14"/>
                <w:szCs w:val="14"/>
                <w:color w:val="auto"/>
              </w:rPr>
              <w:t>November 2000 to January 2003, he served as Vice President and General Manager,</w:t>
            </w:r>
          </w:p>
        </w:tc>
      </w:tr>
      <w:tr>
        <w:trPr>
          <w:trHeight w:val="188"/>
        </w:trPr>
        <w:tc>
          <w:tcPr>
            <w:tcW w:w="324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 Business.</w:t>
            </w:r>
          </w:p>
        </w:tc>
      </w:t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Timothy P. Dordell</w:t>
            </w:r>
          </w:p>
        </w:tc>
        <w:tc>
          <w:tcPr>
            <w:tcW w:w="6220" w:type="dxa"/>
            <w:vAlign w:val="bottom"/>
          </w:tcPr>
          <w:p>
            <w:pPr>
              <w:ind w:left="200"/>
              <w:spacing w:after="0"/>
              <w:rPr>
                <w:sz w:val="20"/>
                <w:szCs w:val="20"/>
                <w:color w:val="auto"/>
              </w:rPr>
            </w:pPr>
            <w:r>
              <w:rPr>
                <w:rFonts w:ascii="Arial" w:cs="Arial" w:eastAsia="Arial" w:hAnsi="Arial"/>
                <w:sz w:val="14"/>
                <w:szCs w:val="14"/>
                <w:color w:val="auto"/>
              </w:rPr>
              <w:t>Vice President, Deputy General Counsel since November 2006. From May 2002 to</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44, Vice President,</w:t>
            </w:r>
          </w:p>
        </w:tc>
        <w:tc>
          <w:tcPr>
            <w:tcW w:w="6220" w:type="dxa"/>
            <w:vAlign w:val="bottom"/>
          </w:tcPr>
          <w:p>
            <w:pPr>
              <w:ind w:left="200"/>
              <w:spacing w:after="0"/>
              <w:rPr>
                <w:sz w:val="20"/>
                <w:szCs w:val="20"/>
                <w:color w:val="auto"/>
              </w:rPr>
            </w:pPr>
            <w:r>
              <w:rPr>
                <w:rFonts w:ascii="Arial" w:cs="Arial" w:eastAsia="Arial" w:hAnsi="Arial"/>
                <w:sz w:val="14"/>
                <w:szCs w:val="14"/>
                <w:color w:val="auto"/>
              </w:rPr>
              <w:t>November 2006, he served as Associate General Counsel-Corporate and Assistant Secretary</w:t>
            </w:r>
          </w:p>
        </w:tc>
      </w:tr>
      <w:tr>
        <w:trPr>
          <w:trHeight w:val="189"/>
        </w:trPr>
        <w:tc>
          <w:tcPr>
            <w:tcW w:w="3240" w:type="dxa"/>
            <w:vAlign w:val="bottom"/>
          </w:tcPr>
          <w:p>
            <w:pPr>
              <w:spacing w:after="0"/>
              <w:rPr>
                <w:sz w:val="20"/>
                <w:szCs w:val="20"/>
                <w:color w:val="auto"/>
              </w:rPr>
            </w:pPr>
            <w:r>
              <w:rPr>
                <w:rFonts w:ascii="Arial" w:cs="Arial" w:eastAsia="Arial" w:hAnsi="Arial"/>
                <w:sz w:val="14"/>
                <w:szCs w:val="14"/>
                <w:color w:val="auto"/>
              </w:rPr>
              <w:t>Deputy General Counsel</w:t>
            </w:r>
          </w:p>
        </w:tc>
        <w:tc>
          <w:tcPr>
            <w:tcW w:w="6220" w:type="dxa"/>
            <w:vAlign w:val="bottom"/>
          </w:tcPr>
          <w:p>
            <w:pPr>
              <w:ind w:left="200"/>
              <w:spacing w:after="0"/>
              <w:rPr>
                <w:sz w:val="20"/>
                <w:szCs w:val="20"/>
                <w:color w:val="auto"/>
              </w:rPr>
            </w:pPr>
            <w:r>
              <w:rPr>
                <w:rFonts w:ascii="Arial" w:cs="Arial" w:eastAsia="Arial" w:hAnsi="Arial"/>
                <w:sz w:val="14"/>
                <w:szCs w:val="14"/>
                <w:color w:val="auto"/>
              </w:rPr>
              <w:t>at Ecolab Inc., a developer and marketer of products and services for the hospitality,</w:t>
            </w:r>
          </w:p>
        </w:tc>
      </w:tr>
      <w:tr>
        <w:trPr>
          <w:trHeight w:val="189"/>
        </w:trPr>
        <w:tc>
          <w:tcPr>
            <w:tcW w:w="3240" w:type="dxa"/>
            <w:vAlign w:val="bottom"/>
          </w:tcPr>
          <w:p>
            <w:pPr>
              <w:spacing w:after="0"/>
              <w:rPr>
                <w:sz w:val="16"/>
                <w:szCs w:val="16"/>
                <w:color w:val="auto"/>
              </w:rPr>
            </w:pPr>
          </w:p>
        </w:tc>
        <w:tc>
          <w:tcPr>
            <w:tcW w:w="6220" w:type="dxa"/>
            <w:vAlign w:val="bottom"/>
          </w:tcPr>
          <w:p>
            <w:pPr>
              <w:ind w:left="200"/>
              <w:spacing w:after="0"/>
              <w:rPr>
                <w:sz w:val="20"/>
                <w:szCs w:val="20"/>
                <w:color w:val="auto"/>
              </w:rPr>
            </w:pPr>
            <w:r>
              <w:rPr>
                <w:rFonts w:ascii="Arial" w:cs="Arial" w:eastAsia="Arial" w:hAnsi="Arial"/>
                <w:sz w:val="14"/>
                <w:szCs w:val="14"/>
                <w:color w:val="auto"/>
              </w:rPr>
              <w:t>foodservice, healthcare, and industrial markets. From February 1996 to May 2002, he served</w:t>
            </w:r>
          </w:p>
        </w:tc>
      </w:tr>
      <w:tr>
        <w:trPr>
          <w:trHeight w:val="188"/>
        </w:trPr>
        <w:tc>
          <w:tcPr>
            <w:tcW w:w="324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as Senior Attorney, Mergers and Acquisitions at Ecolab Inc.</w:t>
            </w:r>
          </w:p>
        </w:tc>
      </w:t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Michael D. Drazan</w:t>
            </w:r>
          </w:p>
        </w:tc>
        <w:tc>
          <w:tcPr>
            <w:tcW w:w="6220" w:type="dxa"/>
            <w:vAlign w:val="bottom"/>
          </w:tcPr>
          <w:p>
            <w:pPr>
              <w:ind w:left="200"/>
              <w:spacing w:after="0"/>
              <w:rPr>
                <w:sz w:val="20"/>
                <w:szCs w:val="20"/>
                <w:color w:val="auto"/>
              </w:rPr>
            </w:pPr>
            <w:r>
              <w:rPr>
                <w:rFonts w:ascii="Arial" w:cs="Arial" w:eastAsia="Arial" w:hAnsi="Arial"/>
                <w:sz w:val="14"/>
                <w:szCs w:val="14"/>
                <w:color w:val="auto"/>
              </w:rPr>
              <w:t>Vice President, Chief Information Officer since November 2006. From March 2000 to</w:t>
            </w:r>
          </w:p>
        </w:tc>
      </w:tr>
      <w:tr>
        <w:trPr>
          <w:trHeight w:val="188"/>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49, Vice President, Chief Information Officer</w:t>
            </w:r>
          </w:p>
        </w:tc>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November 2006, he served as Vice President, Corporate Information Services.</w:t>
            </w:r>
          </w:p>
        </w:tc>
      </w:tr>
    </w:tbl>
    <w:p>
      <w:pPr>
        <w:sectPr>
          <w:pgSz w:w="11900" w:h="16838" w:orient="portrait"/>
          <w:cols w:equalWidth="0" w:num="1">
            <w:col w:w="11400"/>
          </w:cols>
          <w:pgMar w:left="240" w:top="158" w:right="259" w:bottom="0" w:gutter="0" w:footer="0" w:header="0"/>
        </w:sectPr>
      </w:pPr>
    </w:p>
    <w:bookmarkStart w:id="14" w:name="page15"/>
    <w:bookmarkEnd w:id="14"/>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0" w:type="dxa"/>
            <w:vAlign w:val="bottom"/>
          </w:tcPr>
          <w:p>
            <w:pPr>
              <w:spacing w:after="0"/>
              <w:rPr>
                <w:sz w:val="17"/>
                <w:szCs w:val="17"/>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Blake M. Grams</w:t>
            </w:r>
          </w:p>
        </w:tc>
        <w:tc>
          <w:tcPr>
            <w:tcW w:w="63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Managing Director, Corporate Controller since February 2006. From November 2003 to</w:t>
            </w:r>
          </w:p>
        </w:tc>
        <w:tc>
          <w:tcPr>
            <w:tcW w:w="1020" w:type="dxa"/>
            <w:vAlign w:val="bottom"/>
          </w:tcPr>
          <w:p>
            <w:pPr>
              <w:spacing w:after="0"/>
              <w:rPr>
                <w:sz w:val="17"/>
                <w:szCs w:val="17"/>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39, Managing Director, Corporate Controller</w:t>
            </w:r>
          </w:p>
        </w:tc>
        <w:tc>
          <w:tcPr>
            <w:tcW w:w="6340" w:type="dxa"/>
            <w:vAlign w:val="bottom"/>
          </w:tcPr>
          <w:p>
            <w:pPr>
              <w:ind w:left="320"/>
              <w:spacing w:after="0"/>
              <w:rPr>
                <w:sz w:val="20"/>
                <w:szCs w:val="20"/>
                <w:color w:val="auto"/>
              </w:rPr>
            </w:pPr>
            <w:r>
              <w:rPr>
                <w:rFonts w:ascii="Arial" w:cs="Arial" w:eastAsia="Arial" w:hAnsi="Arial"/>
                <w:sz w:val="14"/>
                <w:szCs w:val="14"/>
                <w:color w:val="auto"/>
              </w:rPr>
              <w:t>January 2006, he served as Director, Corporate Finance. From February 2003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October 2003, he served as Senior Manager, Corporate Finance and Planning. From</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November 2000 to January 2003, he served as Senior Manager, Corporate Finance.</w:t>
            </w: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Michael J. Happe</w:t>
            </w:r>
          </w:p>
        </w:tc>
        <w:tc>
          <w:tcPr>
            <w:tcW w:w="6340" w:type="dxa"/>
            <w:vAlign w:val="bottom"/>
          </w:tcPr>
          <w:p>
            <w:pPr>
              <w:ind w:left="320"/>
              <w:spacing w:after="0"/>
              <w:rPr>
                <w:sz w:val="20"/>
                <w:szCs w:val="20"/>
                <w:color w:val="auto"/>
              </w:rPr>
            </w:pPr>
            <w:r>
              <w:rPr>
                <w:rFonts w:ascii="Arial" w:cs="Arial" w:eastAsia="Arial" w:hAnsi="Arial"/>
                <w:sz w:val="14"/>
                <w:szCs w:val="14"/>
                <w:color w:val="auto"/>
              </w:rPr>
              <w:t>Managing Director, Commercial Business since November 2006. From November 2004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35, Managing Director,</w:t>
            </w:r>
          </w:p>
        </w:tc>
        <w:tc>
          <w:tcPr>
            <w:tcW w:w="6340" w:type="dxa"/>
            <w:vAlign w:val="bottom"/>
          </w:tcPr>
          <w:p>
            <w:pPr>
              <w:ind w:left="320"/>
              <w:spacing w:after="0"/>
              <w:rPr>
                <w:sz w:val="20"/>
                <w:szCs w:val="20"/>
                <w:color w:val="auto"/>
              </w:rPr>
            </w:pPr>
            <w:r>
              <w:rPr>
                <w:rFonts w:ascii="Arial" w:cs="Arial" w:eastAsia="Arial" w:hAnsi="Arial"/>
                <w:sz w:val="14"/>
                <w:szCs w:val="14"/>
                <w:color w:val="auto"/>
              </w:rPr>
              <w:t>October 2006, he served as Director of Marketing, International Business. From April 2002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Commercial Business</w:t>
            </w:r>
          </w:p>
        </w:tc>
        <w:tc>
          <w:tcPr>
            <w:tcW w:w="6340" w:type="dxa"/>
            <w:vAlign w:val="bottom"/>
          </w:tcPr>
          <w:p>
            <w:pPr>
              <w:ind w:left="320"/>
              <w:spacing w:after="0"/>
              <w:rPr>
                <w:sz w:val="20"/>
                <w:szCs w:val="20"/>
                <w:color w:val="auto"/>
              </w:rPr>
            </w:pPr>
            <w:r>
              <w:rPr>
                <w:rFonts w:ascii="Arial" w:cs="Arial" w:eastAsia="Arial" w:hAnsi="Arial"/>
                <w:sz w:val="14"/>
                <w:szCs w:val="14"/>
                <w:color w:val="auto"/>
              </w:rPr>
              <w:t>November 2004, he served as National Account Manager – The Home Depot for the</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Consumer Business. From December 2000 to April 2002, he served as the Senior Marketing</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Manager for the Consumer Business.</w:t>
            </w: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Dennis P. Himan</w:t>
            </w:r>
          </w:p>
        </w:tc>
        <w:tc>
          <w:tcPr>
            <w:tcW w:w="6340" w:type="dxa"/>
            <w:vAlign w:val="bottom"/>
          </w:tcPr>
          <w:p>
            <w:pPr>
              <w:ind w:left="320"/>
              <w:spacing w:after="0"/>
              <w:rPr>
                <w:sz w:val="20"/>
                <w:szCs w:val="20"/>
                <w:color w:val="auto"/>
              </w:rPr>
            </w:pPr>
            <w:r>
              <w:rPr>
                <w:rFonts w:ascii="Arial" w:cs="Arial" w:eastAsia="Arial" w:hAnsi="Arial"/>
                <w:sz w:val="14"/>
                <w:szCs w:val="14"/>
                <w:color w:val="auto"/>
              </w:rPr>
              <w:t>Group Vice President, Commercial, Corporate Accounts, Exmark, MTI, International, and</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62, Group Vice President</w:t>
            </w:r>
          </w:p>
        </w:tc>
        <w:tc>
          <w:tcPr>
            <w:tcW w:w="6340" w:type="dxa"/>
            <w:vAlign w:val="bottom"/>
          </w:tcPr>
          <w:p>
            <w:pPr>
              <w:ind w:left="320"/>
              <w:spacing w:after="0"/>
              <w:rPr>
                <w:sz w:val="20"/>
                <w:szCs w:val="20"/>
                <w:color w:val="auto"/>
              </w:rPr>
            </w:pPr>
            <w:r>
              <w:rPr>
                <w:rFonts w:ascii="Arial" w:cs="Arial" w:eastAsia="Arial" w:hAnsi="Arial"/>
                <w:sz w:val="14"/>
                <w:szCs w:val="14"/>
                <w:color w:val="auto"/>
              </w:rPr>
              <w:t>Irrigation Businesses since November 2006. From February 2003 to October 2006, he served</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as Vice President and General Manager, International Business. From November 1999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January 2003, he served as Vice President and General Manager, Exmark Landscape</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Contractor Business.</w:t>
            </w: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J. Lawrence McIntyre</w:t>
            </w:r>
          </w:p>
        </w:tc>
        <w:tc>
          <w:tcPr>
            <w:tcW w:w="6340" w:type="dxa"/>
            <w:vAlign w:val="bottom"/>
          </w:tcPr>
          <w:p>
            <w:pPr>
              <w:ind w:left="320"/>
              <w:spacing w:after="0"/>
              <w:rPr>
                <w:sz w:val="20"/>
                <w:szCs w:val="20"/>
                <w:color w:val="auto"/>
              </w:rPr>
            </w:pPr>
            <w:r>
              <w:rPr>
                <w:rFonts w:ascii="Arial" w:cs="Arial" w:eastAsia="Arial" w:hAnsi="Arial"/>
                <w:sz w:val="14"/>
                <w:szCs w:val="14"/>
                <w:color w:val="auto"/>
              </w:rPr>
              <w:t>Vice President, Secretary and General Counsel since July 1993.</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64, Vice President, Secretary</w:t>
            </w:r>
          </w:p>
        </w:tc>
        <w:tc>
          <w:tcPr>
            <w:tcW w:w="6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and General Counsel</w:t>
            </w:r>
          </w:p>
        </w:tc>
        <w:tc>
          <w:tcPr>
            <w:tcW w:w="634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Sandra J. Meurlot</w:t>
            </w:r>
          </w:p>
        </w:tc>
        <w:tc>
          <w:tcPr>
            <w:tcW w:w="6340" w:type="dxa"/>
            <w:vAlign w:val="bottom"/>
          </w:tcPr>
          <w:p>
            <w:pPr>
              <w:ind w:left="320"/>
              <w:spacing w:after="0"/>
              <w:rPr>
                <w:sz w:val="20"/>
                <w:szCs w:val="20"/>
                <w:color w:val="auto"/>
              </w:rPr>
            </w:pPr>
            <w:r>
              <w:rPr>
                <w:rFonts w:ascii="Arial" w:cs="Arial" w:eastAsia="Arial" w:hAnsi="Arial"/>
                <w:sz w:val="14"/>
                <w:szCs w:val="14"/>
                <w:color w:val="auto"/>
              </w:rPr>
              <w:t>Vice President, Operations since November 2002. From September 2000 to February 2001,</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58, Vice President, Operations</w:t>
            </w:r>
          </w:p>
        </w:tc>
        <w:tc>
          <w:tcPr>
            <w:tcW w:w="6340" w:type="dxa"/>
            <w:vAlign w:val="bottom"/>
          </w:tcPr>
          <w:p>
            <w:pPr>
              <w:ind w:left="320"/>
              <w:spacing w:after="0"/>
              <w:rPr>
                <w:sz w:val="20"/>
                <w:szCs w:val="20"/>
                <w:color w:val="auto"/>
              </w:rPr>
            </w:pPr>
            <w:r>
              <w:rPr>
                <w:rFonts w:ascii="Arial" w:cs="Arial" w:eastAsia="Arial" w:hAnsi="Arial"/>
                <w:sz w:val="14"/>
                <w:szCs w:val="14"/>
                <w:color w:val="auto"/>
              </w:rPr>
              <w:t>she served as Vice President/OMC and President, Boat Group at Outboard Marine</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Corporation, a manufacturer and marketer of marine engines, boats, and accessories.</w:t>
            </w: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Karen M. Meyer</w:t>
            </w:r>
          </w:p>
        </w:tc>
        <w:tc>
          <w:tcPr>
            <w:tcW w:w="6340" w:type="dxa"/>
            <w:vAlign w:val="bottom"/>
          </w:tcPr>
          <w:p>
            <w:pPr>
              <w:ind w:left="320"/>
              <w:spacing w:after="0"/>
              <w:rPr>
                <w:sz w:val="20"/>
                <w:szCs w:val="20"/>
                <w:color w:val="auto"/>
              </w:rPr>
            </w:pPr>
            <w:r>
              <w:rPr>
                <w:rFonts w:ascii="Arial" w:cs="Arial" w:eastAsia="Arial" w:hAnsi="Arial"/>
                <w:sz w:val="14"/>
                <w:szCs w:val="14"/>
                <w:color w:val="auto"/>
              </w:rPr>
              <w:t>Vice President, Administration since August 1998.</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56, Vice President, Administration</w:t>
            </w:r>
          </w:p>
        </w:tc>
        <w:tc>
          <w:tcPr>
            <w:tcW w:w="634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Peter M. Ramstad</w:t>
            </w:r>
          </w:p>
        </w:tc>
        <w:tc>
          <w:tcPr>
            <w:tcW w:w="6340" w:type="dxa"/>
            <w:vAlign w:val="bottom"/>
          </w:tcPr>
          <w:p>
            <w:pPr>
              <w:ind w:left="320"/>
              <w:spacing w:after="0"/>
              <w:rPr>
                <w:sz w:val="20"/>
                <w:szCs w:val="20"/>
                <w:color w:val="auto"/>
              </w:rPr>
            </w:pPr>
            <w:r>
              <w:rPr>
                <w:rFonts w:ascii="Arial" w:cs="Arial" w:eastAsia="Arial" w:hAnsi="Arial"/>
                <w:sz w:val="14"/>
                <w:szCs w:val="14"/>
                <w:color w:val="auto"/>
              </w:rPr>
              <w:t>Vice President, Business and Strategic Development since November 2006. From</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49, Vice President, Business</w:t>
            </w:r>
          </w:p>
        </w:tc>
        <w:tc>
          <w:tcPr>
            <w:tcW w:w="6340" w:type="dxa"/>
            <w:vAlign w:val="bottom"/>
          </w:tcPr>
          <w:p>
            <w:pPr>
              <w:ind w:left="320"/>
              <w:spacing w:after="0"/>
              <w:rPr>
                <w:sz w:val="20"/>
                <w:szCs w:val="20"/>
                <w:color w:val="auto"/>
              </w:rPr>
            </w:pPr>
            <w:r>
              <w:rPr>
                <w:rFonts w:ascii="Arial" w:cs="Arial" w:eastAsia="Arial" w:hAnsi="Arial"/>
                <w:sz w:val="14"/>
                <w:szCs w:val="14"/>
                <w:color w:val="auto"/>
              </w:rPr>
              <w:t>December 2003 to November 2006, he served as Executive Vice President, Strategy and</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and Strategic Development</w:t>
            </w:r>
          </w:p>
        </w:tc>
        <w:tc>
          <w:tcPr>
            <w:tcW w:w="6340" w:type="dxa"/>
            <w:vAlign w:val="bottom"/>
          </w:tcPr>
          <w:p>
            <w:pPr>
              <w:ind w:left="320"/>
              <w:spacing w:after="0"/>
              <w:rPr>
                <w:sz w:val="20"/>
                <w:szCs w:val="20"/>
                <w:color w:val="auto"/>
              </w:rPr>
            </w:pPr>
            <w:r>
              <w:rPr>
                <w:rFonts w:ascii="Arial" w:cs="Arial" w:eastAsia="Arial" w:hAnsi="Arial"/>
                <w:sz w:val="14"/>
                <w:szCs w:val="14"/>
                <w:color w:val="auto"/>
              </w:rPr>
              <w:t>Finance at Personnel Decisions International, a consulting company that helps clients build</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organizational and talent strategies and assess and develop leaders. From April 2001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340" w:type="dxa"/>
            <w:vAlign w:val="bottom"/>
          </w:tcPr>
          <w:p>
            <w:pPr>
              <w:ind w:left="320"/>
              <w:spacing w:after="0"/>
              <w:rPr>
                <w:sz w:val="20"/>
                <w:szCs w:val="20"/>
                <w:color w:val="auto"/>
              </w:rPr>
            </w:pPr>
            <w:r>
              <w:rPr>
                <w:rFonts w:ascii="Arial" w:cs="Arial" w:eastAsia="Arial" w:hAnsi="Arial"/>
                <w:sz w:val="14"/>
                <w:szCs w:val="14"/>
                <w:color w:val="auto"/>
              </w:rPr>
              <w:t>December 2003, he served as Executive Vice President, Chief Financial Officer at Personnel</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Decisions International.</w:t>
            </w:r>
          </w:p>
        </w:tc>
        <w:tc>
          <w:tcPr>
            <w:tcW w:w="1020" w:type="dxa"/>
            <w:vAlign w:val="bottom"/>
          </w:tcPr>
          <w:p>
            <w:pPr>
              <w:spacing w:after="0"/>
              <w:rPr>
                <w:sz w:val="16"/>
                <w:szCs w:val="16"/>
                <w:color w:val="auto"/>
              </w:rPr>
            </w:pPr>
          </w:p>
        </w:tc>
      </w:tr>
      <w:tr>
        <w:trPr>
          <w:trHeight w:val="184"/>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Darren L. Redetzke</w:t>
            </w:r>
          </w:p>
        </w:tc>
        <w:tc>
          <w:tcPr>
            <w:tcW w:w="6340" w:type="dxa"/>
            <w:vAlign w:val="bottom"/>
          </w:tcPr>
          <w:p>
            <w:pPr>
              <w:ind w:left="320"/>
              <w:spacing w:after="0"/>
              <w:rPr>
                <w:sz w:val="20"/>
                <w:szCs w:val="20"/>
                <w:color w:val="auto"/>
              </w:rPr>
            </w:pPr>
            <w:r>
              <w:rPr>
                <w:rFonts w:ascii="Arial" w:cs="Arial" w:eastAsia="Arial" w:hAnsi="Arial"/>
                <w:sz w:val="14"/>
                <w:szCs w:val="14"/>
                <w:color w:val="auto"/>
              </w:rPr>
              <w:t>Managing Director, International Business since November 2006. From November 2004 to</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42, Managing Director,</w:t>
            </w:r>
          </w:p>
        </w:tc>
        <w:tc>
          <w:tcPr>
            <w:tcW w:w="6340" w:type="dxa"/>
            <w:vAlign w:val="bottom"/>
          </w:tcPr>
          <w:p>
            <w:pPr>
              <w:ind w:left="320"/>
              <w:spacing w:after="0"/>
              <w:rPr>
                <w:sz w:val="20"/>
                <w:szCs w:val="20"/>
                <w:color w:val="auto"/>
              </w:rPr>
            </w:pPr>
            <w:r>
              <w:rPr>
                <w:rFonts w:ascii="Arial" w:cs="Arial" w:eastAsia="Arial" w:hAnsi="Arial"/>
                <w:sz w:val="14"/>
                <w:szCs w:val="14"/>
                <w:color w:val="auto"/>
              </w:rPr>
              <w:t>October 2006, he served as Director of Marketing – Golf for the Commercial Business. From</w:t>
            </w:r>
          </w:p>
        </w:tc>
        <w:tc>
          <w:tcPr>
            <w:tcW w:w="10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International Business</w:t>
            </w:r>
          </w:p>
        </w:tc>
        <w:tc>
          <w:tcPr>
            <w:tcW w:w="6340" w:type="dxa"/>
            <w:vAlign w:val="bottom"/>
          </w:tcPr>
          <w:p>
            <w:pPr>
              <w:ind w:left="320"/>
              <w:spacing w:after="0"/>
              <w:rPr>
                <w:sz w:val="20"/>
                <w:szCs w:val="20"/>
                <w:color w:val="auto"/>
              </w:rPr>
            </w:pPr>
            <w:r>
              <w:rPr>
                <w:rFonts w:ascii="Arial" w:cs="Arial" w:eastAsia="Arial" w:hAnsi="Arial"/>
                <w:sz w:val="14"/>
                <w:szCs w:val="14"/>
                <w:color w:val="auto"/>
              </w:rPr>
              <w:t>December 2001 to October 2004, he served as Director of Marketing – Irrigation and</w:t>
            </w:r>
          </w:p>
        </w:tc>
        <w:tc>
          <w:tcPr>
            <w:tcW w:w="1020" w:type="dxa"/>
            <w:vAlign w:val="bottom"/>
          </w:tcPr>
          <w:p>
            <w:pPr>
              <w:spacing w:after="0"/>
              <w:rPr>
                <w:sz w:val="16"/>
                <w:szCs w:val="16"/>
                <w:color w:val="auto"/>
              </w:rPr>
            </w:pPr>
          </w:p>
        </w:tc>
      </w:tr>
      <w:tr>
        <w:trPr>
          <w:trHeight w:val="188"/>
        </w:trPr>
        <w:tc>
          <w:tcPr>
            <w:tcW w:w="98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Commercial for the International Business.</w:t>
            </w:r>
          </w:p>
        </w:tc>
        <w:tc>
          <w:tcPr>
            <w:tcW w:w="1020" w:type="dxa"/>
            <w:vAlign w:val="bottom"/>
          </w:tcPr>
          <w:p>
            <w:pPr>
              <w:spacing w:after="0"/>
              <w:rPr>
                <w:sz w:val="16"/>
                <w:szCs w:val="16"/>
                <w:color w:val="auto"/>
              </w:rPr>
            </w:pPr>
          </w:p>
        </w:tc>
      </w:tr>
      <w:tr>
        <w:trPr>
          <w:trHeight w:val="547"/>
        </w:trPr>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340" w:type="dxa"/>
            <w:vAlign w:val="bottom"/>
          </w:tcPr>
          <w:p>
            <w:pPr>
              <w:ind w:left="1520"/>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r>
      <w:tr>
        <w:trPr>
          <w:trHeight w:val="375"/>
        </w:trPr>
        <w:tc>
          <w:tcPr>
            <w:tcW w:w="98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63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980" w:type="dxa"/>
        <w:tblCellMar>
          <w:top w:w="0" w:type="dxa"/>
          <w:left w:w="0" w:type="dxa"/>
          <w:bottom w:w="0" w:type="dxa"/>
          <w:right w:w="0" w:type="dxa"/>
        </w:tblCellMar>
      </w:tblPr>
      <w:tr>
        <w:trPr>
          <w:trHeight w:val="204"/>
        </w:trPr>
        <w:tc>
          <w:tcPr>
            <w:tcW w:w="3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Richard W. Rodier</w:t>
            </w:r>
          </w:p>
        </w:tc>
        <w:tc>
          <w:tcPr>
            <w:tcW w:w="62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General Manager, Landscape Contractor Business – Toro since November 2004. From</w:t>
            </w:r>
          </w:p>
        </w:tc>
      </w:tr>
      <w:tr>
        <w:trPr>
          <w:trHeight w:val="189"/>
        </w:trPr>
        <w:tc>
          <w:tcPr>
            <w:tcW w:w="3220" w:type="dxa"/>
            <w:vAlign w:val="bottom"/>
          </w:tcPr>
          <w:p>
            <w:pPr>
              <w:spacing w:after="0"/>
              <w:rPr>
                <w:sz w:val="20"/>
                <w:szCs w:val="20"/>
                <w:color w:val="auto"/>
              </w:rPr>
            </w:pPr>
            <w:r>
              <w:rPr>
                <w:rFonts w:ascii="Arial" w:cs="Arial" w:eastAsia="Arial" w:hAnsi="Arial"/>
                <w:sz w:val="14"/>
                <w:szCs w:val="14"/>
                <w:color w:val="auto"/>
              </w:rPr>
              <w:t>46, General Manager, Landscape Contractor</w:t>
            </w:r>
          </w:p>
        </w:tc>
        <w:tc>
          <w:tcPr>
            <w:tcW w:w="6240" w:type="dxa"/>
            <w:vAlign w:val="bottom"/>
          </w:tcPr>
          <w:p>
            <w:pPr>
              <w:ind w:left="220"/>
              <w:spacing w:after="0"/>
              <w:rPr>
                <w:sz w:val="20"/>
                <w:szCs w:val="20"/>
                <w:color w:val="auto"/>
              </w:rPr>
            </w:pPr>
            <w:r>
              <w:rPr>
                <w:rFonts w:ascii="Arial" w:cs="Arial" w:eastAsia="Arial" w:hAnsi="Arial"/>
                <w:sz w:val="14"/>
                <w:szCs w:val="14"/>
                <w:color w:val="auto"/>
              </w:rPr>
              <w:t>February 2003 to October 2004, he served as Managing Director, Landscape Contractor</w:t>
            </w:r>
          </w:p>
        </w:tc>
      </w:tr>
      <w:tr>
        <w:trPr>
          <w:trHeight w:val="189"/>
        </w:trPr>
        <w:tc>
          <w:tcPr>
            <w:tcW w:w="3220" w:type="dxa"/>
            <w:vAlign w:val="bottom"/>
          </w:tcPr>
          <w:p>
            <w:pPr>
              <w:spacing w:after="0"/>
              <w:rPr>
                <w:sz w:val="20"/>
                <w:szCs w:val="20"/>
                <w:color w:val="auto"/>
              </w:rPr>
            </w:pPr>
            <w:r>
              <w:rPr>
                <w:rFonts w:ascii="Arial" w:cs="Arial" w:eastAsia="Arial" w:hAnsi="Arial"/>
                <w:sz w:val="14"/>
                <w:szCs w:val="14"/>
                <w:color w:val="auto"/>
              </w:rPr>
              <w:t>Business – Toro</w:t>
            </w:r>
          </w:p>
        </w:tc>
        <w:tc>
          <w:tcPr>
            <w:tcW w:w="6240" w:type="dxa"/>
            <w:vAlign w:val="bottom"/>
          </w:tcPr>
          <w:p>
            <w:pPr>
              <w:ind w:left="220"/>
              <w:spacing w:after="0"/>
              <w:rPr>
                <w:sz w:val="20"/>
                <w:szCs w:val="20"/>
                <w:color w:val="auto"/>
              </w:rPr>
            </w:pPr>
            <w:r>
              <w:rPr>
                <w:rFonts w:ascii="Arial" w:cs="Arial" w:eastAsia="Arial" w:hAnsi="Arial"/>
                <w:sz w:val="14"/>
                <w:szCs w:val="14"/>
                <w:color w:val="auto"/>
              </w:rPr>
              <w:t>Business – Toro. From November 1999 to January 2003, he served as Director of Grounds</w:t>
            </w:r>
          </w:p>
        </w:tc>
      </w:tr>
      <w:tr>
        <w:trPr>
          <w:trHeight w:val="188"/>
        </w:trPr>
        <w:tc>
          <w:tcPr>
            <w:tcW w:w="322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Marketing for the Commercial Business.</w:t>
            </w:r>
          </w:p>
        </w:tc>
      </w:tr>
      <w:tr>
        <w:trPr>
          <w:trHeight w:val="184"/>
        </w:trPr>
        <w:tc>
          <w:tcPr>
            <w:tcW w:w="3220" w:type="dxa"/>
            <w:vAlign w:val="bottom"/>
          </w:tcPr>
          <w:p>
            <w:pPr>
              <w:spacing w:after="0"/>
              <w:rPr>
                <w:sz w:val="20"/>
                <w:szCs w:val="20"/>
                <w:color w:val="auto"/>
              </w:rPr>
            </w:pPr>
            <w:r>
              <w:rPr>
                <w:rFonts w:ascii="Arial" w:cs="Arial" w:eastAsia="Arial" w:hAnsi="Arial"/>
                <w:sz w:val="14"/>
                <w:szCs w:val="14"/>
                <w:b w:val="1"/>
                <w:bCs w:val="1"/>
                <w:color w:val="auto"/>
              </w:rPr>
              <w:t>Mark B. Stinson</w:t>
            </w:r>
          </w:p>
        </w:tc>
        <w:tc>
          <w:tcPr>
            <w:tcW w:w="6240" w:type="dxa"/>
            <w:vAlign w:val="bottom"/>
          </w:tcPr>
          <w:p>
            <w:pPr>
              <w:ind w:left="220"/>
              <w:spacing w:after="0"/>
              <w:rPr>
                <w:sz w:val="20"/>
                <w:szCs w:val="20"/>
                <w:color w:val="auto"/>
              </w:rPr>
            </w:pPr>
            <w:r>
              <w:rPr>
                <w:rFonts w:ascii="Arial" w:cs="Arial" w:eastAsia="Arial" w:hAnsi="Arial"/>
                <w:sz w:val="14"/>
                <w:szCs w:val="14"/>
                <w:color w:val="auto"/>
              </w:rPr>
              <w:t>General Manager, Landscape Contractor Business – Exmark since November 2004. From</w:t>
            </w:r>
          </w:p>
        </w:tc>
      </w:tr>
      <w:tr>
        <w:trPr>
          <w:trHeight w:val="189"/>
        </w:trPr>
        <w:tc>
          <w:tcPr>
            <w:tcW w:w="3220" w:type="dxa"/>
            <w:vAlign w:val="bottom"/>
          </w:tcPr>
          <w:p>
            <w:pPr>
              <w:spacing w:after="0"/>
              <w:rPr>
                <w:sz w:val="20"/>
                <w:szCs w:val="20"/>
                <w:color w:val="auto"/>
              </w:rPr>
            </w:pPr>
            <w:r>
              <w:rPr>
                <w:rFonts w:ascii="Arial" w:cs="Arial" w:eastAsia="Arial" w:hAnsi="Arial"/>
                <w:sz w:val="14"/>
                <w:szCs w:val="14"/>
                <w:color w:val="auto"/>
              </w:rPr>
              <w:t>41, General Manager, Landscape Contractor</w:t>
            </w:r>
          </w:p>
        </w:tc>
        <w:tc>
          <w:tcPr>
            <w:tcW w:w="6240" w:type="dxa"/>
            <w:vAlign w:val="bottom"/>
          </w:tcPr>
          <w:p>
            <w:pPr>
              <w:ind w:left="220"/>
              <w:spacing w:after="0"/>
              <w:rPr>
                <w:sz w:val="20"/>
                <w:szCs w:val="20"/>
                <w:color w:val="auto"/>
              </w:rPr>
            </w:pPr>
            <w:r>
              <w:rPr>
                <w:rFonts w:ascii="Arial" w:cs="Arial" w:eastAsia="Arial" w:hAnsi="Arial"/>
                <w:sz w:val="14"/>
                <w:szCs w:val="14"/>
                <w:color w:val="auto"/>
              </w:rPr>
              <w:t>February 2003 to October 2004, he served as Managing Director, Landscape Contractor</w:t>
            </w:r>
          </w:p>
        </w:tc>
      </w:tr>
      <w:tr>
        <w:trPr>
          <w:trHeight w:val="189"/>
        </w:trPr>
        <w:tc>
          <w:tcPr>
            <w:tcW w:w="3220" w:type="dxa"/>
            <w:vAlign w:val="bottom"/>
          </w:tcPr>
          <w:p>
            <w:pPr>
              <w:spacing w:after="0"/>
              <w:rPr>
                <w:sz w:val="20"/>
                <w:szCs w:val="20"/>
                <w:color w:val="auto"/>
              </w:rPr>
            </w:pPr>
            <w:r>
              <w:rPr>
                <w:rFonts w:ascii="Arial" w:cs="Arial" w:eastAsia="Arial" w:hAnsi="Arial"/>
                <w:sz w:val="14"/>
                <w:szCs w:val="14"/>
                <w:color w:val="auto"/>
              </w:rPr>
              <w:t>Business – Exmark</w:t>
            </w:r>
          </w:p>
        </w:tc>
        <w:tc>
          <w:tcPr>
            <w:tcW w:w="6240" w:type="dxa"/>
            <w:vAlign w:val="bottom"/>
          </w:tcPr>
          <w:p>
            <w:pPr>
              <w:ind w:left="220"/>
              <w:spacing w:after="0"/>
              <w:rPr>
                <w:sz w:val="20"/>
                <w:szCs w:val="20"/>
                <w:color w:val="auto"/>
              </w:rPr>
            </w:pPr>
            <w:r>
              <w:rPr>
                <w:rFonts w:ascii="Arial" w:cs="Arial" w:eastAsia="Arial" w:hAnsi="Arial"/>
                <w:sz w:val="14"/>
                <w:szCs w:val="14"/>
                <w:color w:val="auto"/>
              </w:rPr>
              <w:t>Business – Exmark. From July 1996 to January 2003, he served as Controller of Exmark</w:t>
            </w:r>
          </w:p>
        </w:tc>
      </w:tr>
      <w:tr>
        <w:trPr>
          <w:trHeight w:val="188"/>
        </w:trPr>
        <w:tc>
          <w:tcPr>
            <w:tcW w:w="322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Manufacturing.</w:t>
            </w:r>
          </w:p>
        </w:tc>
      </w:tr>
      <w:tr>
        <w:trPr>
          <w:trHeight w:val="184"/>
        </w:trPr>
        <w:tc>
          <w:tcPr>
            <w:tcW w:w="3220" w:type="dxa"/>
            <w:vAlign w:val="bottom"/>
          </w:tcPr>
          <w:p>
            <w:pPr>
              <w:spacing w:after="0"/>
              <w:rPr>
                <w:sz w:val="20"/>
                <w:szCs w:val="20"/>
                <w:color w:val="auto"/>
              </w:rPr>
            </w:pPr>
            <w:r>
              <w:rPr>
                <w:rFonts w:ascii="Arial" w:cs="Arial" w:eastAsia="Arial" w:hAnsi="Arial"/>
                <w:sz w:val="14"/>
                <w:szCs w:val="14"/>
                <w:b w:val="1"/>
                <w:bCs w:val="1"/>
                <w:color w:val="auto"/>
              </w:rPr>
              <w:t>Stephen P. Wolfe</w:t>
            </w:r>
          </w:p>
        </w:tc>
        <w:tc>
          <w:tcPr>
            <w:tcW w:w="6240" w:type="dxa"/>
            <w:vAlign w:val="bottom"/>
          </w:tcPr>
          <w:p>
            <w:pPr>
              <w:ind w:left="220"/>
              <w:spacing w:after="0"/>
              <w:rPr>
                <w:sz w:val="20"/>
                <w:szCs w:val="20"/>
                <w:color w:val="auto"/>
              </w:rPr>
            </w:pPr>
            <w:r>
              <w:rPr>
                <w:rFonts w:ascii="Arial" w:cs="Arial" w:eastAsia="Arial" w:hAnsi="Arial"/>
                <w:sz w:val="14"/>
                <w:szCs w:val="14"/>
                <w:color w:val="auto"/>
              </w:rPr>
              <w:t>Vice President Finance and Chief Financial Officer since February 2006. From June 1997 to</w:t>
            </w:r>
          </w:p>
        </w:tc>
      </w:tr>
      <w:tr>
        <w:trPr>
          <w:trHeight w:val="189"/>
        </w:trPr>
        <w:tc>
          <w:tcPr>
            <w:tcW w:w="3220" w:type="dxa"/>
            <w:vAlign w:val="bottom"/>
          </w:tcPr>
          <w:p>
            <w:pPr>
              <w:spacing w:after="0"/>
              <w:rPr>
                <w:sz w:val="20"/>
                <w:szCs w:val="20"/>
                <w:color w:val="auto"/>
              </w:rPr>
            </w:pPr>
            <w:r>
              <w:rPr>
                <w:rFonts w:ascii="Arial" w:cs="Arial" w:eastAsia="Arial" w:hAnsi="Arial"/>
                <w:sz w:val="14"/>
                <w:szCs w:val="14"/>
                <w:color w:val="auto"/>
              </w:rPr>
              <w:t>58, Vice President Finance and Chief Financial</w:t>
            </w:r>
          </w:p>
        </w:tc>
        <w:tc>
          <w:tcPr>
            <w:tcW w:w="6240" w:type="dxa"/>
            <w:vAlign w:val="bottom"/>
          </w:tcPr>
          <w:p>
            <w:pPr>
              <w:ind w:left="220"/>
              <w:spacing w:after="0"/>
              <w:rPr>
                <w:sz w:val="20"/>
                <w:szCs w:val="20"/>
                <w:color w:val="auto"/>
              </w:rPr>
            </w:pPr>
            <w:r>
              <w:rPr>
                <w:rFonts w:ascii="Arial" w:cs="Arial" w:eastAsia="Arial" w:hAnsi="Arial"/>
                <w:sz w:val="14"/>
                <w:szCs w:val="14"/>
                <w:color w:val="auto"/>
              </w:rPr>
              <w:t>January 2006, he served as Vice President Finance, Treasurer and Chief Financial Officer.</w:t>
            </w:r>
          </w:p>
        </w:tc>
      </w:tr>
      <w:tr>
        <w:trPr>
          <w:trHeight w:val="195"/>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Officer</w:t>
            </w:r>
          </w:p>
        </w:tc>
        <w:tc>
          <w:tcPr>
            <w:tcW w:w="6240" w:type="dxa"/>
            <w:vAlign w:val="bottom"/>
            <w:tcBorders>
              <w:bottom w:val="single" w:sz="8" w:color="auto"/>
            </w:tcBorders>
          </w:tcPr>
          <w:p>
            <w:pPr>
              <w:spacing w:after="0"/>
              <w:rPr>
                <w:sz w:val="16"/>
                <w:szCs w:val="16"/>
                <w:color w:val="auto"/>
              </w:rPr>
            </w:pPr>
          </w:p>
        </w:tc>
      </w:tr>
    </w:tbl>
    <w:p>
      <w:pPr>
        <w:spacing w:after="0" w:line="1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4673B6"/>
        </w:rPr>
        <w:t>PART II</w:t>
      </w:r>
    </w:p>
    <w:p>
      <w:pPr>
        <w:spacing w:after="0" w:line="200" w:lineRule="exact"/>
        <w:rPr>
          <w:sz w:val="20"/>
          <w:szCs w:val="20"/>
          <w:color w:val="auto"/>
        </w:rPr>
      </w:pPr>
    </w:p>
    <w:p>
      <w:pPr>
        <w:spacing w:after="0" w:line="294" w:lineRule="exact"/>
        <w:rPr>
          <w:sz w:val="20"/>
          <w:szCs w:val="20"/>
          <w:color w:val="auto"/>
        </w:rPr>
      </w:pPr>
    </w:p>
    <w:p>
      <w:pPr>
        <w:ind w:left="800" w:right="100" w:hanging="791"/>
        <w:spacing w:after="0" w:line="299" w:lineRule="auto"/>
        <w:rPr>
          <w:sz w:val="20"/>
          <w:szCs w:val="20"/>
          <w:color w:val="auto"/>
        </w:rPr>
      </w:pPr>
      <w:r>
        <w:rPr>
          <w:rFonts w:ascii="Arial" w:cs="Arial" w:eastAsia="Arial" w:hAnsi="Arial"/>
          <w:sz w:val="22"/>
          <w:szCs w:val="22"/>
          <w:b w:val="1"/>
          <w:bCs w:val="1"/>
          <w:color w:val="4673B6"/>
        </w:rPr>
        <w:t>ITEM 5. MARKET FOR REGISTRANT’S COMMON EQUITY, RELATED STOCKHOLDER MATTERS, AND ISSUER PURCHASES OF EQUITY SECURITIES</w:t>
      </w:r>
    </w:p>
    <w:p>
      <w:pPr>
        <w:spacing w:after="0" w:line="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Toro common stock is listed for trading on the New York Stock Exchange and trades under the symbol “TTC.” The high, low, and last sales prices for Toro common stock and cash dividends paid for each of the quarterly periods for fiscal 2006 and 2005 were as follows:</w:t>
      </w:r>
    </w:p>
    <w:p>
      <w:pPr>
        <w:spacing w:after="0" w:line="111"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Fiscal year ended</w:t>
            </w:r>
          </w:p>
        </w:tc>
        <w:tc>
          <w:tcPr>
            <w:tcW w:w="8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4"/>
                <w:szCs w:val="14"/>
                <w:b w:val="1"/>
                <w:bCs w:val="1"/>
                <w:color w:val="auto"/>
              </w:rPr>
              <w:t>October 31, 2006</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First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Second</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Third</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Market price per share</w:t>
            </w:r>
          </w:p>
        </w:tc>
        <w:tc>
          <w:tcPr>
            <w:tcW w:w="8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of common stock –</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ind w:left="280"/>
              <w:spacing w:after="0"/>
              <w:rPr>
                <w:sz w:val="20"/>
                <w:szCs w:val="20"/>
                <w:color w:val="auto"/>
              </w:rPr>
            </w:pPr>
            <w:r>
              <w:rPr>
                <w:rFonts w:ascii="Arial" w:cs="Arial" w:eastAsia="Arial" w:hAnsi="Arial"/>
                <w:sz w:val="14"/>
                <w:szCs w:val="14"/>
                <w:b w:val="1"/>
                <w:bCs w:val="1"/>
                <w:color w:val="auto"/>
              </w:rPr>
              <w:t>High sales price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$ 46.78</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$ 52.52</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$ 50.71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$ 45.00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Low sales price</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36.30</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43.00</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40.50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37.77</w:t>
            </w: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ind w:left="280"/>
              <w:spacing w:after="0"/>
              <w:rPr>
                <w:sz w:val="20"/>
                <w:szCs w:val="20"/>
                <w:color w:val="auto"/>
              </w:rPr>
            </w:pPr>
            <w:r>
              <w:rPr>
                <w:rFonts w:ascii="Arial" w:cs="Arial" w:eastAsia="Arial" w:hAnsi="Arial"/>
                <w:sz w:val="14"/>
                <w:szCs w:val="14"/>
                <w:b w:val="1"/>
                <w:bCs w:val="1"/>
                <w:color w:val="auto"/>
              </w:rPr>
              <w:t>Last sales price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43.19</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50.06</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42.30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43.16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dividends per</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share of common</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7"/>
                <w:szCs w:val="17"/>
                <w:b w:val="1"/>
                <w:bCs w:val="1"/>
                <w:color w:val="auto"/>
                <w:vertAlign w:val="superscript"/>
              </w:rPr>
              <w:t>2</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0.09</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0.09</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0.09</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84"/>
        </w:trPr>
        <w:tc>
          <w:tcPr>
            <w:tcW w:w="16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1640" w:type="dxa"/>
            <w:vAlign w:val="bottom"/>
            <w:gridSpan w:val="2"/>
          </w:tcPr>
          <w:p>
            <w:pPr>
              <w:spacing w:after="0"/>
              <w:rPr>
                <w:sz w:val="20"/>
                <w:szCs w:val="20"/>
                <w:color w:val="auto"/>
              </w:rPr>
            </w:pPr>
            <w:r>
              <w:rPr>
                <w:rFonts w:ascii="Arial" w:cs="Arial" w:eastAsia="Arial" w:hAnsi="Arial"/>
                <w:sz w:val="14"/>
                <w:szCs w:val="14"/>
                <w:color w:val="auto"/>
              </w:rPr>
              <w:t>October 31, 2005</w:t>
            </w:r>
            <w:r>
              <w:rPr>
                <w:rFonts w:ascii="Arial" w:cs="Arial" w:eastAsia="Arial" w:hAnsi="Arial"/>
                <w:sz w:val="17"/>
                <w:szCs w:val="17"/>
                <w:color w:val="auto"/>
                <w:vertAlign w:val="superscript"/>
              </w:rPr>
              <w:t>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Second</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Third</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Fourth</w:t>
            </w:r>
          </w:p>
        </w:tc>
        <w:tc>
          <w:tcPr>
            <w:tcW w:w="2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8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common stock –</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tcPr>
          <w:p>
            <w:pPr>
              <w:ind w:left="280"/>
              <w:spacing w:after="0"/>
              <w:rPr>
                <w:sz w:val="20"/>
                <w:szCs w:val="20"/>
                <w:color w:val="auto"/>
              </w:rPr>
            </w:pPr>
            <w:r>
              <w:rPr>
                <w:rFonts w:ascii="Arial" w:cs="Arial" w:eastAsia="Arial" w:hAnsi="Arial"/>
                <w:sz w:val="14"/>
                <w:szCs w:val="14"/>
                <w:color w:val="auto"/>
              </w:rPr>
              <w:t>High sales price</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$ 41.425</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$ 45.93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$ 49.02</w:t>
            </w:r>
          </w:p>
        </w:tc>
        <w:tc>
          <w:tcPr>
            <w:tcW w:w="640" w:type="dxa"/>
            <w:vAlign w:val="bottom"/>
          </w:tcPr>
          <w:p>
            <w:pPr>
              <w:jc w:val="right"/>
              <w:spacing w:after="0"/>
              <w:rPr>
                <w:sz w:val="20"/>
                <w:szCs w:val="20"/>
                <w:color w:val="auto"/>
              </w:rPr>
            </w:pPr>
            <w:r>
              <w:rPr>
                <w:rFonts w:ascii="Arial" w:cs="Arial" w:eastAsia="Arial" w:hAnsi="Arial"/>
                <w:sz w:val="14"/>
                <w:szCs w:val="14"/>
                <w:color w:val="auto"/>
              </w:rPr>
              <w:t>$ 42.69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Low sales price</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33.900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620" w:type="dxa"/>
            <w:vAlign w:val="bottom"/>
          </w:tcPr>
          <w:p>
            <w:pPr>
              <w:ind w:left="280"/>
              <w:spacing w:after="0"/>
              <w:rPr>
                <w:sz w:val="20"/>
                <w:szCs w:val="20"/>
                <w:color w:val="auto"/>
              </w:rPr>
            </w:pPr>
            <w:r>
              <w:rPr>
                <w:rFonts w:ascii="Arial" w:cs="Arial" w:eastAsia="Arial" w:hAnsi="Arial"/>
                <w:sz w:val="14"/>
                <w:szCs w:val="14"/>
                <w:color w:val="auto"/>
              </w:rPr>
              <w:t>Last sales price</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40.175</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41.32</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40.24</w:t>
            </w:r>
          </w:p>
        </w:tc>
        <w:tc>
          <w:tcPr>
            <w:tcW w:w="640" w:type="dxa"/>
            <w:vAlign w:val="bottom"/>
          </w:tcPr>
          <w:p>
            <w:pPr>
              <w:jc w:val="right"/>
              <w:spacing w:after="0"/>
              <w:rPr>
                <w:sz w:val="20"/>
                <w:szCs w:val="20"/>
                <w:color w:val="auto"/>
              </w:rPr>
            </w:pPr>
            <w:r>
              <w:rPr>
                <w:rFonts w:ascii="Arial" w:cs="Arial" w:eastAsia="Arial" w:hAnsi="Arial"/>
                <w:sz w:val="14"/>
                <w:szCs w:val="14"/>
                <w:color w:val="auto"/>
              </w:rPr>
              <w:t>36.51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912" w:orient="portrait"/>
          <w:cols w:equalWidth="0" w:num="1">
            <w:col w:w="11460"/>
          </w:cols>
          <w:pgMar w:left="240" w:top="133" w:right="199" w:bottom="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2318385</wp:posOffset>
            </wp:positionH>
            <wp:positionV relativeFrom="page">
              <wp:posOffset>97790</wp:posOffset>
            </wp:positionV>
            <wp:extent cx="293306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33065" cy="377190"/>
                    </a:xfrm>
                    <a:prstGeom prst="rect">
                      <a:avLst/>
                    </a:prstGeom>
                    <a:noFill/>
                  </pic:spPr>
                </pic:pic>
              </a:graphicData>
            </a:graphic>
          </wp:anchor>
        </w:drawing>
      </w:r>
    </w:p>
    <w:tbl>
      <w:tblPr>
        <w:tblLayout w:type="fixed"/>
        <w:tblInd w:w="3400" w:type="dxa"/>
        <w:tblCellMar>
          <w:top w:w="0" w:type="dxa"/>
          <w:left w:w="0" w:type="dxa"/>
          <w:bottom w:w="0" w:type="dxa"/>
          <w:right w:w="0" w:type="dxa"/>
        </w:tblCellMar>
      </w:tblPr>
      <w:tr>
        <w:trPr>
          <w:trHeight w:val="172"/>
        </w:trPr>
        <w:tc>
          <w:tcPr>
            <w:tcW w:w="1660" w:type="dxa"/>
            <w:vAlign w:val="bottom"/>
          </w:tcPr>
          <w:p>
            <w:pPr>
              <w:spacing w:after="0"/>
              <w:rPr>
                <w:sz w:val="20"/>
                <w:szCs w:val="20"/>
                <w:color w:val="auto"/>
              </w:rPr>
            </w:pPr>
            <w:r>
              <w:rPr>
                <w:rFonts w:ascii="Arial" w:cs="Arial" w:eastAsia="Arial" w:hAnsi="Arial"/>
                <w:sz w:val="14"/>
                <w:szCs w:val="14"/>
                <w:color w:val="auto"/>
              </w:rPr>
              <w:t>Cash dividends per</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9"/>
        </w:trPr>
        <w:tc>
          <w:tcPr>
            <w:tcW w:w="1660" w:type="dxa"/>
            <w:vAlign w:val="bottom"/>
          </w:tcPr>
          <w:p>
            <w:pPr>
              <w:ind w:left="180"/>
              <w:spacing w:after="0"/>
              <w:rPr>
                <w:sz w:val="20"/>
                <w:szCs w:val="20"/>
                <w:color w:val="auto"/>
              </w:rPr>
            </w:pPr>
            <w:r>
              <w:rPr>
                <w:rFonts w:ascii="Arial" w:cs="Arial" w:eastAsia="Arial" w:hAnsi="Arial"/>
                <w:sz w:val="14"/>
                <w:szCs w:val="14"/>
                <w:color w:val="auto"/>
              </w:rPr>
              <w:t>share of common</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1"/>
        </w:trPr>
        <w:tc>
          <w:tcPr>
            <w:tcW w:w="1660" w:type="dxa"/>
            <w:vAlign w:val="bottom"/>
          </w:tcPr>
          <w:p>
            <w:pPr>
              <w:ind w:left="180"/>
              <w:spacing w:after="0"/>
              <w:rPr>
                <w:sz w:val="20"/>
                <w:szCs w:val="20"/>
                <w:color w:val="auto"/>
              </w:rPr>
            </w:pPr>
            <w:r>
              <w:rPr>
                <w:rFonts w:ascii="Arial" w:cs="Arial" w:eastAsia="Arial" w:hAnsi="Arial"/>
                <w:sz w:val="14"/>
                <w:szCs w:val="14"/>
                <w:color w:val="auto"/>
              </w:rPr>
              <w:t>stock</w:t>
            </w:r>
            <w:r>
              <w:rPr>
                <w:rFonts w:ascii="Arial" w:cs="Arial" w:eastAsia="Arial" w:hAnsi="Arial"/>
                <w:sz w:val="17"/>
                <w:szCs w:val="17"/>
                <w:color w:val="auto"/>
                <w:vertAlign w:val="superscript"/>
              </w:rPr>
              <w:t>2</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0.06</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0.06</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0.06</w:t>
            </w: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-16510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 share data and sales prices have been adjusted for all periods presented to reflect a two-for-one stock split effective March 28, 2005.</w:t>
      </w:r>
    </w:p>
    <w:p>
      <w:pPr>
        <w:spacing w:after="0" w:line="57" w:lineRule="exact"/>
        <w:rPr>
          <w:sz w:val="20"/>
          <w:szCs w:val="20"/>
          <w:color w:val="auto"/>
        </w:rPr>
      </w:pPr>
    </w:p>
    <w:p>
      <w:pPr>
        <w:ind w:left="100" w:right="540" w:hanging="92"/>
        <w:spacing w:after="0" w:line="290" w:lineRule="auto"/>
        <w:tabs>
          <w:tab w:leader="none" w:pos="1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Future cash dividends will depend upon the company’s financial condition, capital requirements, results of operations, and other factors deemed relevant by the Board of Directors.</w:t>
      </w:r>
    </w:p>
    <w:p>
      <w:pPr>
        <w:spacing w:after="0" w:line="54"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color w:val="4673B6"/>
        </w:rPr>
        <w:t xml:space="preserve">Common Stock – </w:t>
      </w:r>
      <w:r>
        <w:rPr>
          <w:rFonts w:ascii="Arial" w:cs="Arial" w:eastAsia="Arial" w:hAnsi="Arial"/>
          <w:sz w:val="18"/>
          <w:szCs w:val="18"/>
          <w:color w:val="000000"/>
        </w:rPr>
        <w:t>100,000,000 shares authorized, $1.00 par value, 40,355,714 and 41,898,463 shares outstanding as of October 31, 2006</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2005, respectively.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Preferred Stock – </w:t>
      </w:r>
      <w:r>
        <w:rPr>
          <w:rFonts w:ascii="Arial" w:cs="Arial" w:eastAsia="Arial" w:hAnsi="Arial"/>
          <w:sz w:val="18"/>
          <w:szCs w:val="18"/>
          <w:color w:val="000000"/>
        </w:rPr>
        <w:t>1,000,000 voting shares authorized and 850,000 non-voting shares authorized, $1.00 par value, no shares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Stockholders – </w:t>
      </w:r>
      <w:r>
        <w:rPr>
          <w:rFonts w:ascii="Arial" w:cs="Arial" w:eastAsia="Arial" w:hAnsi="Arial"/>
          <w:sz w:val="18"/>
          <w:szCs w:val="18"/>
          <w:color w:val="000000"/>
        </w:rPr>
        <w:t>As of December 15, 2006, Toro had approximately 4,460 stockholders of record.</w:t>
      </w:r>
    </w:p>
    <w:p>
      <w:pPr>
        <w:spacing w:after="0" w:line="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information with respect to shares of common stock of the company purchased by the company during each of the three fiscal months in the period ended October 31, 2006.</w:t>
      </w:r>
    </w:p>
    <w:p>
      <w:pPr>
        <w:spacing w:after="0" w:line="70" w:lineRule="exact"/>
        <w:rPr>
          <w:sz w:val="20"/>
          <w:szCs w:val="20"/>
          <w:color w:val="auto"/>
        </w:rPr>
      </w:pPr>
    </w:p>
    <w:tbl>
      <w:tblPr>
        <w:tblLayout w:type="fixed"/>
        <w:tblInd w:w="33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Total</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Number of</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Purchased</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Shares that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as Part of</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Average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Publicly</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Number of</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Price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Announced</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Paid Per</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Plans or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1</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Share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Programs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Programs</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August 5, 2006</w:t>
            </w:r>
          </w:p>
        </w:tc>
        <w:tc>
          <w:tcPr>
            <w:tcW w:w="9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through</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September 1,</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2006</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$ 40.81</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420,000</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2,242,091</w:t>
            </w:r>
          </w:p>
        </w:tc>
        <w:tc>
          <w:tcPr>
            <w:tcW w:w="0" w:type="dxa"/>
            <w:vAlign w:val="bottom"/>
          </w:tcPr>
          <w:p>
            <w:pPr>
              <w:spacing w:after="0"/>
              <w:rPr>
                <w:sz w:val="1"/>
                <w:szCs w:val="1"/>
                <w:color w:val="auto"/>
              </w:rPr>
            </w:pPr>
          </w:p>
        </w:tc>
      </w:tr>
      <w:tr>
        <w:trPr>
          <w:trHeight w:val="191"/>
        </w:trPr>
        <w:tc>
          <w:tcPr>
            <w:tcW w:w="1240" w:type="dxa"/>
            <w:vAlign w:val="bottom"/>
            <w:gridSpan w:val="2"/>
          </w:tcPr>
          <w:p>
            <w:pPr>
              <w:spacing w:after="0"/>
              <w:rPr>
                <w:sz w:val="20"/>
                <w:szCs w:val="20"/>
                <w:color w:val="auto"/>
              </w:rPr>
            </w:pPr>
            <w:r>
              <w:rPr>
                <w:rFonts w:ascii="Arial" w:cs="Arial" w:eastAsia="Arial" w:hAnsi="Arial"/>
                <w:sz w:val="14"/>
                <w:szCs w:val="14"/>
                <w:color w:val="auto"/>
              </w:rPr>
              <w:t>September 2,</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Arial" w:cs="Arial" w:eastAsia="Arial" w:hAnsi="Arial"/>
                <w:sz w:val="14"/>
                <w:szCs w:val="14"/>
                <w:color w:val="auto"/>
              </w:rPr>
              <w:t>2006 through</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Arial" w:cs="Arial" w:eastAsia="Arial" w:hAnsi="Arial"/>
                <w:sz w:val="14"/>
                <w:szCs w:val="14"/>
                <w:color w:val="auto"/>
              </w:rPr>
              <w:t>September 29,</w:t>
            </w: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40" w:type="dxa"/>
            <w:vAlign w:val="bottom"/>
            <w:gridSpan w:val="2"/>
          </w:tcPr>
          <w:p>
            <w:pPr>
              <w:ind w:left="180"/>
              <w:spacing w:after="0"/>
              <w:rPr>
                <w:sz w:val="20"/>
                <w:szCs w:val="20"/>
                <w:color w:val="auto"/>
              </w:rPr>
            </w:pPr>
            <w:r>
              <w:rPr>
                <w:rFonts w:ascii="Arial" w:cs="Arial" w:eastAsia="Arial" w:hAnsi="Arial"/>
                <w:sz w:val="14"/>
                <w:szCs w:val="14"/>
                <w:color w:val="auto"/>
              </w:rPr>
              <w:t>2006</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486,662</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40.98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486,662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1,755,429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September 30,</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2006 through</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31,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280,270</w:t>
            </w:r>
            <w:r>
              <w:rPr>
                <w:rFonts w:ascii="Arial" w:cs="Arial" w:eastAsia="Arial" w:hAnsi="Arial"/>
                <w:sz w:val="17"/>
                <w:szCs w:val="17"/>
                <w:color w:val="auto"/>
                <w:vertAlign w:val="superscript"/>
              </w:rPr>
              <w:t>2</w:t>
            </w: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2006</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43.36</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278,525</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1,476,904</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1,186,932</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$ 41.48</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1,185,187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 w:right="160" w:hanging="92"/>
        <w:spacing w:after="0" w:line="273" w:lineRule="auto"/>
        <w:tabs>
          <w:tab w:leader="none" w:pos="1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On July 18, 2006, the company’s Board of Directors authorized the repurchase of 3,000,000 shares of the company’s common stock in open-market or in privately negotiated transactions. This program has no expiration date but may be terminated by the company’s Board of Directors at any time. The company purchased an aggregate of 1,185,187</w:t>
      </w:r>
    </w:p>
    <w:p>
      <w:pPr>
        <w:ind w:left="100"/>
        <w:spacing w:after="0"/>
        <w:rPr>
          <w:sz w:val="20"/>
          <w:szCs w:val="20"/>
          <w:color w:val="auto"/>
        </w:rPr>
      </w:pPr>
      <w:r>
        <w:rPr>
          <w:rFonts w:ascii="Arial" w:cs="Arial" w:eastAsia="Arial" w:hAnsi="Arial"/>
          <w:sz w:val="14"/>
          <w:szCs w:val="14"/>
          <w:color w:val="auto"/>
        </w:rPr>
        <w:t>shares during the periods indicated above under this program.</w:t>
      </w:r>
    </w:p>
    <w:p>
      <w:pPr>
        <w:spacing w:after="0" w:line="28" w:lineRule="exact"/>
        <w:rPr>
          <w:sz w:val="20"/>
          <w:szCs w:val="20"/>
          <w:color w:val="auto"/>
        </w:rPr>
      </w:pPr>
    </w:p>
    <w:p>
      <w:pPr>
        <w:ind w:left="100" w:hanging="92"/>
        <w:spacing w:after="0" w:line="280" w:lineRule="auto"/>
        <w:tabs>
          <w:tab w:leader="none" w:pos="1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1,745 units (shares) of the company’s common stock purchased in open-market transactions at an average price of $44.31 per share on behalf of a rabbi trust formed to pay benefit obligations of the company to participants in deferred compensation plans. These 1,745 shares were not repurchased under the company’s repurchase program, as described in footnote 1 above.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6. SELECTED FINANCIAL DATA</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04"/>
        </w:trPr>
        <w:tc>
          <w:tcPr>
            <w:tcW w:w="46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2005</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2003</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160" w:type="dxa"/>
            <w:vAlign w:val="bottom"/>
            <w:tcBorders>
              <w:bottom w:val="single" w:sz="8" w:color="CCEEFF"/>
            </w:tcBorders>
          </w:tcPr>
          <w:p>
            <w:pPr>
              <w:spacing w:after="0"/>
              <w:rPr>
                <w:sz w:val="18"/>
                <w:szCs w:val="18"/>
                <w:color w:val="auto"/>
              </w:rPr>
            </w:pPr>
          </w:p>
        </w:tc>
      </w:tr>
      <w:tr>
        <w:trPr>
          <w:trHeight w:val="183"/>
        </w:trPr>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4600" w:type="dxa"/>
            <w:vAlign w:val="bottom"/>
          </w:tcPr>
          <w:p>
            <w:pPr>
              <w:ind w:left="14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1,835,991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1,779,387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1,652,508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1,496,588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1,399,273</w:t>
            </w:r>
          </w:p>
        </w:tc>
        <w:tc>
          <w:tcPr>
            <w:tcW w:w="160" w:type="dxa"/>
            <w:vAlign w:val="bottom"/>
          </w:tcPr>
          <w:p>
            <w:pPr>
              <w:spacing w:after="0"/>
              <w:rPr>
                <w:sz w:val="16"/>
                <w:szCs w:val="16"/>
                <w:color w:val="auto"/>
              </w:rPr>
            </w:pPr>
          </w:p>
        </w:tc>
      </w:tr>
      <w:tr>
        <w:trPr>
          <w:trHeight w:val="189"/>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sales growth from prior year</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r>
      <w:tr>
        <w:trPr>
          <w:trHeight w:val="189"/>
        </w:trPr>
        <w:tc>
          <w:tcPr>
            <w:tcW w:w="4600" w:type="dxa"/>
            <w:vAlign w:val="bottom"/>
          </w:tcPr>
          <w:p>
            <w:pPr>
              <w:ind w:left="140"/>
              <w:spacing w:after="0"/>
              <w:rPr>
                <w:sz w:val="20"/>
                <w:szCs w:val="20"/>
                <w:color w:val="auto"/>
              </w:rPr>
            </w:pPr>
            <w:r>
              <w:rPr>
                <w:rFonts w:ascii="Arial" w:cs="Arial" w:eastAsia="Arial" w:hAnsi="Arial"/>
                <w:sz w:val="14"/>
                <w:szCs w:val="14"/>
                <w:b w:val="1"/>
                <w:bCs w:val="1"/>
                <w:color w:val="auto"/>
              </w:rPr>
              <w:t>Gross profit percentage</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34.7%</w:t>
            </w:r>
          </w:p>
        </w:tc>
      </w:tr>
      <w:tr>
        <w:trPr>
          <w:trHeight w:val="189"/>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Selling, general, and administrative expense as a percentage of</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17"/>
                <w:szCs w:val="17"/>
                <w:b w:val="1"/>
                <w:bCs w:val="1"/>
                <w:color w:val="auto"/>
                <w:vertAlign w:val="superscript"/>
              </w:rPr>
              <w:t>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27.0%</w:t>
            </w:r>
          </w:p>
        </w:tc>
      </w:tr>
      <w:tr>
        <w:trPr>
          <w:trHeight w:val="216"/>
        </w:trPr>
        <w:tc>
          <w:tcPr>
            <w:tcW w:w="4600" w:type="dxa"/>
            <w:vAlign w:val="bottom"/>
          </w:tcPr>
          <w:p>
            <w:pPr>
              <w:ind w:left="140"/>
              <w:spacing w:after="0"/>
              <w:rPr>
                <w:sz w:val="20"/>
                <w:szCs w:val="20"/>
                <w:color w:val="auto"/>
              </w:rPr>
            </w:pPr>
            <w:r>
              <w:rPr>
                <w:rFonts w:ascii="Arial" w:cs="Arial" w:eastAsia="Arial" w:hAnsi="Arial"/>
                <w:sz w:val="14"/>
                <w:szCs w:val="14"/>
                <w:b w:val="1"/>
                <w:bCs w:val="1"/>
                <w:color w:val="auto"/>
              </w:rPr>
              <w:t>Earnings from operations</w:t>
            </w:r>
            <w:r>
              <w:rPr>
                <w:rFonts w:ascii="Arial" w:cs="Arial" w:eastAsia="Arial" w:hAnsi="Arial"/>
                <w:sz w:val="17"/>
                <w:szCs w:val="17"/>
                <w:b w:val="1"/>
                <w:bCs w:val="1"/>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202,876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182,726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165,225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126,994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98,965</w:t>
            </w:r>
          </w:p>
        </w:tc>
        <w:tc>
          <w:tcPr>
            <w:tcW w:w="160" w:type="dxa"/>
            <w:vAlign w:val="bottom"/>
          </w:tcPr>
          <w:p>
            <w:pPr>
              <w:spacing w:after="0"/>
              <w:rPr>
                <w:sz w:val="18"/>
                <w:szCs w:val="18"/>
                <w:color w:val="auto"/>
              </w:rPr>
            </w:pPr>
          </w:p>
        </w:tc>
      </w:tr>
      <w:tr>
        <w:trPr>
          <w:trHeight w:val="189"/>
        </w:trPr>
        <w:tc>
          <w:tcPr>
            <w:tcW w:w="4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17,672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17,733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15,523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16,285</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19,747</w:t>
            </w:r>
          </w:p>
        </w:tc>
        <w:tc>
          <w:tcPr>
            <w:tcW w:w="160" w:type="dxa"/>
            <w:vAlign w:val="bottom"/>
            <w:shd w:val="clear" w:color="auto" w:fill="CCEEFF"/>
          </w:tcPr>
          <w:p>
            <w:pPr>
              <w:spacing w:after="0"/>
              <w:rPr>
                <w:sz w:val="16"/>
                <w:szCs w:val="16"/>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4"/>
                <w:szCs w:val="14"/>
                <w:b w:val="1"/>
                <w:bCs w:val="1"/>
                <w:color w:val="auto"/>
              </w:rPr>
              <w:t>Earnings before accounting change</w:t>
            </w:r>
            <w:r>
              <w:rPr>
                <w:rFonts w:ascii="Arial" w:cs="Arial" w:eastAsia="Arial" w:hAnsi="Arial"/>
                <w:sz w:val="17"/>
                <w:szCs w:val="17"/>
                <w:b w:val="1"/>
                <w:bCs w:val="1"/>
                <w:color w:val="auto"/>
                <w:vertAlign w:val="superscript"/>
              </w:rPr>
              <w:t>3</w:t>
            </w:r>
          </w:p>
        </w:tc>
        <w:tc>
          <w:tcPr>
            <w:tcW w:w="20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129,145</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114,082</w:t>
            </w:r>
          </w:p>
        </w:tc>
        <w:tc>
          <w:tcPr>
            <w:tcW w:w="1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102,666</w:t>
            </w:r>
          </w:p>
        </w:tc>
        <w:tc>
          <w:tcPr>
            <w:tcW w:w="14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81,620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59,931</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As a percentage of net sales</w:t>
            </w:r>
            <w:r>
              <w:rPr>
                <w:rFonts w:ascii="Arial" w:cs="Arial" w:eastAsia="Arial" w:hAnsi="Arial"/>
                <w:sz w:val="17"/>
                <w:szCs w:val="17"/>
                <w:b w:val="1"/>
                <w:bCs w:val="1"/>
                <w:color w:val="auto"/>
                <w:vertAlign w:val="superscript"/>
              </w:rPr>
              <w:t>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r>
      <w:tr>
        <w:trPr>
          <w:trHeight w:val="229"/>
        </w:trPr>
        <w:tc>
          <w:tcPr>
            <w:tcW w:w="4600" w:type="dxa"/>
            <w:vAlign w:val="bottom"/>
          </w:tcPr>
          <w:p>
            <w:pPr>
              <w:ind w:left="140"/>
              <w:spacing w:after="0"/>
              <w:rPr>
                <w:sz w:val="20"/>
                <w:szCs w:val="20"/>
                <w:color w:val="auto"/>
              </w:rPr>
            </w:pPr>
            <w:r>
              <w:rPr>
                <w:rFonts w:ascii="Arial" w:cs="Arial" w:eastAsia="Arial" w:hAnsi="Arial"/>
                <w:sz w:val="14"/>
                <w:szCs w:val="14"/>
                <w:b w:val="1"/>
                <w:bCs w:val="1"/>
                <w:color w:val="auto"/>
              </w:rPr>
              <w:t>Net earnings</w:t>
            </w:r>
            <w:r>
              <w:rPr>
                <w:rFonts w:ascii="Arial" w:cs="Arial" w:eastAsia="Arial" w:hAnsi="Arial"/>
                <w:sz w:val="17"/>
                <w:szCs w:val="17"/>
                <w:b w:val="1"/>
                <w:bCs w:val="1"/>
                <w:color w:val="auto"/>
                <w:vertAlign w:val="superscript"/>
              </w:rPr>
              <w:t>3,4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129,145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114,082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102,666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81,620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35,317</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90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9015" cy="137160"/>
                    </a:xfrm>
                    <a:prstGeom prst="rect">
                      <a:avLst/>
                    </a:prstGeom>
                    <a:noFill/>
                  </pic:spPr>
                </pic:pic>
              </a:graphicData>
            </a:graphic>
          </wp:anchor>
        </w:drawing>
      </w:r>
    </w:p>
    <w:p>
      <w:pPr>
        <w:sectPr>
          <w:pgSz w:w="11900" w:h="16838" w:orient="portrait"/>
          <w:cols w:equalWidth="0" w:num="1">
            <w:col w:w="11380"/>
          </w:cols>
          <w:pgMar w:left="240" w:top="171" w:right="279" w:bottom="0" w:gutter="0" w:footer="0" w:header="0"/>
        </w:sectPr>
      </w:pPr>
    </w:p>
    <w:p>
      <w:pPr>
        <w:ind w:left="1060"/>
        <w:spacing w:after="0"/>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17"/>
          <w:szCs w:val="17"/>
          <w:b w:val="1"/>
          <w:bCs w:val="1"/>
          <w:color w:val="auto"/>
          <w:vertAlign w:val="superscript"/>
        </w:rPr>
        <w:t>2,3,4</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17"/>
          <w:szCs w:val="17"/>
          <w:b w:val="1"/>
          <w:bCs w:val="1"/>
          <w:color w:val="auto"/>
          <w:vertAlign w:val="superscript"/>
        </w:rPr>
        <w:t>2,3,4</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Return on average stockholders’ equity</w:t>
      </w:r>
      <w:r>
        <w:rPr>
          <w:rFonts w:ascii="Arial" w:cs="Arial" w:eastAsia="Arial" w:hAnsi="Arial"/>
          <w:sz w:val="17"/>
          <w:szCs w:val="17"/>
          <w:b w:val="1"/>
          <w:bCs w:val="1"/>
          <w:color w:val="auto"/>
          <w:vertAlign w:val="superscript"/>
        </w:rPr>
        <w:t>3,4</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SUMMARY OF FINANCIAL POSITION:</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Total assets</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Working capital</w:t>
      </w:r>
      <w:r>
        <w:rPr>
          <w:rFonts w:ascii="Arial" w:cs="Arial" w:eastAsia="Arial" w:hAnsi="Arial"/>
          <w:sz w:val="17"/>
          <w:szCs w:val="17"/>
          <w:b w:val="1"/>
          <w:bCs w:val="1"/>
          <w:color w:val="auto"/>
          <w:vertAlign w:val="superscript"/>
        </w:rPr>
        <w:t>5</w:t>
      </w:r>
    </w:p>
    <w:p>
      <w:pPr>
        <w:spacing w:after="0" w:line="37"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Long-term debt, including current portion</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Stockholders’ equity</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Debt-to-capitalization ratio</w:t>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OTHER STATISTICAL DATA:</w:t>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Market price range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7" w:type="dxa"/>
        <w:tblCellMar>
          <w:top w:w="0" w:type="dxa"/>
          <w:left w:w="0" w:type="dxa"/>
          <w:bottom w:w="0" w:type="dxa"/>
          <w:right w:w="0" w:type="dxa"/>
        </w:tblCellMar>
      </w:tblPr>
      <w:tr>
        <w:trPr>
          <w:trHeight w:val="190"/>
        </w:trPr>
        <w:tc>
          <w:tcPr>
            <w:tcW w:w="700" w:type="dxa"/>
            <w:vAlign w:val="bottom"/>
          </w:tcPr>
          <w:p>
            <w:pPr>
              <w:spacing w:after="0"/>
              <w:rPr>
                <w:sz w:val="20"/>
                <w:szCs w:val="20"/>
                <w:color w:val="auto"/>
              </w:rPr>
            </w:pPr>
            <w:r>
              <w:rPr>
                <w:rFonts w:ascii="Arial" w:cs="Arial" w:eastAsia="Arial" w:hAnsi="Arial"/>
                <w:sz w:val="14"/>
                <w:szCs w:val="14"/>
                <w:b w:val="1"/>
                <w:bCs w:val="1"/>
                <w:color w:val="auto"/>
              </w:rPr>
              <w:t>3.01</w:t>
            </w:r>
          </w:p>
        </w:tc>
        <w:tc>
          <w:tcPr>
            <w:tcW w:w="980" w:type="dxa"/>
            <w:vAlign w:val="bottom"/>
          </w:tcPr>
          <w:p>
            <w:pPr>
              <w:ind w:left="280"/>
              <w:spacing w:after="0"/>
              <w:rPr>
                <w:sz w:val="20"/>
                <w:szCs w:val="20"/>
                <w:color w:val="auto"/>
              </w:rPr>
            </w:pPr>
            <w:r>
              <w:rPr>
                <w:rFonts w:ascii="Arial" w:cs="Arial" w:eastAsia="Arial" w:hAnsi="Arial"/>
                <w:sz w:val="14"/>
                <w:szCs w:val="14"/>
                <w:color w:val="auto"/>
              </w:rPr>
              <w:t>2.55</w:t>
            </w:r>
          </w:p>
        </w:tc>
        <w:tc>
          <w:tcPr>
            <w:tcW w:w="1000" w:type="dxa"/>
            <w:vAlign w:val="bottom"/>
          </w:tcPr>
          <w:p>
            <w:pPr>
              <w:ind w:left="280"/>
              <w:spacing w:after="0"/>
              <w:rPr>
                <w:sz w:val="20"/>
                <w:szCs w:val="20"/>
                <w:color w:val="auto"/>
              </w:rPr>
            </w:pPr>
            <w:r>
              <w:rPr>
                <w:rFonts w:ascii="Arial" w:cs="Arial" w:eastAsia="Arial" w:hAnsi="Arial"/>
                <w:sz w:val="14"/>
                <w:szCs w:val="14"/>
                <w:color w:val="auto"/>
              </w:rPr>
              <w:t>2.11</w:t>
            </w:r>
          </w:p>
        </w:tc>
        <w:tc>
          <w:tcPr>
            <w:tcW w:w="980" w:type="dxa"/>
            <w:vAlign w:val="bottom"/>
          </w:tcPr>
          <w:p>
            <w:pPr>
              <w:ind w:left="280"/>
              <w:spacing w:after="0"/>
              <w:rPr>
                <w:sz w:val="20"/>
                <w:szCs w:val="20"/>
                <w:color w:val="auto"/>
              </w:rPr>
            </w:pPr>
            <w:r>
              <w:rPr>
                <w:rFonts w:ascii="Arial" w:cs="Arial" w:eastAsia="Arial" w:hAnsi="Arial"/>
                <w:sz w:val="14"/>
                <w:szCs w:val="14"/>
                <w:color w:val="auto"/>
              </w:rPr>
              <w:t>1.63</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0.70</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2.91</w:t>
            </w:r>
          </w:p>
        </w:tc>
        <w:tc>
          <w:tcPr>
            <w:tcW w:w="980" w:type="dxa"/>
            <w:vAlign w:val="bottom"/>
          </w:tcPr>
          <w:p>
            <w:pPr>
              <w:ind w:left="280"/>
              <w:spacing w:after="0"/>
              <w:rPr>
                <w:sz w:val="20"/>
                <w:szCs w:val="20"/>
                <w:color w:val="auto"/>
              </w:rPr>
            </w:pPr>
            <w:r>
              <w:rPr>
                <w:rFonts w:ascii="Arial" w:cs="Arial" w:eastAsia="Arial" w:hAnsi="Arial"/>
                <w:sz w:val="14"/>
                <w:szCs w:val="14"/>
                <w:color w:val="auto"/>
              </w:rPr>
              <w:t>2.45</w:t>
            </w:r>
          </w:p>
        </w:tc>
        <w:tc>
          <w:tcPr>
            <w:tcW w:w="1000" w:type="dxa"/>
            <w:vAlign w:val="bottom"/>
          </w:tcPr>
          <w:p>
            <w:pPr>
              <w:ind w:left="280"/>
              <w:spacing w:after="0"/>
              <w:rPr>
                <w:sz w:val="20"/>
                <w:szCs w:val="20"/>
                <w:color w:val="auto"/>
              </w:rPr>
            </w:pPr>
            <w:r>
              <w:rPr>
                <w:rFonts w:ascii="Arial" w:cs="Arial" w:eastAsia="Arial" w:hAnsi="Arial"/>
                <w:sz w:val="14"/>
                <w:szCs w:val="14"/>
                <w:color w:val="auto"/>
              </w:rPr>
              <w:t>2.02</w:t>
            </w:r>
          </w:p>
        </w:tc>
        <w:tc>
          <w:tcPr>
            <w:tcW w:w="980" w:type="dxa"/>
            <w:vAlign w:val="bottom"/>
          </w:tcPr>
          <w:p>
            <w:pPr>
              <w:ind w:left="280"/>
              <w:spacing w:after="0"/>
              <w:rPr>
                <w:sz w:val="20"/>
                <w:szCs w:val="20"/>
                <w:color w:val="auto"/>
              </w:rPr>
            </w:pPr>
            <w:r>
              <w:rPr>
                <w:rFonts w:ascii="Arial" w:cs="Arial" w:eastAsia="Arial" w:hAnsi="Arial"/>
                <w:sz w:val="14"/>
                <w:szCs w:val="14"/>
                <w:color w:val="auto"/>
              </w:rPr>
              <w:t>1.56</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0.68</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33.0%</w:t>
            </w:r>
          </w:p>
        </w:tc>
        <w:tc>
          <w:tcPr>
            <w:tcW w:w="980" w:type="dxa"/>
            <w:vAlign w:val="bottom"/>
          </w:tcPr>
          <w:p>
            <w:pPr>
              <w:ind w:left="280"/>
              <w:spacing w:after="0"/>
              <w:rPr>
                <w:sz w:val="20"/>
                <w:szCs w:val="20"/>
                <w:color w:val="auto"/>
              </w:rPr>
            </w:pPr>
            <w:r>
              <w:rPr>
                <w:rFonts w:ascii="Arial" w:cs="Arial" w:eastAsia="Arial" w:hAnsi="Arial"/>
                <w:sz w:val="14"/>
                <w:szCs w:val="14"/>
                <w:color w:val="auto"/>
              </w:rPr>
              <w:t>28.1%</w:t>
            </w:r>
          </w:p>
        </w:tc>
        <w:tc>
          <w:tcPr>
            <w:tcW w:w="1000" w:type="dxa"/>
            <w:vAlign w:val="bottom"/>
          </w:tcPr>
          <w:p>
            <w:pPr>
              <w:ind w:left="280"/>
              <w:spacing w:after="0"/>
              <w:rPr>
                <w:sz w:val="20"/>
                <w:szCs w:val="20"/>
                <w:color w:val="auto"/>
              </w:rPr>
            </w:pPr>
            <w:r>
              <w:rPr>
                <w:rFonts w:ascii="Arial" w:cs="Arial" w:eastAsia="Arial" w:hAnsi="Arial"/>
                <w:sz w:val="14"/>
                <w:szCs w:val="14"/>
                <w:color w:val="auto"/>
              </w:rPr>
              <w:t>23.5%</w:t>
            </w:r>
          </w:p>
        </w:tc>
        <w:tc>
          <w:tcPr>
            <w:tcW w:w="980" w:type="dxa"/>
            <w:vAlign w:val="bottom"/>
          </w:tcPr>
          <w:p>
            <w:pPr>
              <w:ind w:left="280"/>
              <w:spacing w:after="0"/>
              <w:rPr>
                <w:sz w:val="20"/>
                <w:szCs w:val="20"/>
                <w:color w:val="auto"/>
              </w:rPr>
            </w:pPr>
            <w:r>
              <w:rPr>
                <w:rFonts w:ascii="Arial" w:cs="Arial" w:eastAsia="Arial" w:hAnsi="Arial"/>
                <w:sz w:val="14"/>
                <w:szCs w:val="14"/>
                <w:color w:val="auto"/>
              </w:rPr>
              <w:t>19.8%</w:t>
            </w:r>
          </w:p>
        </w:tc>
        <w:tc>
          <w:tcPr>
            <w:tcW w:w="720" w:type="dxa"/>
            <w:vAlign w:val="bottom"/>
          </w:tcPr>
          <w:p>
            <w:pPr>
              <w:jc w:val="right"/>
              <w:spacing w:after="0"/>
              <w:rPr>
                <w:sz w:val="20"/>
                <w:szCs w:val="20"/>
                <w:color w:val="auto"/>
              </w:rPr>
            </w:pPr>
            <w:r>
              <w:rPr>
                <w:rFonts w:ascii="Arial" w:cs="Arial" w:eastAsia="Arial" w:hAnsi="Arial"/>
                <w:sz w:val="14"/>
                <w:szCs w:val="14"/>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-137795</wp:posOffset>
            </wp:positionV>
            <wp:extent cx="60890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119380</wp:posOffset>
            </wp:positionV>
            <wp:extent cx="608901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9015" cy="120015"/>
                    </a:xfrm>
                    <a:prstGeom prst="rect">
                      <a:avLst/>
                    </a:prstGeom>
                    <a:noFill/>
                  </pic:spPr>
                </pic:pic>
              </a:graphicData>
            </a:graphic>
          </wp:anchor>
        </w:drawing>
      </w:r>
    </w:p>
    <w:p>
      <w:pPr>
        <w:spacing w:after="0" w:line="168" w:lineRule="exact"/>
        <w:rPr>
          <w:sz w:val="20"/>
          <w:szCs w:val="20"/>
          <w:color w:val="auto"/>
        </w:rPr>
      </w:pPr>
    </w:p>
    <w:p>
      <w:pPr>
        <w:ind w:left="227" w:hanging="227"/>
        <w:spacing w:after="0"/>
        <w:tabs>
          <w:tab w:leader="none" w:pos="227"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921,983   </w:t>
      </w:r>
      <w:r>
        <w:rPr>
          <w:rFonts w:ascii="Arial" w:cs="Arial" w:eastAsia="Arial" w:hAnsi="Arial"/>
          <w:sz w:val="14"/>
          <w:szCs w:val="14"/>
          <w:color w:val="auto"/>
        </w:rPr>
        <w:t>$  916,737   $  932,100   $  928,737   $  845,853</w:t>
      </w:r>
    </w:p>
    <w:p>
      <w:pPr>
        <w:spacing w:after="0" w:line="55" w:lineRule="exact"/>
        <w:rPr>
          <w:sz w:val="20"/>
          <w:szCs w:val="20"/>
          <w:color w:val="auto"/>
        </w:rPr>
      </w:pPr>
    </w:p>
    <w:tbl>
      <w:tblPr>
        <w:tblLayout w:type="fixed"/>
        <w:tblInd w:w="227" w:type="dxa"/>
        <w:tblCellMar>
          <w:top w:w="0" w:type="dxa"/>
          <w:left w:w="0" w:type="dxa"/>
          <w:bottom w:w="0" w:type="dxa"/>
          <w:right w:w="0" w:type="dxa"/>
        </w:tblCellMar>
      </w:tblPr>
      <w:tr>
        <w:trPr>
          <w:trHeight w:val="189"/>
        </w:trPr>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311,554</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305,872</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344,446</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380,100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301,627</w:t>
            </w:r>
          </w:p>
        </w:tc>
      </w:tr>
      <w:tr>
        <w:trPr>
          <w:trHeight w:val="189"/>
        </w:trPr>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175,000</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175,046</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175,091</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178,921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194,581</w:t>
            </w:r>
          </w:p>
        </w:tc>
      </w:tr>
      <w:tr>
        <w:trPr>
          <w:trHeight w:val="189"/>
        </w:trPr>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392,029</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390,034</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420,819</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451,523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373,526</w:t>
            </w:r>
          </w:p>
        </w:tc>
      </w:tr>
      <w:tr>
        <w:trPr>
          <w:trHeight w:val="190"/>
        </w:trPr>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30.9%</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29.5%</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28.6%</w:t>
            </w:r>
          </w:p>
        </w:tc>
        <w:tc>
          <w:tcPr>
            <w:tcW w:w="840" w:type="dxa"/>
            <w:vAlign w:val="bottom"/>
          </w:tcPr>
          <w:p>
            <w:pPr>
              <w:jc w:val="right"/>
              <w:spacing w:after="0"/>
              <w:rPr>
                <w:sz w:val="20"/>
                <w:szCs w:val="20"/>
                <w:color w:val="auto"/>
              </w:rPr>
            </w:pPr>
            <w:r>
              <w:rPr>
                <w:rFonts w:ascii="Arial" w:cs="Arial" w:eastAsia="Arial" w:hAnsi="Arial"/>
                <w:sz w:val="14"/>
                <w:szCs w:val="14"/>
                <w:color w:val="auto"/>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-360680</wp:posOffset>
            </wp:positionV>
            <wp:extent cx="608901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9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-120650</wp:posOffset>
            </wp:positionV>
            <wp:extent cx="608901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9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119380</wp:posOffset>
            </wp:positionV>
            <wp:extent cx="608901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9015" cy="12001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4913" w:space="720"/>
            <w:col w:w="5747"/>
          </w:cols>
          <w:pgMar w:left="240" w:top="171" w:right="279" w:bottom="0" w:gutter="0" w:footer="0" w:header="0"/>
          <w:type w:val="continuous"/>
        </w:sectPr>
      </w:pPr>
    </w:p>
    <w:tbl>
      <w:tblPr>
        <w:tblLayout w:type="fixed"/>
        <w:tblInd w:w="920" w:type="dxa"/>
        <w:tblCellMar>
          <w:top w:w="0" w:type="dxa"/>
          <w:left w:w="0" w:type="dxa"/>
          <w:bottom w:w="0" w:type="dxa"/>
          <w:right w:w="0" w:type="dxa"/>
        </w:tblCellMar>
      </w:tblPr>
      <w:tr>
        <w:trPr>
          <w:trHeight w:val="215"/>
        </w:trPr>
        <w:tc>
          <w:tcPr>
            <w:tcW w:w="3940" w:type="dxa"/>
            <w:vAlign w:val="bottom"/>
          </w:tcPr>
          <w:p>
            <w:pPr>
              <w:ind w:left="280"/>
              <w:spacing w:after="0"/>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17"/>
                <w:szCs w:val="17"/>
                <w:b w:val="1"/>
                <w:bCs w:val="1"/>
                <w:color w:val="auto"/>
                <w:vertAlign w:val="superscript"/>
              </w:rPr>
              <w:t>2</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52.52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49.02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35.825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25.205</w:t>
            </w:r>
          </w:p>
        </w:tc>
        <w:tc>
          <w:tcPr>
            <w:tcW w:w="920" w:type="dxa"/>
            <w:vAlign w:val="bottom"/>
          </w:tcPr>
          <w:p>
            <w:pPr>
              <w:jc w:val="right"/>
              <w:spacing w:after="0"/>
              <w:rPr>
                <w:sz w:val="20"/>
                <w:szCs w:val="20"/>
                <w:color w:val="auto"/>
              </w:rPr>
            </w:pPr>
            <w:r>
              <w:rPr>
                <w:rFonts w:ascii="Arial" w:cs="Arial" w:eastAsia="Arial" w:hAnsi="Arial"/>
                <w:sz w:val="14"/>
                <w:szCs w:val="14"/>
                <w:color w:val="auto"/>
              </w:rPr>
              <w:t>$  16.0550</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17"/>
                <w:szCs w:val="17"/>
                <w:b w:val="1"/>
                <w:bCs w:val="1"/>
                <w:color w:val="auto"/>
                <w:vertAlign w:val="superscript"/>
              </w:rPr>
              <w:t>2</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36.30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22.225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10.4775</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17"/>
                <w:szCs w:val="17"/>
                <w:b w:val="1"/>
                <w:bCs w:val="1"/>
                <w:color w:val="auto"/>
                <w:vertAlign w:val="superscript"/>
              </w:rPr>
              <w:t>2</w:t>
            </w:r>
          </w:p>
        </w:tc>
        <w:tc>
          <w:tcPr>
            <w:tcW w:w="10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0.36</w:t>
            </w:r>
          </w:p>
        </w:tc>
        <w:tc>
          <w:tcPr>
            <w:tcW w:w="34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30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0.12</w:t>
            </w:r>
          </w:p>
        </w:tc>
        <w:tc>
          <w:tcPr>
            <w:tcW w:w="32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92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8"/>
                <w:szCs w:val="18"/>
                <w:color w:val="auto"/>
              </w:rPr>
            </w:pPr>
          </w:p>
        </w:tc>
      </w:tr>
      <w:tr>
        <w:trPr>
          <w:trHeight w:val="189"/>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Average number of employees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5,343</w:t>
            </w: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5,185</w:t>
            </w: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5,164</w:t>
            </w: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5,395</w:t>
            </w:r>
          </w:p>
        </w:tc>
        <w:tc>
          <w:tcPr>
            <w:tcW w:w="160" w:type="dxa"/>
            <w:vAlign w:val="bottom"/>
            <w:shd w:val="clear" w:color="auto" w:fill="CCEEFF"/>
          </w:tcPr>
          <w:p>
            <w:pPr>
              <w:spacing w:after="0"/>
              <w:rPr>
                <w:sz w:val="16"/>
                <w:szCs w:val="16"/>
                <w:color w:val="auto"/>
              </w:rPr>
            </w:pPr>
          </w:p>
        </w:tc>
      </w:tr>
    </w:tbl>
    <w:p>
      <w:pPr>
        <w:ind w:left="120" w:hanging="112"/>
        <w:spacing w:after="0" w:line="220" w:lineRule="auto"/>
        <w:tabs>
          <w:tab w:leader="none" w:pos="1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financial statements include results of Hayter Limited from February 8, 2005, date of acquisition.</w:t>
      </w:r>
    </w:p>
    <w:p>
      <w:pPr>
        <w:spacing w:after="0" w:line="23"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Per share data has been adjusted for all fiscal years presented to reflect two separate two-for-one stock splits effective on March 28, 2005 and April 1, 2003.</w:t>
      </w:r>
    </w:p>
    <w:p>
      <w:pPr>
        <w:sectPr>
          <w:pgSz w:w="11900" w:h="16838" w:orient="portrait"/>
          <w:cols w:equalWidth="0" w:num="1">
            <w:col w:w="11380"/>
          </w:cols>
          <w:pgMar w:left="240" w:top="171" w:right="279" w:bottom="0" w:gutter="0" w:footer="0" w:header="0"/>
          <w:type w:val="continuous"/>
        </w:sectPr>
      </w:pPr>
    </w:p>
    <w:bookmarkStart w:id="16" w:name="page17"/>
    <w:bookmarkEnd w:id="16"/>
    <w:p>
      <w:pPr>
        <w:ind w:left="120" w:hanging="112"/>
        <w:spacing w:after="0"/>
        <w:tabs>
          <w:tab w:leader="none" w:pos="1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Fiscal 2002 earnings from operations include restructuring and other expense of $8.4 million, which was not combined with selling, general, and administrative expense.</w:t>
      </w:r>
    </w:p>
    <w:p>
      <w:pPr>
        <w:spacing w:after="0" w:line="23"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Fiscal 2002 net earnings and basic and diluted net earnings per share data include the cumulative effect of a change in accounting principle of $24.6 million, $0.49 per basic</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 and $0.48 per diluted share related to the adoption of SFAS No. 142.</w:t>
      </w:r>
    </w:p>
    <w:p>
      <w:pPr>
        <w:ind w:left="120" w:hanging="112"/>
        <w:spacing w:after="0" w:line="232" w:lineRule="auto"/>
        <w:tabs>
          <w:tab w:leader="none" w:pos="1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Working capital is defined as current assets less current liabilities.</w:t>
      </w:r>
    </w:p>
    <w:p>
      <w:pPr>
        <w:spacing w:after="0" w:line="200" w:lineRule="exact"/>
        <w:rPr>
          <w:sz w:val="20"/>
          <w:szCs w:val="20"/>
          <w:color w:val="auto"/>
        </w:rPr>
      </w:pPr>
    </w:p>
    <w:p>
      <w:pPr>
        <w:spacing w:after="0" w:line="266" w:lineRule="exact"/>
        <w:rPr>
          <w:sz w:val="20"/>
          <w:szCs w:val="20"/>
          <w:color w:val="auto"/>
        </w:rPr>
      </w:pPr>
    </w:p>
    <w:p>
      <w:pPr>
        <w:ind w:left="800" w:right="840" w:hanging="791"/>
        <w:spacing w:after="0" w:line="299" w:lineRule="auto"/>
        <w:rPr>
          <w:sz w:val="20"/>
          <w:szCs w:val="20"/>
          <w:color w:val="auto"/>
        </w:rPr>
      </w:pPr>
      <w:r>
        <w:rPr>
          <w:rFonts w:ascii="Arial" w:cs="Arial" w:eastAsia="Arial" w:hAnsi="Arial"/>
          <w:sz w:val="22"/>
          <w:szCs w:val="22"/>
          <w:b w:val="1"/>
          <w:bCs w:val="1"/>
          <w:color w:val="4673B6"/>
        </w:rPr>
        <w:t>ITEM 7. MANAGEMENT’S DISCUSSION AND ANALYSIS OF FINANCIAL CONDITION AND RESULTS OF OPERATIONS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users to assess our financial condition and results of operations. Statements that are not historical are forward-looking and involve risks and uncertainties, including those discussed under the caption “Risk Factors” in Item 1A of this Annual Report on Form 10-K and elsewhere in this report. These risks could cause our actual results to differ materially from any future performance suggested below.</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MD&amp;A is organized in the following major sections:</w:t>
      </w:r>
    </w:p>
    <w:p>
      <w:pPr>
        <w:spacing w:after="0" w:line="23"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Overview, Summary of Fiscal 2006 Results, GrowLean Initiative, and Outlook for Fiscal 2007</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by Business Segment</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Off-Balance Sheet Arrangements and Contractual Obligations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OVERVIEW</w:t>
      </w:r>
    </w:p>
    <w:p>
      <w:pPr>
        <w:spacing w:after="0" w:line="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worldwide. We sell our products through a network of distributors, dealers, hardware retailers, home centers, mass retailers, and over the Internet, mainly through Internet retailers. Our businesses are organized into two operating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Summary of Fiscal 2006 Results</w:t>
      </w:r>
    </w:p>
    <w:p>
      <w:pPr>
        <w:spacing w:after="0" w:line="40" w:lineRule="exact"/>
        <w:rPr>
          <w:sz w:val="20"/>
          <w:szCs w:val="20"/>
          <w:color w:val="auto"/>
        </w:rPr>
      </w:pPr>
    </w:p>
    <w:p>
      <w:pPr>
        <w:ind w:right="680"/>
        <w:spacing w:after="0" w:line="258" w:lineRule="auto"/>
        <w:rPr>
          <w:sz w:val="20"/>
          <w:szCs w:val="20"/>
          <w:color w:val="auto"/>
        </w:rPr>
      </w:pPr>
      <w:r>
        <w:rPr>
          <w:rFonts w:ascii="Arial" w:cs="Arial" w:eastAsia="Arial" w:hAnsi="Arial"/>
          <w:sz w:val="18"/>
          <w:szCs w:val="18"/>
          <w:color w:val="auto"/>
        </w:rPr>
        <w:t>Fiscal 2006 was another good year with record net sales and double digit diluted net earnings per share growth. Our fiscal 2006 results included the following items of significance:</w:t>
      </w:r>
    </w:p>
    <w:p>
      <w:pPr>
        <w:spacing w:after="0" w:line="14"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after-tax return on sales for fiscal 2006 was 7.0 percent, which exceeded our goal of 6 percent or more as part of our “6 + 8: Teamwork to</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Top” initiative.</w:t>
      </w:r>
    </w:p>
    <w:p>
      <w:pPr>
        <w:spacing w:after="0" w:line="23"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growth for fiscal 2006 was 3.2 percent over fiscal 2005 despite challenging economic conditions. Our net sales average annual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growth rate was 7.1 percent over the three-year period ended October 31, 2006, just shy of our 8 percent goal.</w:t>
      </w:r>
    </w:p>
    <w:p>
      <w:pPr>
        <w:spacing w:after="0" w:line="23"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net sales continued to grow faster than our total consolidated net sales with an increase of 12.6 percent compared to fiscal</w:t>
      </w:r>
    </w:p>
    <w:p>
      <w:pPr>
        <w:spacing w:after="0" w:line="63" w:lineRule="exact"/>
        <w:rPr>
          <w:sz w:val="20"/>
          <w:szCs w:val="20"/>
          <w:color w:val="auto"/>
        </w:rPr>
      </w:pPr>
    </w:p>
    <w:p>
      <w:pPr>
        <w:ind w:left="180"/>
        <w:spacing w:after="0" w:line="258" w:lineRule="auto"/>
        <w:rPr>
          <w:sz w:val="20"/>
          <w:szCs w:val="20"/>
          <w:color w:val="auto"/>
        </w:rPr>
      </w:pPr>
      <w:r>
        <w:rPr>
          <w:rFonts w:ascii="Arial" w:cs="Arial" w:eastAsia="Arial" w:hAnsi="Arial"/>
          <w:sz w:val="18"/>
          <w:szCs w:val="18"/>
          <w:color w:val="auto"/>
        </w:rPr>
        <w:t>2005. International net sales comprised 27.0 percent of our total consolidated net sales in fiscal 2006 compared to 24.8 percent in fiscal 2005 and 20.7 percent in fiscal 2004.</w:t>
      </w:r>
    </w:p>
    <w:p>
      <w:pPr>
        <w:spacing w:after="0" w:line="14"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 segment net sales increased 6.9 percent in fiscal 2006 compared to fiscal 2005 due primarily to strong demand in the worldwide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golf market and new product introductions.</w:t>
      </w:r>
    </w:p>
    <w:p>
      <w:pPr>
        <w:spacing w:after="0" w:line="23"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residential segment net sales were down 2.9 percent in fiscal 2006 compared to fiscal 2005 due primarily to weakening domestic</w:t>
      </w:r>
    </w:p>
    <w:p>
      <w:pPr>
        <w:spacing w:after="0" w:line="63" w:lineRule="exact"/>
        <w:rPr>
          <w:sz w:val="20"/>
          <w:szCs w:val="20"/>
          <w:color w:val="auto"/>
        </w:rPr>
      </w:pPr>
    </w:p>
    <w:p>
      <w:pPr>
        <w:ind w:left="180" w:right="220"/>
        <w:spacing w:after="0" w:line="258" w:lineRule="auto"/>
        <w:rPr>
          <w:sz w:val="20"/>
          <w:szCs w:val="20"/>
          <w:color w:val="auto"/>
        </w:rPr>
      </w:pPr>
      <w:r>
        <w:rPr>
          <w:rFonts w:ascii="Arial" w:cs="Arial" w:eastAsia="Arial" w:hAnsi="Arial"/>
          <w:sz w:val="18"/>
          <w:szCs w:val="18"/>
          <w:color w:val="auto"/>
        </w:rPr>
        <w:t>economic conditions and higher fuel prices during the spring/summer season in 2006 that resulted in lower consumer spending for outdoor power equipment, as well as unfavorable weather conditions.</w:t>
      </w:r>
    </w:p>
    <w:p>
      <w:pPr>
        <w:spacing w:after="0" w:line="14" w:lineRule="exact"/>
        <w:rPr>
          <w:sz w:val="20"/>
          <w:szCs w:val="20"/>
          <w:color w:val="auto"/>
        </w:rPr>
      </w:pPr>
    </w:p>
    <w:p>
      <w:pPr>
        <w:ind w:left="180" w:right="340" w:hanging="172"/>
        <w:spacing w:after="0" w:line="297" w:lineRule="auto"/>
        <w:tabs>
          <w:tab w:leader="none" w:pos="1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Fiscal 2006 net earnings increased 13.2 percent compared to fiscal 2005, and diluted net earnings per share increased 18.8 percent over fiscal 2005. This was our 8</w:t>
      </w:r>
      <w:r>
        <w:rPr>
          <w:rFonts w:ascii="Arial" w:cs="Arial" w:eastAsia="Arial" w:hAnsi="Arial"/>
          <w:sz w:val="8"/>
          <w:szCs w:val="8"/>
          <w:color w:val="auto"/>
        </w:rPr>
        <w:t>th</w:t>
      </w:r>
      <w:r>
        <w:rPr>
          <w:rFonts w:ascii="Arial" w:cs="Arial" w:eastAsia="Arial" w:hAnsi="Arial"/>
          <w:sz w:val="18"/>
          <w:szCs w:val="18"/>
          <w:color w:val="auto"/>
        </w:rPr>
        <w:t xml:space="preserve"> consecutive year of double digit diluted net earnings per share growth before accounting changes.</w:t>
      </w:r>
    </w:p>
    <w:p>
      <w:pPr>
        <w:spacing w:after="0" w:line="14" w:lineRule="exact"/>
        <w:rPr>
          <w:rFonts w:ascii="Arial" w:cs="Arial" w:eastAsia="Arial" w:hAnsi="Arial"/>
          <w:sz w:val="18"/>
          <w:szCs w:val="18"/>
          <w:color w:val="auto"/>
        </w:rPr>
      </w:pP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Despite continued commodity cost increases, fiscal 2006 gross profit as a percentage of net sales rose to 35.0 percent compared to 34.6</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 in fiscal 2005 due in part to price increases and our continued use of Lean methods to reduce costs.</w:t>
      </w:r>
    </w:p>
    <w:p>
      <w:pPr>
        <w:spacing w:after="0" w:line="23"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continued to leverage our selling, general, and administrative costs. Selling, general, and administrative expense as a percentage of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was 24.0 percent in fiscal 2006, 24.3 percent in fiscal 2005, and 25.9 percent in fiscal 2004.</w:t>
      </w:r>
    </w:p>
    <w:p>
      <w:pPr>
        <w:spacing w:after="0" w:line="23"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generated strong cash flows from operations. Net cash provided by operating activities was $190.3 million in fiscal 2006 compared to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$174.1 million in fiscal 2005, an increase of 9.3 percent.</w:t>
      </w:r>
    </w:p>
    <w:p>
      <w:pPr>
        <w:spacing w:after="0" w:line="23"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increased our fiscal 2006 quarterly cash dividend by 50 percent from the quarterly cash dividend paid in fiscal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continued with our stock repurchase program in fiscal 2006, which reduced the number of our shares outstanding. This reduction resulted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an increase in diluted net earnings per share of approximately $0.14 in fiscal 2006 compared to fiscal 2005.</w:t>
      </w:r>
    </w:p>
    <w:p>
      <w:pPr>
        <w:spacing w:after="0" w:line="23"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financial condition remained strong in fiscal 2006 with continued emphasis on asset management. Average inventory levels and average</w:t>
      </w:r>
    </w:p>
    <w:p>
      <w:pPr>
        <w:spacing w:after="0" w:line="63" w:lineRule="exact"/>
        <w:rPr>
          <w:sz w:val="20"/>
          <w:szCs w:val="20"/>
          <w:color w:val="auto"/>
        </w:rPr>
      </w:pPr>
    </w:p>
    <w:p>
      <w:pPr>
        <w:jc w:val="both"/>
        <w:ind w:left="180" w:right="200"/>
        <w:spacing w:after="0" w:line="271" w:lineRule="auto"/>
        <w:rPr>
          <w:sz w:val="20"/>
          <w:szCs w:val="20"/>
          <w:color w:val="auto"/>
        </w:rPr>
      </w:pPr>
      <w:r>
        <w:rPr>
          <w:rFonts w:ascii="Arial" w:cs="Arial" w:eastAsia="Arial" w:hAnsi="Arial"/>
          <w:sz w:val="18"/>
          <w:szCs w:val="18"/>
          <w:color w:val="auto"/>
        </w:rPr>
        <w:t>receivable balances slightly increased by 1.3 percent and 0.5 percent, respectively, compared to fiscal 2005. This allowed us to continue to reinvest in product development, brand building, and new technologies; repurchase shares of our stock; and increase our cash dividend in fiscal 2006.</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GrowLean Initiative</w:t>
      </w:r>
    </w:p>
    <w:p>
      <w:pPr>
        <w:sectPr>
          <w:pgSz w:w="11900" w:h="16838" w:orient="portrait"/>
          <w:cols w:equalWidth="0" w:num="1">
            <w:col w:w="11420"/>
          </w:cols>
          <w:pgMar w:left="240" w:top="123" w:right="239" w:bottom="0" w:gutter="0" w:footer="0" w:header="0"/>
        </w:sectPr>
      </w:pPr>
    </w:p>
    <w:p>
      <w:pPr>
        <w:spacing w:after="0" w:line="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Fiscal 2006 was the third and final year of our “6 + 8: Teamwork to the Top” initiative to achieve a consistent after-tax return on sales of 6 percent or more and grow revenues at an average annual rate of 8 percent or more over the three-year period ended October 31, 2006. We</w:t>
      </w:r>
    </w:p>
    <w:p>
      <w:pPr>
        <w:sectPr>
          <w:pgSz w:w="11900" w:h="16838" w:orient="portrait"/>
          <w:cols w:equalWidth="0" w:num="1">
            <w:col w:w="11420"/>
          </w:cols>
          <w:pgMar w:left="240" w:top="123" w:right="239" w:bottom="0" w:gutter="0" w:footer="0" w:header="0"/>
          <w:type w:val="continuous"/>
        </w:sectPr>
      </w:pPr>
    </w:p>
    <w:bookmarkStart w:id="17" w:name="page18"/>
    <w:bookmarkEnd w:id="17"/>
    <w:p>
      <w:pPr>
        <w:ind w:right="40"/>
        <w:spacing w:after="0" w:line="266" w:lineRule="auto"/>
        <w:rPr>
          <w:sz w:val="20"/>
          <w:szCs w:val="20"/>
          <w:color w:val="auto"/>
        </w:rPr>
      </w:pPr>
      <w:r>
        <w:rPr>
          <w:rFonts w:ascii="Arial" w:cs="Arial" w:eastAsia="Arial" w:hAnsi="Arial"/>
          <w:sz w:val="18"/>
          <w:szCs w:val="18"/>
          <w:color w:val="auto"/>
        </w:rPr>
        <w:t>made significant strides in our journey of continuous improvement by employing Lean methods to eliminate waste and reduce costs throughout our organization. While we fell short of attaining the 8 percent three-year average annual net sales growth goal of our initiative by 0.9 percentage points, we far exceeded our profitability goal with an after-tax return on sales of 7.0 percent for fiscal 2006.</w:t>
      </w:r>
    </w:p>
    <w:p>
      <w:pPr>
        <w:spacing w:after="0" w:line="1" w:lineRule="exact"/>
        <w:rPr>
          <w:sz w:val="20"/>
          <w:szCs w:val="20"/>
          <w:color w:val="auto"/>
        </w:rPr>
      </w:pPr>
    </w:p>
    <w:p>
      <w:pPr>
        <w:ind w:right="20" w:firstLine="180"/>
        <w:spacing w:after="0" w:line="270" w:lineRule="auto"/>
        <w:rPr>
          <w:sz w:val="20"/>
          <w:szCs w:val="20"/>
          <w:color w:val="auto"/>
        </w:rPr>
      </w:pPr>
      <w:r>
        <w:rPr>
          <w:rFonts w:ascii="Arial" w:cs="Arial" w:eastAsia="Arial" w:hAnsi="Arial"/>
          <w:sz w:val="18"/>
          <w:szCs w:val="18"/>
          <w:color w:val="auto"/>
        </w:rPr>
        <w:t>We are launching our next-generation initiative for fiscal years 2007 through 2009 called “GrowLean.” This initiative will focus our efforts more intensely on revenue growth while maximizing our use of Lean methods to reduce costs and improve quality and efficiency in our manufacturing facilities and corporate offices. We believe we have opportunities to create a leaner, cohesive enterprise that has the potential to deliver sustainable financial performance.</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4673B6"/>
        </w:rPr>
        <w:t xml:space="preserve">Building a Growth Enterprise. </w:t>
      </w:r>
      <w:r>
        <w:rPr>
          <w:rFonts w:ascii="Arial" w:cs="Arial" w:eastAsia="Arial" w:hAnsi="Arial"/>
          <w:sz w:val="18"/>
          <w:szCs w:val="18"/>
          <w:color w:val="000000"/>
        </w:rPr>
        <w:t>We have identified several strategic focus areas to drive revenue growth in our businesses and accelerate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opportunities to expand our global presence through stronger customer relations, acquisitions, alliances, and new partnerships. In order to meet our “GrowLean” initiative goal to grow net sales at an average annual rate of 8 percent or more over a three-year period, we plan to invest in new product development, marketing, distribution, and other strategies to help build market share and strengthen our brand worldwide. At the same time, we expect to pursue targeted acquisitions using a disciplined approach that complement our existing brands and product portfolio, and we have taken strides in this area with the addition of the new office of Business and Strategic Development. We also expect to increase our investment in developing innovative, customer-valued products to generate revenue growth.</w:t>
      </w:r>
    </w:p>
    <w:p>
      <w:pPr>
        <w:spacing w:after="0" w:line="73" w:lineRule="exact"/>
        <w:rPr>
          <w:sz w:val="20"/>
          <w:szCs w:val="20"/>
          <w:color w:val="auto"/>
        </w:rPr>
      </w:pPr>
    </w:p>
    <w:p>
      <w:pPr>
        <w:ind w:right="580"/>
        <w:spacing w:after="0" w:line="284" w:lineRule="auto"/>
        <w:rPr>
          <w:sz w:val="20"/>
          <w:szCs w:val="20"/>
          <w:color w:val="auto"/>
        </w:rPr>
      </w:pPr>
      <w:r>
        <w:rPr>
          <w:rFonts w:ascii="Arial" w:cs="Arial" w:eastAsia="Arial" w:hAnsi="Arial"/>
          <w:sz w:val="18"/>
          <w:szCs w:val="18"/>
          <w:b w:val="1"/>
          <w:bCs w:val="1"/>
          <w:i w:val="1"/>
          <w:iCs w:val="1"/>
          <w:color w:val="4673B6"/>
        </w:rPr>
        <w:t xml:space="preserve">Building a Lean Enterprise. </w:t>
      </w:r>
      <w:r>
        <w:rPr>
          <w:rFonts w:ascii="Arial" w:cs="Arial" w:eastAsia="Arial" w:hAnsi="Arial"/>
          <w:sz w:val="18"/>
          <w:szCs w:val="18"/>
          <w:color w:val="000000"/>
        </w:rPr>
        <w:t>Our continuous improvement journey, which was part of our two previous three-year initiatives, created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awareness on our part of the root causes of waste and inefficiency throughout our entire organization. We believe we now have a strong foundation on which to elevate our internal use of Lean methods while expanding them externally to our suppliers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and distribution partners. The goal of the “GrowLean” initiative is to achieve a consistent after-tax return on sales of 7 percent or more over the three-year period ending October 31, 2009. To accomplish this, we plan to employ Lean methods, such as Value Stream Mapping, to identify and eliminate constraints and barriers within and across our businesses and functions. In addition, we plan to fine-tune enterprise-wide systems, such as Design for Manufacturing and Assembly, to deliver products more competitively and efficiently.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Outlook for Fiscal 2007</w:t>
      </w:r>
    </w:p>
    <w:p>
      <w:pPr>
        <w:spacing w:after="0" w:line="4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Overall, fiscal 2006 was a good year and we believe we are in a position for yet another good year in fiscal 2007. We believe the key drivers for our anticipated growth in fiscal 2007 will include, among many others, these main factors:</w:t>
      </w:r>
    </w:p>
    <w:p>
      <w:pPr>
        <w:spacing w:after="0" w:line="14"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anticipate continued success in our product innovation efforts and customer acceptance of our new products. Consistent with our focus</w:t>
      </w:r>
    </w:p>
    <w:p>
      <w:pPr>
        <w:spacing w:after="0" w:line="63" w:lineRule="exact"/>
        <w:rPr>
          <w:sz w:val="20"/>
          <w:szCs w:val="20"/>
          <w:color w:val="auto"/>
        </w:rPr>
      </w:pPr>
    </w:p>
    <w:p>
      <w:pPr>
        <w:ind w:left="180" w:right="900"/>
        <w:spacing w:after="0" w:line="258" w:lineRule="auto"/>
        <w:rPr>
          <w:sz w:val="20"/>
          <w:szCs w:val="20"/>
          <w:color w:val="auto"/>
        </w:rPr>
      </w:pPr>
      <w:r>
        <w:rPr>
          <w:rFonts w:ascii="Arial" w:cs="Arial" w:eastAsia="Arial" w:hAnsi="Arial"/>
          <w:sz w:val="18"/>
          <w:szCs w:val="18"/>
          <w:color w:val="auto"/>
        </w:rPr>
        <w:t>on asset management, our field inventory levels are at expected levels, which we believe will help set the stage for our successful introduction of new products in fiscal 2007.</w:t>
      </w:r>
    </w:p>
    <w:p>
      <w:pPr>
        <w:spacing w:after="0" w:line="14"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anticipate strong growth in our professional segment as we plan to increase our market share by enhancing our product offering and</w:t>
      </w:r>
    </w:p>
    <w:p>
      <w:pPr>
        <w:spacing w:after="0" w:line="63"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color w:val="auto"/>
        </w:rPr>
        <w:t>focusing on markets that we believe are underserved by our brand. In addition, retail demand in the landscape contractor market has been relatively soft for the past two years as customers delayed new equipment purchases. For fiscal 2007, we expect this market to improve slightly as we anticipate customers will replace their existing equipment, and we are ready to capitalize on this with our existing products and new product launches.</w:t>
      </w:r>
    </w:p>
    <w:p>
      <w:pPr>
        <w:spacing w:after="0" w:line="1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Fiscal 2006 was a challenging year for our residential segment as economic conditions weakened and consumer confidence was down in the</w:t>
      </w:r>
    </w:p>
    <w:p>
      <w:pPr>
        <w:spacing w:after="0" w:line="63" w:lineRule="exact"/>
        <w:rPr>
          <w:sz w:val="20"/>
          <w:szCs w:val="20"/>
          <w:color w:val="auto"/>
        </w:rPr>
      </w:pPr>
    </w:p>
    <w:p>
      <w:pPr>
        <w:ind w:left="180" w:right="360"/>
        <w:spacing w:after="0" w:line="258" w:lineRule="auto"/>
        <w:rPr>
          <w:sz w:val="20"/>
          <w:szCs w:val="20"/>
          <w:color w:val="auto"/>
        </w:rPr>
      </w:pPr>
      <w:r>
        <w:rPr>
          <w:rFonts w:ascii="Arial" w:cs="Arial" w:eastAsia="Arial" w:hAnsi="Arial"/>
          <w:sz w:val="18"/>
          <w:szCs w:val="18"/>
          <w:color w:val="auto"/>
        </w:rPr>
        <w:t>U.S. during the spring/summer selling season. This continues to be a concern for us as we enter fiscal 2007. However, we are facing the challenge with a broad array of new product offerings and expanded product placement at a key retailer in fiscal 2007.</w:t>
      </w:r>
    </w:p>
    <w:p>
      <w:pPr>
        <w:spacing w:after="0" w:line="14"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International markets have in the past and will continue to be a focus for us to grow our revenues. Many opportunities exist abroad, and our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goal is for international sales to comprise a larger percentage of our total consolidated net sales.</w:t>
      </w:r>
    </w:p>
    <w:p>
      <w:pPr>
        <w:spacing w:after="0" w:line="23"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fiscal 2006, we again experienced rising costs for commodities. We expect costs to continue to increase in fiscal 2007, as we</w:t>
      </w:r>
    </w:p>
    <w:p>
      <w:pPr>
        <w:spacing w:after="0" w:line="63" w:lineRule="exact"/>
        <w:rPr>
          <w:sz w:val="20"/>
          <w:szCs w:val="20"/>
          <w:color w:val="auto"/>
        </w:rPr>
      </w:pPr>
    </w:p>
    <w:p>
      <w:pPr>
        <w:ind w:left="180" w:right="280"/>
        <w:spacing w:after="0" w:line="266" w:lineRule="auto"/>
        <w:rPr>
          <w:sz w:val="20"/>
          <w:szCs w:val="20"/>
          <w:color w:val="auto"/>
        </w:rPr>
      </w:pPr>
      <w:r>
        <w:rPr>
          <w:rFonts w:ascii="Arial" w:cs="Arial" w:eastAsia="Arial" w:hAnsi="Arial"/>
          <w:sz w:val="18"/>
          <w:szCs w:val="18"/>
          <w:color w:val="auto"/>
        </w:rPr>
        <w:t>anticipate that increased worldwide demand and other factors to drive commodity prices higher. We have made significant progress using Lean methods and principles, and we plan to continue this focus as part of our new “GrowLean” initiative to offset these rising costs.</w:t>
      </w:r>
    </w:p>
    <w:p>
      <w:pPr>
        <w:ind w:right="260"/>
        <w:spacing w:after="0" w:line="271" w:lineRule="auto"/>
        <w:rPr>
          <w:sz w:val="20"/>
          <w:szCs w:val="20"/>
          <w:color w:val="auto"/>
        </w:rPr>
      </w:pPr>
      <w:r>
        <w:rPr>
          <w:rFonts w:ascii="Arial" w:cs="Arial" w:eastAsia="Arial" w:hAnsi="Arial"/>
          <w:sz w:val="18"/>
          <w:szCs w:val="18"/>
          <w:color w:val="auto"/>
        </w:rPr>
        <w:t>We will continue to keep a cautionary eye on the weather, world economies, field inventory levels, commodity prices, and other factors identified under the caption “Risk Factors” in Item 1A of this Annual Report on Form 10-K, which could cause our actual results to differ from our outlook.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RESULTS OF OPERATIONS</w:t>
      </w:r>
    </w:p>
    <w:p>
      <w:pPr>
        <w:spacing w:after="0" w:line="4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Fiscal 2006 net earnings were $129.1 million compared to $114.1 million in fiscal 2005, an increase of 13.2 percent. Fiscal 2006 diluted net earnings per share were $2.91, an increase of 18.8 percent over $2.45 per share in fiscal 2005. The primary factors contributing to the net earnings increase were higher net sales, an increase in gross margins, improved leveraging of selling, general, and administrative expense, and higher other income. In addition, our share repurchase program resulted in an increase in diluted net earnings per share of approximately $0.14 in fiscal 2006 compared to fiscal 2005.</w:t>
      </w:r>
    </w:p>
    <w:p>
      <w:pPr>
        <w:spacing w:after="0" w:line="1" w:lineRule="exact"/>
        <w:rPr>
          <w:sz w:val="20"/>
          <w:szCs w:val="20"/>
          <w:color w:val="auto"/>
        </w:rPr>
      </w:pPr>
    </w:p>
    <w:p>
      <w:pPr>
        <w:ind w:right="160" w:firstLine="180"/>
        <w:spacing w:after="0" w:line="266" w:lineRule="auto"/>
        <w:rPr>
          <w:sz w:val="20"/>
          <w:szCs w:val="20"/>
          <w:color w:val="auto"/>
        </w:rPr>
      </w:pPr>
      <w:r>
        <w:rPr>
          <w:rFonts w:ascii="Arial" w:cs="Arial" w:eastAsia="Arial" w:hAnsi="Arial"/>
          <w:sz w:val="18"/>
          <w:szCs w:val="18"/>
          <w:color w:val="auto"/>
        </w:rPr>
        <w:t>Fiscal 2005 net earnings were $114.1 million compared to $102.7 million in fiscal 2004, an increase of 11.1 percent. Fiscal 2005 diluted net earnings per share were $2.45, an increase of 21.3 percent over $2.02 per share in fiscal 2004. The primary factors contributing to the net earnings increase were higher net sales, lower incentive compensation expense, and improved leveraging of selling, general, and administrative expense. However, the growth in fiscal 2005 net earnings relative to fiscal 2004 was tempered by higher costs for steel, resin, and other commodities.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152" w:lineRule="exact"/>
        <w:rPr>
          <w:sz w:val="20"/>
          <w:szCs w:val="20"/>
          <w:color w:val="auto"/>
        </w:rPr>
      </w:pPr>
    </w:p>
    <w:tbl>
      <w:tblPr>
        <w:tblLayout w:type="fixed"/>
        <w:tblInd w:w="3480" w:type="dxa"/>
        <w:tblCellMar>
          <w:top w:w="0" w:type="dxa"/>
          <w:left w:w="0" w:type="dxa"/>
          <w:bottom w:w="0" w:type="dxa"/>
          <w:right w:w="0" w:type="dxa"/>
        </w:tblCellMar>
      </w:tblPr>
      <w:tr>
        <w:trPr>
          <w:trHeight w:val="203"/>
        </w:trPr>
        <w:tc>
          <w:tcPr>
            <w:tcW w:w="2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2005</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CCEEFF"/>
            </w:tcBorders>
          </w:tcPr>
          <w:p>
            <w:pPr>
              <w:spacing w:after="0"/>
              <w:rPr>
                <w:sz w:val="17"/>
                <w:szCs w:val="17"/>
                <w:color w:val="auto"/>
              </w:rPr>
            </w:pPr>
          </w:p>
        </w:tc>
      </w:tr>
      <w:tr>
        <w:trPr>
          <w:trHeight w:val="183"/>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(65.0)</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(65.4)</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(64.1)</w:t>
            </w:r>
          </w:p>
        </w:tc>
      </w:tr>
      <w:tr>
        <w:trPr>
          <w:trHeight w:val="183"/>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Gross margin</w:t>
            </w:r>
          </w:p>
        </w:tc>
        <w:tc>
          <w:tcPr>
            <w:tcW w:w="9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35.0</w:t>
            </w:r>
          </w:p>
        </w:tc>
        <w:tc>
          <w:tcPr>
            <w:tcW w:w="6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34.6</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60" w:type="dxa"/>
            <w:vAlign w:val="bottom"/>
            <w:tcBorders>
              <w:top w:val="single" w:sz="8" w:color="CCEEFF"/>
            </w:tcBorders>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400"/>
          </w:cols>
          <w:pgMar w:left="240" w:top="152" w:right="259" w:bottom="0" w:gutter="0" w:footer="0" w:header="0"/>
        </w:sectPr>
      </w:pPr>
    </w:p>
    <w:tbl>
      <w:tblPr>
        <w:tblLayout w:type="fixed"/>
        <w:tblInd w:w="3480" w:type="dxa"/>
        <w:tblCellMar>
          <w:top w:w="0" w:type="dxa"/>
          <w:left w:w="0" w:type="dxa"/>
          <w:bottom w:w="0" w:type="dxa"/>
          <w:right w:w="0" w:type="dxa"/>
        </w:tblCellMar>
      </w:tblPr>
      <w:tr>
        <w:trPr>
          <w:trHeight w:val="189"/>
        </w:trPr>
        <w:tc>
          <w:tcPr>
            <w:tcW w:w="256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2560" w:type="dxa"/>
            <w:vAlign w:val="bottom"/>
          </w:tcPr>
          <w:p>
            <w:pPr>
              <w:ind w:left="180"/>
              <w:spacing w:after="0"/>
              <w:rPr>
                <w:sz w:val="20"/>
                <w:szCs w:val="20"/>
                <w:color w:val="auto"/>
              </w:rPr>
            </w:pPr>
            <w:r>
              <w:rPr>
                <w:rFonts w:ascii="Arial" w:cs="Arial" w:eastAsia="Arial" w:hAnsi="Arial"/>
                <w:sz w:val="14"/>
                <w:szCs w:val="14"/>
                <w:b w:val="1"/>
                <w:bCs w:val="1"/>
                <w:color w:val="auto"/>
              </w:rPr>
              <w:t>expense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(24.0)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(25.9)</w:t>
            </w:r>
          </w:p>
        </w:tc>
      </w:tr>
      <w:tr>
        <w:trPr>
          <w:trHeight w:val="189"/>
        </w:trPr>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r>
    </w:tbl>
    <w:p>
      <w:pPr>
        <w:sectPr>
          <w:pgSz w:w="11900" w:h="16838" w:orient="portrait"/>
          <w:cols w:equalWidth="0" w:num="1">
            <w:col w:w="11400"/>
          </w:cols>
          <w:pgMar w:left="240" w:top="152" w:right="259" w:bottom="0" w:gutter="0" w:footer="0" w:header="0"/>
          <w:type w:val="continuous"/>
        </w:sectPr>
      </w:pPr>
    </w:p>
    <w:bookmarkStart w:id="18" w:name="page19"/>
    <w:bookmarkEnd w:id="18"/>
    <w:p>
      <w:pPr>
        <w:spacing w:after="0" w:line="1" w:lineRule="exact"/>
        <w:rPr>
          <w:sz w:val="20"/>
          <w:szCs w:val="20"/>
          <w:color w:val="auto"/>
        </w:rPr>
      </w:pPr>
    </w:p>
    <w:tbl>
      <w:tblPr>
        <w:tblLayout w:type="fixed"/>
        <w:tblInd w:w="348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Other income, net</w:t>
            </w: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0.5</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0.3</w:t>
            </w: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6"/>
                <w:szCs w:val="16"/>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(3.5)</w:t>
            </w:r>
          </w:p>
        </w:tc>
        <w:tc>
          <w:tcPr>
            <w:tcW w:w="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r>
      <w:tr>
        <w:trPr>
          <w:trHeight w:val="20"/>
        </w:trPr>
        <w:tc>
          <w:tcPr>
            <w:tcW w:w="2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32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6.2%</w:t>
            </w:r>
          </w:p>
        </w:tc>
      </w:tr>
      <w:tr>
        <w:trPr>
          <w:trHeight w:val="20"/>
        </w:trPr>
        <w:tc>
          <w:tcPr>
            <w:tcW w:w="2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Fiscal 2006 Compared With Fiscal 2005</w:t>
      </w:r>
    </w:p>
    <w:p>
      <w:pPr>
        <w:spacing w:after="0" w:line="45"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2006 were $1,836.0 million compared to $1,779.4 million in fiscal 2005, an increase of 3.2 percent.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Factoring out the effect of the additional sales from Hayter Limited (Hayter), which we acquired in February 2005, net sales increased 2.8 percent in fiscal 2006 compared to fiscal 2005. Net sales growth was primarily driven by:</w:t>
      </w:r>
    </w:p>
    <w:p>
      <w:pPr>
        <w:spacing w:after="0" w:line="16"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Strong international net sales that grew 12.6 percent as a result of the acquisition of Hayter as well as increased worldwide demand and new</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 introduced within the past two years.</w:t>
      </w:r>
    </w:p>
    <w:p>
      <w:pPr>
        <w:spacing w:after="0" w:line="23"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 price increases on some products.</w:t>
      </w:r>
    </w:p>
    <w:p>
      <w:pPr>
        <w:spacing w:after="0" w:line="63" w:lineRule="exact"/>
        <w:rPr>
          <w:rFonts w:ascii="Arial" w:cs="Arial" w:eastAsia="Arial" w:hAnsi="Arial"/>
          <w:sz w:val="18"/>
          <w:szCs w:val="18"/>
          <w:color w:val="auto"/>
        </w:rPr>
      </w:pPr>
    </w:p>
    <w:p>
      <w:pPr>
        <w:ind w:left="180" w:right="460" w:hanging="172"/>
        <w:spacing w:after="0" w:line="324" w:lineRule="auto"/>
        <w:tabs>
          <w:tab w:leader="none" w:pos="1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in most of the professional segment markets due to the success of introducing new products, strong retail demand, and growth in the worldwide golf market.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was:</w:t>
      </w:r>
    </w:p>
    <w:p>
      <w:pPr>
        <w:spacing w:after="0" w:line="23"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domestic residential segment net sales for most product lines primarily as a result of a slow down in consumer spending in the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 during the spring/summer season in 2006 for outdoor power equipment and unfavorable weather conditions.</w:t>
      </w:r>
    </w:p>
    <w:p>
      <w:pPr>
        <w:spacing w:after="0" w:line="23"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currency exchange rates that reduced our net sales by approximately $6.5 million.</w:t>
      </w:r>
    </w:p>
    <w:p>
      <w:pPr>
        <w:spacing w:after="0" w:line="63" w:lineRule="exact"/>
        <w:rPr>
          <w:sz w:val="20"/>
          <w:szCs w:val="20"/>
          <w:color w:val="auto"/>
        </w:rPr>
      </w:pPr>
    </w:p>
    <w:p>
      <w:pPr>
        <w:ind w:right="580" w:firstLine="180"/>
        <w:spacing w:after="0" w:line="277" w:lineRule="auto"/>
        <w:rPr>
          <w:sz w:val="20"/>
          <w:szCs w:val="20"/>
          <w:color w:val="auto"/>
        </w:rPr>
      </w:pPr>
      <w:r>
        <w:rPr>
          <w:rFonts w:ascii="Arial" w:cs="Arial" w:eastAsia="Arial" w:hAnsi="Arial"/>
          <w:sz w:val="18"/>
          <w:szCs w:val="18"/>
          <w:color w:val="auto"/>
        </w:rPr>
        <w:t>Looking ahead, we expect our net sales annual growth rate to be higher in fiscal 2007 compared to fiscal 2006, driven primarily by the introduction of new products and anticipated continued growth in our international businesses.</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4673B6"/>
        </w:rPr>
        <w:t xml:space="preserve">Gross Profit. </w:t>
      </w:r>
      <w:r>
        <w:rPr>
          <w:rFonts w:ascii="Arial" w:cs="Arial" w:eastAsia="Arial" w:hAnsi="Arial"/>
          <w:sz w:val="18"/>
          <w:szCs w:val="18"/>
          <w:color w:val="000000"/>
        </w:rPr>
        <w:t>Gross profit as a percentage of net sales increased by 0.4 percentage points from 34.6 percent in fiscal 2005 to 35.0 percent in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fiscal 2006. This increase was mainly the result of the following factors:</w:t>
      </w:r>
    </w:p>
    <w:p>
      <w:pPr>
        <w:spacing w:after="0" w:line="14"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higher proportionate share of professional segment sales that carry higher average gross margins than residential segment sales.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reduction efforts, including benefits from past and continuing profit improvement initiatives.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excess and obsolete parts inventory expense.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Hayter acquisition, which negatively impacted gross margins in fiscal 2005, due to the purchase accounting effect of recording the fair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value of the inventory acquired as the inventory was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rising commodity costs as well as higher freight costs due to higher fuel costs and an increase in demand for transportation.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gross margins for the new line of riding products in the residential segment.</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charge for customs duties.</w:t>
      </w:r>
    </w:p>
    <w:p>
      <w:pPr>
        <w:spacing w:after="0" w:line="63" w:lineRule="exact"/>
        <w:rPr>
          <w:sz w:val="20"/>
          <w:szCs w:val="20"/>
          <w:color w:val="auto"/>
        </w:rPr>
      </w:pPr>
    </w:p>
    <w:p>
      <w:pPr>
        <w:jc w:val="both"/>
        <w:ind w:right="140" w:firstLine="180"/>
        <w:spacing w:after="0" w:line="271" w:lineRule="auto"/>
        <w:rPr>
          <w:sz w:val="20"/>
          <w:szCs w:val="20"/>
          <w:color w:val="auto"/>
        </w:rPr>
      </w:pPr>
      <w:r>
        <w:rPr>
          <w:rFonts w:ascii="Arial" w:cs="Arial" w:eastAsia="Arial" w:hAnsi="Arial"/>
          <w:sz w:val="18"/>
          <w:szCs w:val="18"/>
          <w:color w:val="auto"/>
        </w:rPr>
        <w:t>Looking ahead, gross profit as a percentage of net sales for fiscal 2007 compared to fiscal 2006 is expected to remain the same or improve slightly. We anticipate that benefits from our ongoing profit improvement initiatives, driven by our emphasis on lean manufacturing, will in part offset anticipated higher costs of commodities.</w:t>
      </w:r>
    </w:p>
    <w:p>
      <w:pPr>
        <w:spacing w:after="0" w:line="7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4673B6"/>
        </w:rPr>
        <w:t xml:space="preserve">Selling, General, and Administrative (SG&amp;A) Expense. </w:t>
      </w:r>
      <w:r>
        <w:rPr>
          <w:rFonts w:ascii="Arial" w:cs="Arial" w:eastAsia="Arial" w:hAnsi="Arial"/>
          <w:sz w:val="18"/>
          <w:szCs w:val="18"/>
          <w:color w:val="000000"/>
        </w:rPr>
        <w:t>SG&amp;A expense increased 1.8 percent from fiscal 2005. SG&amp;A expense as a</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percentage of net sales decreased to 24.0 percent in fiscal 2006 compared to 24.3 percent in fiscal 2005. The decrease in SG&amp;A expense as a percentage of net sales was due primarily to the following factors:</w:t>
      </w:r>
    </w:p>
    <w:p>
      <w:pPr>
        <w:spacing w:after="0" w:line="15"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reduction in self-insurance costs due to favorable claims experience.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incentive compensation expense due mainly to less favorable financial results for our long-term incentive plans.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Leveraging the fixed portion of SG&amp;A costs over higher sales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decreases were:</w:t>
      </w:r>
    </w:p>
    <w:p>
      <w:pPr>
        <w:spacing w:after="0" w:line="23" w:lineRule="exact"/>
        <w:rPr>
          <w:sz w:val="20"/>
          <w:szCs w:val="20"/>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investments in engineering, marketing, service, and information systems as part of our “6 + 8: Teamwork to the Top” initiative.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warranty expense due mainly to special provisions for major product modifications and a product recall.</w:t>
      </w:r>
    </w:p>
    <w:p>
      <w:pPr>
        <w:spacing w:after="0" w:line="63"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Looking ahead, SG&amp;A expense is expected to increase, and as a percentage of net sales, SG&amp;A expense is expected to remain the same or decrease slightly in fiscal 2007 compared to fiscal 2006, as we expect to continue to increase our investments in engineering, marketing, and information systems.</w:t>
      </w:r>
    </w:p>
    <w:p>
      <w:pPr>
        <w:spacing w:after="0" w:line="74"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2006 slightly decreased by 0.3 percent compared to fiscal 2005 due to lower average levels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short-term debt, which was somewhat offset by higher average interest rates.</w:t>
      </w:r>
    </w:p>
    <w:p>
      <w:pPr>
        <w:spacing w:after="0" w:line="45" w:lineRule="exact"/>
        <w:rPr>
          <w:sz w:val="20"/>
          <w:szCs w:val="20"/>
          <w:color w:val="auto"/>
        </w:rPr>
      </w:pPr>
    </w:p>
    <w:p>
      <w:pPr>
        <w:jc w:val="both"/>
        <w:ind w:right="360"/>
        <w:spacing w:after="0" w:line="269"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consists mainly of interest income, financing income, litigation settlements and recoveries, currency</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exchange rate gains and losses, and equity losses from investments. Other income, net for fiscal 2006 increased $2.3 million compared to fiscal 2005. This increase was due mainly to the following factors:</w:t>
      </w:r>
    </w:p>
    <w:p>
      <w:pPr>
        <w:spacing w:after="0" w:line="15"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Currency exchange rate gains in fiscal 2006 compared to currency exchange rate losses in fiscal 2005.</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litigation settlement recoveries.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loss on the sale of a business in fiscal 2005.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2006 remained unchanged at 33.0 percent compared to fiscal 2005.</w:t>
      </w:r>
    </w:p>
    <w:p>
      <w:pPr>
        <w:spacing w:after="0" w:line="45" w:lineRule="exact"/>
        <w:rPr>
          <w:sz w:val="20"/>
          <w:szCs w:val="20"/>
          <w:color w:val="auto"/>
        </w:rPr>
      </w:pPr>
    </w:p>
    <w:p>
      <w:pPr>
        <w:ind w:firstLine="180"/>
        <w:spacing w:after="0" w:line="288" w:lineRule="auto"/>
        <w:rPr>
          <w:sz w:val="20"/>
          <w:szCs w:val="20"/>
          <w:color w:val="auto"/>
        </w:rPr>
      </w:pPr>
      <w:r>
        <w:rPr>
          <w:rFonts w:ascii="Arial" w:cs="Arial" w:eastAsia="Arial" w:hAnsi="Arial"/>
          <w:sz w:val="17"/>
          <w:szCs w:val="17"/>
          <w:color w:val="auto"/>
        </w:rPr>
        <w:t>Looking ahead, the tax rate for fiscal 2007 is expected to be approximately 33.5 percent. The American Jobs Creation Act of 2004 provides for a variety of changes in the tax law, including a phased elimination of the extra-territorial income (ETI) exclusion and the addition of a domestic manufacturing benefit. The ETI exclusion for foreign sales will be phased out over two years beginning in 2005. The deduction for income from qualified domestic production activities will be phased-in from 2005 through 2010. Similar to the ETI benefit, the domestic manufacturing benefit has no effect on deferred tax assets and liabilities existing at the enactment date. Rather, the impact of this deduction will</w:t>
      </w:r>
    </w:p>
    <w:p>
      <w:pPr>
        <w:sectPr>
          <w:pgSz w:w="11900" w:h="16838" w:orient="portrait"/>
          <w:cols w:equalWidth="0" w:num="1">
            <w:col w:w="11400"/>
          </w:cols>
          <w:pgMar w:left="240" w:top="140" w:right="259" w:bottom="0" w:gutter="0" w:footer="0" w:header="0"/>
        </w:sectPr>
      </w:pPr>
    </w:p>
    <w:bookmarkStart w:id="19" w:name="page20"/>
    <w:bookmarkEnd w:id="19"/>
    <w:p>
      <w:pPr>
        <w:spacing w:after="0" w:line="271" w:lineRule="auto"/>
        <w:rPr>
          <w:sz w:val="20"/>
          <w:szCs w:val="20"/>
          <w:color w:val="auto"/>
        </w:rPr>
      </w:pPr>
      <w:r>
        <w:rPr>
          <w:rFonts w:ascii="Arial" w:cs="Arial" w:eastAsia="Arial" w:hAnsi="Arial"/>
          <w:sz w:val="18"/>
          <w:szCs w:val="18"/>
          <w:color w:val="auto"/>
        </w:rPr>
        <w:t>be reported in the period in which the deduction is claimed on the federal income tax return. We anticipate that the net effect of the phase-out of the ETI and the phase-in of this new deduction should result in an increase of approximately 1 percent on our effective tax rate for fiscal 2007, which we expect will be somewhat offset by the extension of the research and development tax credit.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Fiscal 2005 Compared With Fiscal 2004</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2005 were $1,779.4 million compared to $1,652.5 million in fiscal 2004, an increase of 7.7 percent.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Factoring out the effect of our southeastern-based distributor sold in October 2004, our southwestern-based distributor sold in November 2004, and the additional sales from our acquisition of Hayter in February 2005, net sales increased 6.9 percent in fiscal 2005 compared to fiscal 2004. Net sales growth was primarily driven by:</w:t>
      </w:r>
    </w:p>
    <w:p>
      <w:pPr>
        <w:spacing w:after="0" w:line="16"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Strong international net sales that grew 29.1 percent as a result of the acquisition of Hayter as well as increased demand and new products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introduced within the past two years, particularly in the golf and residential markets.</w:t>
      </w:r>
    </w:p>
    <w:p>
      <w:pPr>
        <w:spacing w:after="0" w:line="23"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shipments to the golf and grounds and sports fields markets due to the success of introducing new products and strong retail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demand.</w:t>
      </w:r>
    </w:p>
    <w:p>
      <w:pPr>
        <w:spacing w:after="0" w:line="23"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shipments of new Lawn-Boy products due to additional placement in the home center distribution channel.</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 price increases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Favorable currency rates that contributed approximately 1 percent of the net sales growth for fiscal 2005. Excluding currency effects,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 net sales were up 23.8 percent for fiscal 2005.</w:t>
      </w:r>
    </w:p>
    <w:p>
      <w:pPr>
        <w:spacing w:after="0" w:line="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Somewhat offsetting the factors contributing to our net sales growth was a decline in domestic residential segment net sales for most product lines primarily as a result of strong competition and unfavorable weather conditions in key domestic markets.</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4673B6"/>
        </w:rPr>
        <w:t xml:space="preserve">Gross Profit. </w:t>
      </w:r>
      <w:r>
        <w:rPr>
          <w:rFonts w:ascii="Arial" w:cs="Arial" w:eastAsia="Arial" w:hAnsi="Arial"/>
          <w:sz w:val="18"/>
          <w:szCs w:val="18"/>
          <w:color w:val="000000"/>
        </w:rPr>
        <w:t>Gross profit as a percentage of net sales decreased by 1.3 percentage points from 35.9 percent in fiscal 2004 to 34.6 percent in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fiscal 2005. This decline was mainly the result of the following factors:</w:t>
      </w:r>
    </w:p>
    <w:p>
      <w:pPr>
        <w:spacing w:after="0" w:line="14"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costs for steel, steel-based component parts, resin, and other commodities.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sales of lower margin products, including the impact of Hayter product sales that carry lower margins.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excess and obsolete parts inventory expense.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Hayter acquisition that negatively impacted gross margins due to the purchase accounting effect of recording the fair value of the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 acquired as the inventory was sold.</w:t>
      </w:r>
    </w:p>
    <w:p>
      <w:pPr>
        <w:spacing w:after="0" w:line="23"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outbound freight costs due mainly to higher fuel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3"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 reduction efforts, including ongoing benefits from past and continuing profit improvement initiatives.</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4673B6"/>
        </w:rPr>
        <w:t xml:space="preserve">Selling, General, and Administrative Expense. </w:t>
      </w:r>
      <w:r>
        <w:rPr>
          <w:rFonts w:ascii="Arial" w:cs="Arial" w:eastAsia="Arial" w:hAnsi="Arial"/>
          <w:sz w:val="18"/>
          <w:szCs w:val="18"/>
          <w:color w:val="000000"/>
        </w:rPr>
        <w:t>SG&amp;A expense increased 1.1 percent from fiscal 2004. SG&amp;A expense as a percentage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net sales decreased to 24.3 percent in fiscal 2005 compared to 25.9 percent in fiscal 2004. The decrease in SG&amp;A expense as a percentage of net sales was due primarily to the following factors:</w:t>
      </w:r>
    </w:p>
    <w:p>
      <w:pPr>
        <w:spacing w:after="0" w:line="15"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incentive compensation expense in fiscal 2005 compared to fiscal 2004 as a result of the exceptional financial performance in fiscal</w:t>
      </w:r>
    </w:p>
    <w:p>
      <w:pPr>
        <w:spacing w:after="0" w:line="63" w:lineRule="exact"/>
        <w:rPr>
          <w:sz w:val="20"/>
          <w:szCs w:val="20"/>
          <w:color w:val="auto"/>
        </w:rPr>
      </w:pPr>
    </w:p>
    <w:p>
      <w:pPr>
        <w:ind w:left="180" w:right="380"/>
        <w:spacing w:after="0" w:line="262" w:lineRule="auto"/>
        <w:rPr>
          <w:sz w:val="20"/>
          <w:szCs w:val="20"/>
          <w:color w:val="auto"/>
        </w:rPr>
      </w:pPr>
      <w:r>
        <w:rPr>
          <w:rFonts w:ascii="Arial" w:cs="Arial" w:eastAsia="Arial" w:hAnsi="Arial"/>
          <w:sz w:val="18"/>
          <w:szCs w:val="18"/>
          <w:color w:val="auto"/>
        </w:rPr>
        <w:t>2004 relative to the established incentive goals as well as the impact of adopting Statement of Financial Accounting Standard (SFAS) No. 123R in fiscal 2005. In fiscal 2004, we accounted for stock-based compensation under the provisions of Accounting Principles Board Opinion No. 25, “Accounting for Stock Issued to Employees,” (APB No. 25), which resulted in higher compensation expense for our Performance Share Plan due to the increase in our stock price during fiscal 2004.</w:t>
      </w:r>
    </w:p>
    <w:p>
      <w:pPr>
        <w:spacing w:after="0" w:line="1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warranty expense due to lower costs for major product modifications in fiscal 2005 compared to fiscal 2004 as well as continued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lower claims experience on certain product lines.</w:t>
      </w:r>
    </w:p>
    <w:p>
      <w:pPr>
        <w:spacing w:after="0" w:line="23"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Leveraging the fixed portion of SG&amp;A costs over higher sales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cost decreases were:</w:t>
      </w:r>
    </w:p>
    <w:p>
      <w:pPr>
        <w:spacing w:after="0" w:line="23"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investments in engineering, marketing, and information systems as part of our “6 + 8” initiative.</w:t>
      </w:r>
    </w:p>
    <w:p>
      <w:pPr>
        <w:spacing w:after="0" w:line="63" w:lineRule="exact"/>
        <w:rPr>
          <w:rFonts w:ascii="Arial" w:cs="Arial" w:eastAsia="Arial" w:hAnsi="Arial"/>
          <w:sz w:val="18"/>
          <w:szCs w:val="18"/>
          <w:color w:val="auto"/>
        </w:rPr>
      </w:pPr>
    </w:p>
    <w:p>
      <w:pPr>
        <w:ind w:left="180" w:right="40" w:hanging="172"/>
        <w:spacing w:after="0" w:line="324" w:lineRule="auto"/>
        <w:tabs>
          <w:tab w:leader="none" w:pos="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administrative expenses, mainly from increased costs related to Sarbanes-Oxley Act of 2002 Section 404 internal controls compliance and higher bad debt expense due mainly to a recovery in fiscal 2004 of a previously written off note receivable.</w:t>
      </w:r>
    </w:p>
    <w:p>
      <w:pPr>
        <w:spacing w:after="0" w:line="27"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2005 increased 14.2 percent compared to fiscal 2004 due primarily to higher average levels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short-term debt as a result of increased stock repurchases and the acquisition of Hayter, as well as higher average interest rates.</w:t>
      </w:r>
    </w:p>
    <w:p>
      <w:pPr>
        <w:spacing w:after="0" w:line="45"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for fiscal 2005 increased $1.7 million compared to fiscal 2004. This increase was due mainly to lower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litigation settlement expense in fiscal 2005 compared to fiscal 2004.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2005 was unchanged from 33.0 percent in fiscal 2004.</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PERFORMANCE BY BUSINESS SEGMENT</w:t>
      </w:r>
    </w:p>
    <w:p>
      <w:pPr>
        <w:spacing w:after="0" w:line="4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As more fully described in Note 11 of the notes to consolidated financial statements, we operate in two reportable business segments: professional and residential. A third reportable segment called “other” consists of company-owned distributor operations in the United States, corporate activities, and financing functions. Effective as of the beginning of fiscal 2005, we combined our former distribution segment with the “other” segment because our distribution segment no longer met the quantitative thresholds for separate reporting as an operating segment for all periods presented. Prior periods have been reclassified to conform to the new presentation. Operating earnings for each of our two business</w:t>
      </w:r>
    </w:p>
    <w:p>
      <w:pPr>
        <w:sectPr>
          <w:pgSz w:w="11900" w:h="16838" w:orient="portrait"/>
          <w:cols w:equalWidth="0" w:num="1">
            <w:col w:w="11420"/>
          </w:cols>
          <w:pgMar w:left="240" w:top="152"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52" w:right="239" w:bottom="0" w:gutter="0" w:footer="0" w:header="0"/>
          <w:type w:val="continuous"/>
        </w:sectPr>
      </w:pPr>
    </w:p>
    <w:bookmarkStart w:id="20" w:name="page21"/>
    <w:bookmarkEnd w:id="20"/>
    <w:p>
      <w:pPr>
        <w:ind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segments is defined as earnings from operations plus other income, net. Operating loss for the “other” segment includes earnings (loss) from domestic wholly owned distribution company operations, corporate activities, including corporate financing activities, other income, and interest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Professional</w:t>
      </w:r>
    </w:p>
    <w:p>
      <w:pPr>
        <w:spacing w:after="0" w:line="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Professional segment net sales represented 67 percent, 64 percent, and 62 percent of consolidated net sales for fiscal 2006, 2005, and 2004, respectively. The following table shows the professional segment net sales, operating earnings, and operating earnings as a percent of net sales.</w:t>
      </w:r>
    </w:p>
    <w:p>
      <w:pPr>
        <w:spacing w:after="0" w:line="171"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1,224.8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227.7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207.4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professional segment in fiscal 2006 were up 6.9 percent compared to fiscal 2005 primarily as a result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the following factors:</w:t>
      </w:r>
    </w:p>
    <w:p>
      <w:pPr>
        <w:spacing w:after="0" w:line="14"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Worldwide shipments of most product lines increased, driven primarily by our success in introducing new products during the past two years.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Strong worldwide demand in the golf and sports field and grounds markets that resulted in higher equipment and irrigation product sales.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Significantly higher international net sales as a result of continued strong demand in the golf market and the acquisition of Hayter.</w:t>
      </w:r>
    </w:p>
    <w:p>
      <w:pPr>
        <w:spacing w:after="0" w:line="63"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Field inventory levels for the professional segment were slightly higher, but within our expectations as of the end of fiscal 2006 compared to the end of fiscal 2005. This was due in part to reduced orders and lower shipments of landscape contractor equipment products in the fourth quarter of fiscal 2006 compared to the fourth quarter of fiscal 2005.</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Worldwide net sales for the professional segment in fiscal 2005 were up 11.3 percent compared to fiscal 2004. Worldwide shipments of most product lines increased due to the successful introduction of new products and price increases introduced on some products. International professional segment net sales were up significantly due to the acquisition of Hayter, strong demand in the golf market, and a weaker U.S. dollar compared to the currencies in international markets where we conduct business.</w:t>
      </w:r>
    </w:p>
    <w:p>
      <w:pPr>
        <w:spacing w:after="0" w:line="1" w:lineRule="exact"/>
        <w:rPr>
          <w:sz w:val="20"/>
          <w:szCs w:val="20"/>
          <w:color w:val="auto"/>
        </w:rPr>
      </w:pPr>
    </w:p>
    <w:p>
      <w:pPr>
        <w:ind w:right="600" w:firstLine="180"/>
        <w:spacing w:after="0" w:line="277" w:lineRule="auto"/>
        <w:rPr>
          <w:sz w:val="20"/>
          <w:szCs w:val="20"/>
          <w:color w:val="auto"/>
        </w:rPr>
      </w:pPr>
      <w:r>
        <w:rPr>
          <w:rFonts w:ascii="Arial" w:cs="Arial" w:eastAsia="Arial" w:hAnsi="Arial"/>
          <w:sz w:val="18"/>
          <w:szCs w:val="18"/>
          <w:color w:val="auto"/>
        </w:rPr>
        <w:t>Looking ahead, net sales for the professional segment are expected to grow in fiscal 2007 compared to fiscal 2006 as we expect new products to be well received and increase our market share, and we anticipate continued growth in international markets.</w:t>
      </w:r>
    </w:p>
    <w:p>
      <w:pPr>
        <w:spacing w:after="0" w:line="6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professional segment in fiscal 2006 increased 9.8 percent compared to fiscal 2005.</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Expressed as a percentage of net sales, professional segment operating margins increased to 18.6 percent compared to 18.1 percent in fiscal 2005. The following factors impacted professional segment operating earnings:</w:t>
      </w:r>
    </w:p>
    <w:p>
      <w:pPr>
        <w:spacing w:after="0" w:line="15"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gross margins in fiscal 2006 compared to fiscal 2005 due to continued cost reduction efforts from profit improvement initiatives, price</w:t>
      </w:r>
    </w:p>
    <w:p>
      <w:pPr>
        <w:spacing w:after="0" w:line="63" w:lineRule="exact"/>
        <w:rPr>
          <w:sz w:val="20"/>
          <w:szCs w:val="20"/>
          <w:color w:val="auto"/>
        </w:rPr>
      </w:pPr>
    </w:p>
    <w:p>
      <w:pPr>
        <w:ind w:left="180" w:right="580"/>
        <w:spacing w:after="0" w:line="258" w:lineRule="auto"/>
        <w:rPr>
          <w:sz w:val="20"/>
          <w:szCs w:val="20"/>
          <w:color w:val="auto"/>
        </w:rPr>
      </w:pPr>
      <w:r>
        <w:rPr>
          <w:rFonts w:ascii="Arial" w:cs="Arial" w:eastAsia="Arial" w:hAnsi="Arial"/>
          <w:sz w:val="18"/>
          <w:szCs w:val="18"/>
          <w:color w:val="auto"/>
        </w:rPr>
        <w:t>increases on some products, and increased sales of higher margin products. However, higher commodity and freight costs somewhat tempered the increase in gross margins and operating earnings.</w:t>
      </w:r>
    </w:p>
    <w:p>
      <w:pPr>
        <w:spacing w:after="0" w:line="14"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SG&amp;A expense as a percentage of net sales was higher in fiscal 2006 compared to 2005 due to an increase in warranty expense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increased investments for marketing, engineering, and service.</w:t>
      </w:r>
    </w:p>
    <w:p>
      <w:pPr>
        <w:spacing w:after="0" w:line="23"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Operating earnings for the professional segment in fiscal 2005 increased 19.8 percent compared to fiscal 2004. Expressed as a percentage of net sales, professional segment operating margin increased to 18.1 percent in fiscal 2005 compared to 16.8 percent in fiscal 2004. The operating profit improvement was due mainly to higher gross margins as the result of cost reduction efforts from profit improvement initiatives, price increases on some products, increased sales of higher margin products, and lower manufacturing costs from increased plant utilization, somewhat offset by higher commodity costs. Lower SG&amp;A expense as a percentage of net sales also contributed to the operating earnings improvement due to leveraging the fixed portion of SG&amp;A costs over higher sales volumes.</w:t>
      </w:r>
    </w:p>
    <w:p>
      <w:pPr>
        <w:spacing w:after="0" w:line="1"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Looking ahead, professional segment operating earnings are anticipated to improve in fiscal 2007 compared to fiscal 2006 due to expected sales growth, slight improvement in gross margins, and leveraging of SG&amp;A expense over higher planned sales volumes.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Residential</w:t>
      </w:r>
    </w:p>
    <w:p>
      <w:pPr>
        <w:spacing w:after="0" w:line="4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Residential segment net sales represented 31 percent, 33 percent, and 34 percent of consolidated net sales for fiscal 2006, 2005, and 2004, respectively. The following table shows the residential segment net sales, operating earnings, and operating earnings as a percent of net sales.</w:t>
      </w:r>
    </w:p>
    <w:p>
      <w:pPr>
        <w:spacing w:after="0" w:line="141"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566.6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residential segment in fiscal 2006 were down 2.9 percent compared to fiscal 2005 primarily as a result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of the following factors:</w:t>
      </w:r>
    </w:p>
    <w:p>
      <w:pPr>
        <w:spacing w:after="0" w:line="14" w:lineRule="exact"/>
        <w:rPr>
          <w:sz w:val="20"/>
          <w:szCs w:val="20"/>
          <w:color w:val="auto"/>
        </w:rPr>
      </w:pPr>
    </w:p>
    <w:p>
      <w:pPr>
        <w:ind w:left="180" w:right="20" w:hanging="172"/>
        <w:spacing w:after="0" w:line="324" w:lineRule="auto"/>
        <w:tabs>
          <w:tab w:leader="none" w:pos="1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Lower sales of walk power mowers due to weakening domestic economic conditions and higher fuel prices during the spring/summer season in 2006 that resulted in lower consumer spending for outdoor power equipment.</w:t>
      </w:r>
    </w:p>
    <w:p>
      <w:pPr>
        <w:sectPr>
          <w:pgSz w:w="11900" w:h="16838" w:orient="portrait"/>
          <w:cols w:equalWidth="0" w:num="1">
            <w:col w:w="11380"/>
          </w:cols>
          <w:pgMar w:left="240" w:top="544" w:right="279" w:bottom="0" w:gutter="0" w:footer="0" w:header="0"/>
        </w:sectPr>
      </w:pPr>
    </w:p>
    <w:bookmarkStart w:id="21" w:name="page22"/>
    <w:bookmarkEnd w:id="21"/>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Decreased sales of snow throwers in the domestic market as a result of the lower levels of snow fall in the U.S. during the 2005-2006 winter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season.</w:t>
      </w:r>
    </w:p>
    <w:p>
      <w:pPr>
        <w:spacing w:after="0" w:line="23"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decline in retail irrigation product sales sold through the home center distribution channel due to unfavorable weather conditions in key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domestic markets and lost placement of certain models at a key retailer.</w:t>
      </w:r>
    </w:p>
    <w:p>
      <w:pPr>
        <w:spacing w:after="0" w:line="23"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electric trimmer product shipments due to a slow down of consumer spending and strong competition.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3"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worldwide shipments of riding products as we introduced new models and expanded product placement at a key retailer.</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international sales due to new product introductions, higher snow thrower product shipments due to heavy snow falls in Europe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2005-2006 winter season, and strong sales of Pope products in Australia.</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Worldwide net sales for the residential segment in fiscal 2005 were up by 5.2 percent compared to fiscal 2004. This increase was primarily due to higher shipments of walk power mowers, including in particular, the new Lawn-Boy products as a result of expanded product placement in the home center distribution channel. However, domestic shipments of Toro walk power mowers declined due mainly to a shift of some sales to the new line of Lawn-Boy walk power mowers. International residential segment sales increased significantly as a result of the acquisition of Hayter, introduction of new products, and a weaker U.S. dollar. Somewhat offsetting those increases were lower riding product and electric blower product shipments due to strong competition. In addition, retail irrigation product sales declined due to unfavorable weather conditions in key domestic markets.</w:t>
      </w:r>
    </w:p>
    <w:p>
      <w:pPr>
        <w:spacing w:after="0" w:line="1"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Looking ahead, residential segment net sales are expected to increase in fiscal 2007 compared to fiscal 2006 primarily as a result of anticipated growth in domestic riding product sales due to the introduction of new products and the anticipated growth of the zero-turning radius riding mower market. In addition, we anticipate continued growth in international markets as a result of planned new product introductions.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residential segment in fiscal 2006 decreased 32.0 percent compared to fiscal 2005.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Expressed as a percentage of net sales, residential segment operating margins declined to 6.0 percent compared to 8.6 percent in fiscal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impacted residential segment operating earnings:</w:t>
      </w:r>
    </w:p>
    <w:p>
      <w:pPr>
        <w:spacing w:after="0" w:line="23"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Lower gross margins as a result of higher costs for commodities combined with minimal price increases due to competitive conditions, lower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margins for the new line of riding products, higher freight expense, and a charge for customs duties.</w:t>
      </w:r>
    </w:p>
    <w:p>
      <w:pPr>
        <w:spacing w:after="0" w:line="23"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Higher SG&amp;A expense as a percentage of net sales due to lower sales volumes and an increase in warranty expense for a product recall.</w:t>
      </w:r>
    </w:p>
    <w:p>
      <w:pPr>
        <w:spacing w:after="0" w:line="63"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Operating earnings for the residential segment in fiscal 2005 decreased 18.8 percent compared to fiscal 2004. Expressed as a percentage of net sales, residential segment operating margins declined to 8.6 percent compared to 11.1 percent in fiscal 2004 mainly as a result of lower gross margins due to higher costs for commodities combined with minimal price increases due to competitive conditions, increased sales of lower margin products, higher manufacturing costs from lower plant utilization as we curtailed production to reduce inventory levels, and lower gross margins from sales of Hayter products. However, SG&amp;A expense as a percentage of net sales was lower due to reduced warranty expense for major product modifications in fiscal 2005 compared to fiscal 2004 as well as lower claims experience.</w:t>
      </w:r>
    </w:p>
    <w:p>
      <w:pPr>
        <w:spacing w:after="0" w:line="1" w:lineRule="exact"/>
        <w:rPr>
          <w:sz w:val="20"/>
          <w:szCs w:val="20"/>
          <w:color w:val="auto"/>
        </w:rPr>
      </w:pPr>
    </w:p>
    <w:p>
      <w:pPr>
        <w:ind w:right="160" w:firstLine="180"/>
        <w:spacing w:after="0" w:line="277" w:lineRule="auto"/>
        <w:rPr>
          <w:sz w:val="20"/>
          <w:szCs w:val="20"/>
          <w:color w:val="auto"/>
        </w:rPr>
      </w:pPr>
      <w:r>
        <w:rPr>
          <w:rFonts w:ascii="Arial" w:cs="Arial" w:eastAsia="Arial" w:hAnsi="Arial"/>
          <w:sz w:val="18"/>
          <w:szCs w:val="18"/>
          <w:color w:val="auto"/>
        </w:rPr>
        <w:t>Looking ahead, residential segment earnings in fiscal 2007 are expected to improve compared to fiscal 2006 due to an anticipated increase in gross margins for new products and leveraging SG&amp;A expense over higher planned sales volumes.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w:t>
      </w:r>
    </w:p>
    <w:p>
      <w:pPr>
        <w:spacing w:after="0" w:line="223"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2005</w:t>
            </w: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$ 44.6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 change from prior year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 (69.0)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Net sales for the other segment includes sales from our wholly owned domestic distribution companies less sales from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professional and residential segments to those distribution companies. In addition, elimination of the professional and residential segments’ floor plan interest costs from the Toro Credit Company are also included in this segment. The other segment net sales in fiscal 2006 decreased 12.1 percent compared to fiscal 2005 due to lower sales at our company-owned distributors as a result of the change in the method of product distribution (to shipping our Exmark product directly to dealers) that impacted the territory served by our Midwestern distributorship.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180"/>
        <w:spacing w:after="0" w:line="277" w:lineRule="auto"/>
        <w:rPr>
          <w:sz w:val="20"/>
          <w:szCs w:val="20"/>
          <w:color w:val="auto"/>
        </w:rPr>
      </w:pPr>
      <w:r>
        <w:rPr>
          <w:rFonts w:ascii="Arial" w:cs="Arial" w:eastAsia="Arial" w:hAnsi="Arial"/>
          <w:sz w:val="18"/>
          <w:szCs w:val="18"/>
          <w:color w:val="auto"/>
        </w:rPr>
        <w:t>The other segment net sales in fiscal 2005 decreased 26.7 percent compared to fiscal 2004 due to the sale of two distribution companies in the fourth calendar quarter of 2004.</w:t>
      </w:r>
    </w:p>
    <w:p>
      <w:pPr>
        <w:spacing w:after="0" w:line="40"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b w:val="1"/>
          <w:bCs w:val="1"/>
          <w:i w:val="1"/>
          <w:iCs w:val="1"/>
          <w:color w:val="4673B6"/>
        </w:rPr>
        <w:t xml:space="preserve">Operating Loss. </w:t>
      </w:r>
      <w:r>
        <w:rPr>
          <w:rFonts w:ascii="Arial" w:cs="Arial" w:eastAsia="Arial" w:hAnsi="Arial"/>
          <w:sz w:val="18"/>
          <w:szCs w:val="18"/>
          <w:color w:val="000000"/>
        </w:rPr>
        <w:t>Operating loss for the other segment in fiscal 2006 decreased by 20.9 percent compared to fiscal 2005. This loss decrease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was primarily the result of lower incentive compensation expense, a reduction in self-insurance costs, and currency exchange rate gains in fiscal 2006 compared to currency exchange rate losses in fiscal 2005.</w:t>
      </w:r>
    </w:p>
    <w:p>
      <w:pPr>
        <w:spacing w:after="0" w:line="2" w:lineRule="exact"/>
        <w:rPr>
          <w:sz w:val="20"/>
          <w:szCs w:val="20"/>
          <w:color w:val="auto"/>
        </w:rPr>
      </w:pPr>
    </w:p>
    <w:p>
      <w:pPr>
        <w:ind w:right="280" w:firstLine="180"/>
        <w:spacing w:after="0" w:line="271" w:lineRule="auto"/>
        <w:rPr>
          <w:sz w:val="20"/>
          <w:szCs w:val="20"/>
          <w:color w:val="auto"/>
        </w:rPr>
      </w:pPr>
      <w:r>
        <w:rPr>
          <w:rFonts w:ascii="Arial" w:cs="Arial" w:eastAsia="Arial" w:hAnsi="Arial"/>
          <w:sz w:val="18"/>
          <w:szCs w:val="18"/>
          <w:color w:val="auto"/>
        </w:rPr>
        <w:t>Operating loss for the other segment in fiscal 2005 increased by 6.9 percent compared to fiscal 2004. This loss increase was primarily the result of higher administrative expenses, mainly for information systems and Sarbanes-Oxley Act of 2002 Section 404 internal controls compliance costs, and higher interest expense, somewhat offset by lower incentive compensation costs, as previously described.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Working Capital</w:t>
      </w:r>
    </w:p>
    <w:p>
      <w:pPr>
        <w:sectPr>
          <w:pgSz w:w="11900" w:h="16838" w:orient="portrait"/>
          <w:cols w:equalWidth="0" w:num="1">
            <w:col w:w="11420"/>
          </w:cols>
          <w:pgMar w:left="240" w:top="152" w:right="239" w:bottom="0" w:gutter="0" w:footer="0" w:header="0"/>
        </w:sectPr>
      </w:pPr>
    </w:p>
    <w:p>
      <w:pPr>
        <w:spacing w:after="0" w:line="4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Our financial condition remains strong. Our average working capital for fiscal 2006 was $337.9 million compared to $309.2 million in fiscal 2005, an increase of 9.2 percent. This increase was due mainly to lower average short-term debt.</w:t>
      </w:r>
    </w:p>
    <w:p>
      <w:pPr>
        <w:ind w:left="18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ectPr>
          <w:pgSz w:w="11900" w:h="16838" w:orient="portrait"/>
          <w:cols w:equalWidth="0" w:num="1">
            <w:col w:w="11420"/>
          </w:cols>
          <w:pgMar w:left="240" w:top="152" w:right="239" w:bottom="0" w:gutter="0" w:footer="0" w:header="0"/>
          <w:type w:val="continuous"/>
        </w:sectPr>
      </w:pPr>
    </w:p>
    <w:bookmarkStart w:id="22" w:name="page23"/>
    <w:bookmarkEnd w:id="22"/>
    <w:tbl>
      <w:tblPr>
        <w:tblLayout w:type="fixed"/>
        <w:tblInd w:w="3460" w:type="dxa"/>
        <w:tblCellMar>
          <w:top w:w="0" w:type="dxa"/>
          <w:left w:w="0" w:type="dxa"/>
          <w:bottom w:w="0" w:type="dxa"/>
          <w:right w:w="0" w:type="dxa"/>
        </w:tblCellMar>
      </w:tblPr>
      <w:tr>
        <w:trPr>
          <w:trHeight w:val="204"/>
        </w:trPr>
        <w:tc>
          <w:tcPr>
            <w:tcW w:w="27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9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  30.4</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31.7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Average short-term debt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43.4</w:t>
            </w:r>
          </w:p>
        </w:tc>
        <w:tc>
          <w:tcPr>
            <w:tcW w:w="560" w:type="dxa"/>
            <w:vAlign w:val="bottom"/>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263.9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375.9</w:t>
            </w:r>
          </w:p>
        </w:tc>
        <w:tc>
          <w:tcPr>
            <w:tcW w:w="560" w:type="dxa"/>
            <w:vAlign w:val="bottom"/>
          </w:tcPr>
          <w:p>
            <w:pPr>
              <w:jc w:val="right"/>
              <w:spacing w:after="0"/>
              <w:rPr>
                <w:sz w:val="20"/>
                <w:szCs w:val="20"/>
                <w:color w:val="auto"/>
              </w:rPr>
            </w:pPr>
            <w:r>
              <w:rPr>
                <w:rFonts w:ascii="Arial" w:cs="Arial" w:eastAsia="Arial" w:hAnsi="Arial"/>
                <w:sz w:val="14"/>
                <w:szCs w:val="14"/>
                <w:color w:val="auto"/>
              </w:rPr>
              <w:t>374.1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receivables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Average inventory turnover</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4.52x</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4.47x</w:t>
            </w: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Average short-term debt decreased in fiscal 2006 compared to fiscal 2005 primarily because we purchased Hayter and more shares of our common stock during fiscal 2005 compared to fiscal 2006. Average receivables, net increased slightly in fiscal 2006 compared to fiscal 2005 due to higher sales volumes; however, average days outstanding for receivables decreased to 75 days in fiscal 2006 compared to 77 days in fiscal 2005. Average net inventories increased slightly by 1.3 percent in fiscal 2006 compared to fiscal 2005; however, average inventory turnover improved slightly by 1.1 percent in fiscal 2006 compared to fiscal 2005. These favorable changes were driven by efforts to improve asset management.</w:t>
      </w:r>
    </w:p>
    <w:p>
      <w:pPr>
        <w:spacing w:after="0" w:line="1" w:lineRule="exact"/>
        <w:rPr>
          <w:sz w:val="20"/>
          <w:szCs w:val="20"/>
          <w:color w:val="auto"/>
        </w:rPr>
      </w:pPr>
    </w:p>
    <w:p>
      <w:pPr>
        <w:ind w:right="360" w:firstLine="180"/>
        <w:spacing w:after="0" w:line="270" w:lineRule="auto"/>
        <w:rPr>
          <w:sz w:val="20"/>
          <w:szCs w:val="20"/>
          <w:color w:val="auto"/>
        </w:rPr>
      </w:pPr>
      <w:r>
        <w:rPr>
          <w:rFonts w:ascii="Arial" w:cs="Arial" w:eastAsia="Arial" w:hAnsi="Arial"/>
          <w:sz w:val="18"/>
          <w:szCs w:val="18"/>
          <w:color w:val="auto"/>
        </w:rPr>
        <w:t>We expect that average receivables, net in fiscal 2007 will increase compared to fiscal 2006 due to higher planned sales volumes, while average inventories, net are expected to decrease in fiscal 2007 compared to fiscal 2006. We anticipate both average days outstanding for receivables and average inventory turnover to slightly improve in fiscal 2007 compared to fiscal 2006 as we plan to continue our efforts to improve asset utilization.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Expenditures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 Long-Term Assets</w:t>
      </w:r>
    </w:p>
    <w:p>
      <w:pPr>
        <w:spacing w:after="0" w:line="1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Fiscal 2006 capital expenditures of $39.9 million were 6.6 percent higher compared to fiscal 2005. This increase was primarily attributable to production equipment and tooling expenditures for new products. Capital expenditures for fiscal 2007 are anticipated to be approximately $5 to $10 million higher than fiscal 2006 as we plan to continue to invest in manufacturing equipment and tooling for new products.</w:t>
      </w:r>
    </w:p>
    <w:p>
      <w:pPr>
        <w:spacing w:after="0" w:line="1" w:lineRule="exact"/>
        <w:rPr>
          <w:sz w:val="20"/>
          <w:szCs w:val="20"/>
          <w:color w:val="auto"/>
        </w:rPr>
      </w:pPr>
    </w:p>
    <w:p>
      <w:pPr>
        <w:ind w:right="280" w:firstLine="180"/>
        <w:spacing w:after="0" w:line="277" w:lineRule="auto"/>
        <w:rPr>
          <w:sz w:val="20"/>
          <w:szCs w:val="20"/>
          <w:color w:val="auto"/>
        </w:rPr>
      </w:pPr>
      <w:r>
        <w:rPr>
          <w:rFonts w:ascii="Arial" w:cs="Arial" w:eastAsia="Arial" w:hAnsi="Arial"/>
          <w:sz w:val="18"/>
          <w:szCs w:val="18"/>
          <w:color w:val="auto"/>
        </w:rPr>
        <w:t>Long-term assets as of October 31, 2006 were $264.9 million compared to $269.7 million as of October 31, 2005, a slight decrease of 1.8 percent.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Structure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179"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3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8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   0.3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175.0</w:t>
            </w:r>
          </w:p>
        </w:tc>
        <w:tc>
          <w:tcPr>
            <w:tcW w:w="560" w:type="dxa"/>
            <w:vAlign w:val="bottom"/>
          </w:tcPr>
          <w:p>
            <w:pPr>
              <w:jc w:val="right"/>
              <w:spacing w:after="0"/>
              <w:rPr>
                <w:sz w:val="20"/>
                <w:szCs w:val="20"/>
                <w:color w:val="auto"/>
              </w:rPr>
            </w:pPr>
            <w:r>
              <w:rPr>
                <w:rFonts w:ascii="Arial" w:cs="Arial" w:eastAsia="Arial" w:hAnsi="Arial"/>
                <w:sz w:val="14"/>
                <w:szCs w:val="14"/>
                <w:color w:val="auto"/>
              </w:rPr>
              <w:t>175.0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392.0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Our debt-to-capitalization ratio was slightly lower in fiscal 2006 compared to fiscal 2005 due mainly to an increase in stockholders’ equity as a result of higher net earnings in fiscal 2006 compared to fiscal 2005.</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Liquidity and Capital Resources</w:t>
      </w:r>
    </w:p>
    <w:p>
      <w:pPr>
        <w:spacing w:after="0" w:line="40"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combination of funds available through existing or anticipated financing arrangements and forecasted cash flows will be sufficient to provide the necessary capital resources for our anticipated working capital needs, capital expenditures, debt repayments, quarterly cash dividend payments, and stock repurchases for at least the next twelve months.</w:t>
      </w:r>
    </w:p>
    <w:p>
      <w:pPr>
        <w:spacing w:after="0" w:line="1" w:lineRule="exact"/>
        <w:rPr>
          <w:sz w:val="20"/>
          <w:szCs w:val="20"/>
          <w:color w:val="auto"/>
        </w:rPr>
      </w:pPr>
    </w:p>
    <w:p>
      <w:pPr>
        <w:ind w:right="500" w:firstLine="180"/>
        <w:spacing w:after="0" w:line="277" w:lineRule="auto"/>
        <w:rPr>
          <w:sz w:val="20"/>
          <w:szCs w:val="20"/>
          <w:color w:val="auto"/>
        </w:rPr>
      </w:pPr>
      <w:r>
        <w:rPr>
          <w:rFonts w:ascii="Arial" w:cs="Arial" w:eastAsia="Arial" w:hAnsi="Arial"/>
          <w:sz w:val="18"/>
          <w:szCs w:val="18"/>
          <w:color w:val="auto"/>
        </w:rPr>
        <w:t>We have $75 million of notes due on June 15, 2007 that are classified as long-term debt as we are in the process of evaluating several alternatives for replacing this debt, including refinancing the obligation on a long-term basis using funds available under our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current credit facilities. We believe we will obtain cost effective financing in advance of the repayment date for the notes.</w:t>
      </w:r>
    </w:p>
    <w:p>
      <w:pPr>
        <w:spacing w:after="0" w:line="23" w:lineRule="exact"/>
        <w:rPr>
          <w:sz w:val="20"/>
          <w:szCs w:val="20"/>
          <w:color w:val="auto"/>
        </w:rPr>
      </w:pPr>
    </w:p>
    <w:p>
      <w:pPr>
        <w:ind w:right="240" w:firstLine="180"/>
        <w:spacing w:after="0" w:line="271" w:lineRule="auto"/>
        <w:rPr>
          <w:sz w:val="20"/>
          <w:szCs w:val="20"/>
          <w:color w:val="auto"/>
        </w:rPr>
      </w:pPr>
      <w:r>
        <w:rPr>
          <w:rFonts w:ascii="Arial" w:cs="Arial" w:eastAsia="Arial" w:hAnsi="Arial"/>
          <w:sz w:val="18"/>
          <w:szCs w:val="18"/>
          <w:color w:val="auto"/>
        </w:rPr>
        <w:t>Each quarter in fiscal 2006, our Board of Directors declared a cash dividend of $0.09 per share, which was a 50 percent increase over our cash dividend of $0.06 per share paid each quarter in fiscal 2005. Our Board of Directors recently increased our first quarter of fiscal 2007 quarterly cash dividend by 33 percent to $0.12 per share from the quarterly cash dividend paid in the first quarter of fiscal 2006.</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Flow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00" w:type="dxa"/>
            <w:vAlign w:val="bottom"/>
            <w:tcBorders>
              <w:top w:val="single" w:sz="8" w:color="auto"/>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Cash Provided by (Used in)</w:t>
            </w:r>
          </w:p>
        </w:tc>
        <w:tc>
          <w:tcPr>
            <w:tcW w:w="80" w:type="dxa"/>
            <w:vAlign w:val="bottom"/>
          </w:tcPr>
          <w:p>
            <w:pPr>
              <w:spacing w:after="0"/>
              <w:rPr>
                <w:sz w:val="17"/>
                <w:szCs w:val="17"/>
                <w:color w:val="auto"/>
              </w:rPr>
            </w:pPr>
          </w:p>
        </w:tc>
      </w:tr>
      <w:tr>
        <w:trPr>
          <w:trHeight w:val="183"/>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5"/>
                <w:szCs w:val="15"/>
                <w:color w:val="auto"/>
              </w:rPr>
            </w:pPr>
          </w:p>
        </w:tc>
      </w:tr>
      <w:tr>
        <w:trPr>
          <w:trHeight w:val="183"/>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80" w:type="dxa"/>
            <w:vAlign w:val="bottom"/>
            <w:shd w:val="clear" w:color="auto" w:fill="CCEEFF"/>
          </w:tcPr>
          <w:p>
            <w:pPr>
              <w:spacing w:after="0"/>
              <w:rPr>
                <w:sz w:val="15"/>
                <w:szCs w:val="15"/>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(68.4)</w:t>
            </w:r>
          </w:p>
        </w:tc>
        <w:tc>
          <w:tcPr>
            <w:tcW w:w="1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(38.3)</w:t>
            </w: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(138.2)</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(166.2)</w:t>
            </w:r>
          </w:p>
        </w:tc>
      </w:tr>
      <w:tr>
        <w:trPr>
          <w:trHeight w:val="189"/>
        </w:trPr>
        <w:tc>
          <w:tcPr>
            <w:tcW w:w="2540" w:type="dxa"/>
            <w:vAlign w:val="bottom"/>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1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0.1</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r>
      <w:tr>
        <w:trPr>
          <w:trHeight w:val="20"/>
        </w:trPr>
        <w:tc>
          <w:tcPr>
            <w:tcW w:w="2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3"/>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(used)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(19.5)</w:t>
            </w:r>
          </w:p>
        </w:tc>
      </w:tr>
      <w:tr>
        <w:trPr>
          <w:trHeight w:val="183"/>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2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fiscal year end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80" w:type="dxa"/>
            <w:vAlign w:val="bottom"/>
          </w:tcPr>
          <w:p>
            <w:pPr>
              <w:spacing w:after="0"/>
              <w:rPr>
                <w:sz w:val="16"/>
                <w:szCs w:val="16"/>
                <w:color w:val="auto"/>
              </w:rPr>
            </w:pPr>
          </w:p>
        </w:tc>
      </w:tr>
    </w:tbl>
    <w:p>
      <w:pPr>
        <w:sectPr>
          <w:pgSz w:w="11900" w:h="16838" w:orient="portrait"/>
          <w:cols w:equalWidth="0" w:num="1">
            <w:col w:w="11400"/>
          </w:cols>
          <w:pgMar w:left="240" w:top="120" w:right="259" w:bottom="36" w:gutter="0" w:footer="0" w:header="0"/>
        </w:sectPr>
      </w:pPr>
    </w:p>
    <w:bookmarkStart w:id="23" w:name="page24"/>
    <w:bookmarkEnd w:id="23"/>
    <w:p>
      <w:pPr>
        <w:ind w:right="100"/>
        <w:spacing w:after="0" w:line="284" w:lineRule="auto"/>
        <w:rPr>
          <w:sz w:val="20"/>
          <w:szCs w:val="20"/>
          <w:color w:val="auto"/>
        </w:rPr>
      </w:pPr>
      <w:r>
        <w:rPr>
          <w:rFonts w:ascii="Arial" w:cs="Arial" w:eastAsia="Arial" w:hAnsi="Arial"/>
          <w:sz w:val="18"/>
          <w:szCs w:val="18"/>
          <w:b w:val="1"/>
          <w:bCs w:val="1"/>
          <w:i w:val="1"/>
          <w:iCs w:val="1"/>
          <w:color w:val="4673B6"/>
        </w:rPr>
        <w:t xml:space="preserve">Cash Flows Provided by Operating Activities. </w:t>
      </w:r>
      <w:r>
        <w:rPr>
          <w:rFonts w:ascii="Arial" w:cs="Arial" w:eastAsia="Arial" w:hAnsi="Arial"/>
          <w:sz w:val="18"/>
          <w:szCs w:val="18"/>
          <w:color w:val="000000"/>
        </w:rPr>
        <w:t>Our primary source of funds is cash generated from operations. In fiscal 2006, cash provided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by operating activities increased by 9.3 percent from fiscal 2005. This increase was due primarily to higher net earnings in fiscal 2006 compared to fiscal 2005.</w:t>
      </w:r>
    </w:p>
    <w:p>
      <w:pPr>
        <w:spacing w:after="0" w:line="4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4673B6"/>
        </w:rPr>
        <w:t xml:space="preserve">Cash Flows Used in Investing Activities. </w:t>
      </w:r>
      <w:r>
        <w:rPr>
          <w:rFonts w:ascii="Arial" w:cs="Arial" w:eastAsia="Arial" w:hAnsi="Arial"/>
          <w:sz w:val="18"/>
          <w:szCs w:val="18"/>
          <w:color w:val="000000"/>
        </w:rPr>
        <w:t>Capital expenditures and acquisitions are our primary uses of capital resources. These investments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have enabled our sales growth in diverse and new markets, helped us to meet product demand, and increased our manufacturing efficiencies. Cash used in investing activities decreased 44.4 percent in fiscal 2006 compared to fiscal 2005 due mainly to cash used in fiscal 2005 for the purchase of Hayter, somewhat offset by an increase in purchases of property, plant, and equipment in fiscal 2006 compared to fiscal 2005.</w:t>
      </w:r>
    </w:p>
    <w:p>
      <w:pPr>
        <w:spacing w:after="0" w:line="6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4673B6"/>
        </w:rPr>
        <w:t xml:space="preserve">Cash Flows Used in Financing Activities. </w:t>
      </w:r>
      <w:r>
        <w:rPr>
          <w:rFonts w:ascii="Arial" w:cs="Arial" w:eastAsia="Arial" w:hAnsi="Arial"/>
          <w:sz w:val="18"/>
          <w:szCs w:val="18"/>
          <w:color w:val="000000"/>
        </w:rPr>
        <w:t>Cash used in financing activities was lower by 10.5 percent in fiscal 2006 compared to fiscal 2005.</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This decline was primarily driven by higher levels of funds used to purchase our common stock in fiscal 2005 compared to fiscal 2006 and an increase in tax benefits for stock-based awards in fiscal 2006 compared to fiscal 2005. This decline was somewhat offset by higher cash dividends paid on Toro common stock in fiscal 2006 compared to fiscal 2005.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Credit Lines and Other Capital Resources</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October 2010. Interest expense on this credit line is determined based on a LIBOR rate plus a basis point spread defined in the credit agreement. In addition, our non-U.S. operations and a domestic subsidiary also maintain unsecured short-term lines of credit of approximately $17 million. These facilities bear interest at various rates depending on the rates in their respective countries of operation. We also have a letter of credit subfacility as part of our credit agreement. Average short-term debt was $43.4 million in fiscal 2006 compared to $63.4 million in fiscal 2005, a decrease of $20.0 million. This decline was primarily attributable to cash used in fiscal 2005 for the acquisition of Hayter and significant stock repurchases. As of October 31, 2006, we had $191.6 million of unutilized availability under our credit agreements.</w:t>
      </w:r>
    </w:p>
    <w:p>
      <w:pPr>
        <w:spacing w:after="0" w:line="2" w:lineRule="exact"/>
        <w:rPr>
          <w:sz w:val="20"/>
          <w:szCs w:val="20"/>
          <w:color w:val="auto"/>
        </w:rPr>
      </w:pPr>
    </w:p>
    <w:p>
      <w:pPr>
        <w:ind w:firstLine="180"/>
        <w:spacing w:after="0" w:line="267" w:lineRule="auto"/>
        <w:rPr>
          <w:sz w:val="20"/>
          <w:szCs w:val="20"/>
          <w:color w:val="auto"/>
        </w:rPr>
      </w:pPr>
      <w:r>
        <w:rPr>
          <w:rFonts w:ascii="Arial" w:cs="Arial" w:eastAsia="Arial" w:hAnsi="Arial"/>
          <w:sz w:val="18"/>
          <w:szCs w:val="18"/>
          <w:color w:val="auto"/>
        </w:rPr>
        <w:t>Significant financial covenants in our credit agreement are interest coverage and debt-to-capitalization ratios. We were in compliance with all covenants related to our credit agreement as of October 31, 2006, and expect to be in compliance with all covenants during fiscal 2007. Our credit agreement requires compliance with all of the covenants defined in the agreement. If we were out of compliance with any debt covenant required by our credit agreement,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 If our credit rating falls below investment grade, the interest rate we currently pay on outstanding debt under the credit agreement would increase, but the credit commitment could not be cancelled by the banks based solely on a ratings downgrade. Our long-term unsecured senior, non-credit enhanced debt is rated by Standard and Poor’s Ratings Group at BBB- and by Moody’s Investors Service at Baa3, which is unchanged from the rates in fiscal 2005.</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Share Repurchase Plan</w:t>
      </w:r>
    </w:p>
    <w:p>
      <w:pPr>
        <w:spacing w:after="0" w:line="4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During fiscal 2006, we continued our emphasis on repurchasing shares of our common stock as a means of utilizing excess cash and reducing our shares outstanding. In addition, our repurchase programs provided shares for use in connection with our equity compensation programs. In July 2006, our Board of Directors authorized the repurchase of up to an additional 3,000,000 shares of our common stock in open-market or privately negotiated transactions. This repurchase authorization has no expiration date but may be terminated by our Board of Directors at any time. As 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2006, 1,476,904 shares remained available for repurchase under our Board authorization.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84"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except per share data)</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Shares of common stock</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purchased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3,369,285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3,922,805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5,270,814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4"/>
                <w:szCs w:val="14"/>
                <w:b w:val="1"/>
                <w:bCs w:val="1"/>
                <w:color w:val="auto"/>
              </w:rPr>
              <w:t>Cost to repurchase common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146.5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157.0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Off-Balance Sheet Arrangements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Contractual Obligations</w:t>
      </w:r>
    </w:p>
    <w:p>
      <w:pPr>
        <w:spacing w:after="0" w:line="16"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We do not customarily enter into off-balance sheet arrangements, except for off-balance sheet arrangements related to our customer financing activities, inventory purchase commitments, operating lease commitments, and currency contracts disclosed in the contractual obligations table below. Moreover, it is not our normal policy to issue guarantees to third parties.</w:t>
      </w:r>
    </w:p>
    <w:p>
      <w:pPr>
        <w:spacing w:after="0" w:line="20"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4673B6"/>
        </w:rPr>
        <w:t xml:space="preserve">Wholesale Financing. </w:t>
      </w:r>
      <w:r>
        <w:rPr>
          <w:rFonts w:ascii="Arial" w:cs="Arial" w:eastAsia="Arial" w:hAnsi="Arial"/>
          <w:sz w:val="18"/>
          <w:szCs w:val="18"/>
          <w:color w:val="000000"/>
        </w:rPr>
        <w:t>Toro Credit Company (TCC), a wholly owned financing subsidiary, provides financing for our North American Toro</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distributors and approximately 200 of our domestic dealers for select products that we manufacture. Independent North American Toro and Exmark distributors and dealers that do not finance through TCC generally finance their inventories with third party financing companies. All outstanding receivables of TCC are reflected in our consolidated balance sheets.</w:t>
      </w:r>
    </w:p>
    <w:p>
      <w:pPr>
        <w:spacing w:after="0" w:line="2" w:lineRule="exact"/>
        <w:rPr>
          <w:sz w:val="20"/>
          <w:szCs w:val="20"/>
          <w:color w:val="auto"/>
        </w:rPr>
      </w:pPr>
    </w:p>
    <w:p>
      <w:pPr>
        <w:ind w:right="20" w:firstLine="180"/>
        <w:spacing w:after="0" w:line="287" w:lineRule="auto"/>
        <w:rPr>
          <w:sz w:val="20"/>
          <w:szCs w:val="20"/>
          <w:color w:val="auto"/>
        </w:rPr>
      </w:pPr>
      <w:r>
        <w:rPr>
          <w:rFonts w:ascii="Arial" w:cs="Arial" w:eastAsia="Arial" w:hAnsi="Arial"/>
          <w:sz w:val="17"/>
          <w:szCs w:val="17"/>
          <w:color w:val="auto"/>
        </w:rPr>
        <w:t>TCC and other third party financing companies purchase selected receivables from us and our distributors and dealers for extended periods that assist our distributors and dealers in carrying representative inventories of products. Down payments are not required and, depending on the finance program for each product line, finance charges are incurred by us, shared between us and the distributor and/or the dealer, or paid by the distributor or dealer. We retain a security interest in the distributors’ and dealers’ inventories, and make periodic physical checks of those inventories. Under the sales terms to distributors and dealers, finance charges are applied to outstanding balances from the earlier of the date when product is sold to a customer, or the expiration of company-supported finance terms granted at the time of sale, until payment is received</w:t>
      </w:r>
    </w:p>
    <w:p>
      <w:pPr>
        <w:sectPr>
          <w:pgSz w:w="11900" w:h="16838" w:orient="portrait"/>
          <w:cols w:equalWidth="0" w:num="1">
            <w:col w:w="11420"/>
          </w:cols>
          <w:pgMar w:left="240" w:top="130" w:right="239" w:bottom="0" w:gutter="0" w:footer="0" w:header="0"/>
        </w:sectPr>
      </w:pPr>
    </w:p>
    <w:bookmarkStart w:id="24" w:name="page25"/>
    <w:bookmarkEnd w:id="24"/>
    <w:p>
      <w:pPr>
        <w:ind w:right="40"/>
        <w:spacing w:after="0" w:line="266" w:lineRule="auto"/>
        <w:rPr>
          <w:sz w:val="20"/>
          <w:szCs w:val="20"/>
          <w:color w:val="auto"/>
        </w:rPr>
      </w:pPr>
      <w:r>
        <w:rPr>
          <w:rFonts w:ascii="Arial" w:cs="Arial" w:eastAsia="Arial" w:hAnsi="Arial"/>
          <w:sz w:val="18"/>
          <w:szCs w:val="18"/>
          <w:color w:val="auto"/>
        </w:rPr>
        <w:t>by TCC or the third party finance company. Rates are generally fixed or based on the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1" w:lineRule="exact"/>
        <w:rPr>
          <w:sz w:val="20"/>
          <w:szCs w:val="20"/>
          <w:color w:val="auto"/>
        </w:rPr>
      </w:pPr>
    </w:p>
    <w:p>
      <w:pPr>
        <w:ind w:firstLine="180"/>
        <w:spacing w:after="0" w:line="268" w:lineRule="auto"/>
        <w:rPr>
          <w:sz w:val="20"/>
          <w:szCs w:val="20"/>
          <w:color w:val="auto"/>
        </w:rPr>
      </w:pPr>
      <w:r>
        <w:rPr>
          <w:rFonts w:ascii="Arial" w:cs="Arial" w:eastAsia="Arial" w:hAnsi="Arial"/>
          <w:sz w:val="18"/>
          <w:szCs w:val="18"/>
          <w:color w:val="auto"/>
        </w:rPr>
        <w:t>Third party financing companies purchased $451.0 million of receivables of our financed products during fiscal 2006. The outstanding receivable balance owed from our distributors and dealers to third party financing companies was $189.1 million as of October 31, 2006. Our maximum exposure for credit recourse with a third party financing company related to receivables under these financing arrangements was $0.6 million as of October 31, 2006. We also enter into limited inventory repurchase agreements with third party financing companies. As of October 31, 2006, we were contingently liable to repurchase up to $3.5 million of inventory related to receivables under these financing arrangements. We have repurchased immaterial amounts of inventory from third party financing companies over the past three years. However, a decline in retail sales could cause this situation to change and thereby require us to repurchase financed product.</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4673B6"/>
        </w:rPr>
        <w:t xml:space="preserve">End-User Financing.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fields and grounds equipment customers in North America and Europe. The purpose of these agreements is to increase sales by giving buyers of our products alternative financing options when purchasing our products. Under the terms of these agreements, we could be contingently liable for a portion of the credit collection and residual value risk on the underlying equipment financed under this program. Our maximum exposure for credit collection and residual value as of October 31, 2006 was $15.2 million. We have established a reserve for our estimated exposure related to this program.</w:t>
      </w:r>
    </w:p>
    <w:p>
      <w:pPr>
        <w:spacing w:after="0" w:line="2" w:lineRule="exact"/>
        <w:rPr>
          <w:sz w:val="20"/>
          <w:szCs w:val="20"/>
          <w:color w:val="auto"/>
        </w:rPr>
      </w:pPr>
    </w:p>
    <w:p>
      <w:pPr>
        <w:ind w:right="440" w:firstLine="180"/>
        <w:spacing w:after="0" w:line="266" w:lineRule="auto"/>
        <w:rPr>
          <w:sz w:val="20"/>
          <w:szCs w:val="20"/>
          <w:color w:val="auto"/>
        </w:rPr>
      </w:pPr>
      <w:r>
        <w:rPr>
          <w:rFonts w:ascii="Arial" w:cs="Arial" w:eastAsia="Arial" w:hAnsi="Arial"/>
          <w:sz w:val="18"/>
          <w:szCs w:val="18"/>
          <w:color w:val="auto"/>
        </w:rPr>
        <w:t>We also have an agreement to sell certain accounts receivable and notes to a third party. The total amount of receivables and notes outstanding under this agreement may not exceed $10.0 million at any time. As of October 31, 2006, the company had sold $1.3 million of receivables and notes under the terms of this agreement.</w:t>
      </w:r>
    </w:p>
    <w:p>
      <w:pPr>
        <w:spacing w:after="0" w:line="1" w:lineRule="exact"/>
        <w:rPr>
          <w:sz w:val="20"/>
          <w:szCs w:val="20"/>
          <w:color w:val="auto"/>
        </w:rPr>
      </w:pPr>
    </w:p>
    <w:p>
      <w:pPr>
        <w:jc w:val="both"/>
        <w:ind w:right="80" w:firstLine="180"/>
        <w:spacing w:after="0" w:line="266" w:lineRule="auto"/>
        <w:rPr>
          <w:sz w:val="20"/>
          <w:szCs w:val="20"/>
          <w:color w:val="auto"/>
        </w:rPr>
      </w:pPr>
      <w:r>
        <w:rPr>
          <w:rFonts w:ascii="Arial" w:cs="Arial" w:eastAsia="Arial" w:hAnsi="Arial"/>
          <w:sz w:val="18"/>
          <w:szCs w:val="18"/>
          <w:color w:val="auto"/>
        </w:rPr>
        <w:t>In the normal course of business, we have arrangements with other financial institutions to provide various forms of financing options to end-user customers. From time to time, our company-owned distributorships also guarantee the residual value at the end of leases with third-party financing companies for product sold to customers. The amount of this potential contingent liability as of October 31, 2006 was $4.0 million. None of these other arrangements requires any additional material financial involvement by us.</w:t>
      </w:r>
    </w:p>
    <w:p>
      <w:pPr>
        <w:spacing w:after="0" w:line="1" w:lineRule="exact"/>
        <w:rPr>
          <w:sz w:val="20"/>
          <w:szCs w:val="20"/>
          <w:color w:val="auto"/>
        </w:rPr>
      </w:pPr>
    </w:p>
    <w:p>
      <w:pPr>
        <w:ind w:right="120" w:firstLine="180"/>
        <w:spacing w:after="0" w:line="271" w:lineRule="auto"/>
        <w:rPr>
          <w:sz w:val="20"/>
          <w:szCs w:val="20"/>
          <w:color w:val="auto"/>
        </w:rPr>
      </w:pPr>
      <w:r>
        <w:rPr>
          <w:rFonts w:ascii="Arial" w:cs="Arial" w:eastAsia="Arial" w:hAnsi="Arial"/>
          <w:sz w:val="18"/>
          <w:szCs w:val="18"/>
          <w:color w:val="auto"/>
        </w:rPr>
        <w:t>Termination of our end-user financing arrangements, any material change to the terms in the financing arrangements, or availability of credit for our customers, any delay in securing replacement credit sources, or significant financed product repurchase requirements could have a material impact on our future operating results or financial condition; however, we do not anticipate those events are likely to occur.</w:t>
      </w:r>
    </w:p>
    <w:p>
      <w:pPr>
        <w:spacing w:after="0" w:line="20" w:lineRule="exact"/>
        <w:rPr>
          <w:sz w:val="20"/>
          <w:szCs w:val="20"/>
          <w:color w:val="auto"/>
        </w:rPr>
      </w:pPr>
    </w:p>
    <w:p>
      <w:pPr>
        <w:ind w:right="340"/>
        <w:spacing w:after="0" w:line="284" w:lineRule="auto"/>
        <w:rPr>
          <w:sz w:val="20"/>
          <w:szCs w:val="20"/>
          <w:color w:val="auto"/>
        </w:rPr>
      </w:pPr>
      <w:r>
        <w:rPr>
          <w:rFonts w:ascii="Arial" w:cs="Arial" w:eastAsia="Arial" w:hAnsi="Arial"/>
          <w:sz w:val="18"/>
          <w:szCs w:val="18"/>
          <w:b w:val="1"/>
          <w:bCs w:val="1"/>
          <w:i w:val="1"/>
          <w:iCs w:val="1"/>
          <w:color w:val="4673B6"/>
        </w:rPr>
        <w:t xml:space="preserve">Distributor Financing. </w:t>
      </w:r>
      <w:r>
        <w:rPr>
          <w:rFonts w:ascii="Arial" w:cs="Arial" w:eastAsia="Arial" w:hAnsi="Arial"/>
          <w:sz w:val="18"/>
          <w:szCs w:val="18"/>
          <w:color w:val="000000"/>
        </w:rPr>
        <w:t>From time to time, we enter into long-term loan agreements with some distributors. These transactions are used for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expansion of the distributors’ businesses, acquisitions, refinancing working capital agreements, or facilitation of ownership changes. As of October 31, 2006 and 2005, we had outstanding notes receivable of $2.8 million and $9.5 million, respectively, from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several distribution companies. The amounts are included in other current and long-term assets on our consolidated balance sheets. The decrease of $6.7 million was the result of repayments on these loans.</w:t>
      </w:r>
    </w:p>
    <w:p>
      <w:pPr>
        <w:spacing w:after="0" w:line="27"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b w:val="1"/>
          <w:bCs w:val="1"/>
          <w:i w:val="1"/>
          <w:iCs w:val="1"/>
          <w:color w:val="4673B6"/>
        </w:rPr>
        <w:t xml:space="preserve">Purchase Commitments. </w:t>
      </w:r>
      <w:r>
        <w:rPr>
          <w:rFonts w:ascii="Arial" w:cs="Arial" w:eastAsia="Arial" w:hAnsi="Arial"/>
          <w:sz w:val="18"/>
          <w:szCs w:val="18"/>
          <w:color w:val="000000"/>
        </w:rPr>
        <w:t>We have purchase commitments with some suppliers for materials and supplies as part of the normal course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Contractual Obligations. </w:t>
      </w:r>
      <w:r>
        <w:rPr>
          <w:rFonts w:ascii="Arial" w:cs="Arial" w:eastAsia="Arial" w:hAnsi="Arial"/>
          <w:sz w:val="18"/>
          <w:szCs w:val="18"/>
          <w:color w:val="000000"/>
        </w:rPr>
        <w:t>The following table summarizes our contractual obligations as of October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123190</wp:posOffset>
            </wp:positionV>
            <wp:extent cx="30187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201"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Payments Due By Period</w:t>
      </w:r>
    </w:p>
    <w:tbl>
      <w:tblPr>
        <w:tblLayout w:type="fixed"/>
        <w:tblInd w:w="3340" w:type="dxa"/>
        <w:tblCellMar>
          <w:top w:w="0" w:type="dxa"/>
          <w:left w:w="0" w:type="dxa"/>
          <w:bottom w:w="0" w:type="dxa"/>
          <w:right w:w="0" w:type="dxa"/>
        </w:tblCellMar>
      </w:tblPr>
      <w:tr>
        <w:trPr>
          <w:trHeight w:val="142"/>
        </w:trPr>
        <w:tc>
          <w:tcPr>
            <w:tcW w:w="1060" w:type="dxa"/>
            <w:vAlign w:val="bottom"/>
          </w:tcPr>
          <w:p>
            <w:pPr>
              <w:spacing w:after="0" w:line="142" w:lineRule="exact"/>
              <w:rPr>
                <w:sz w:val="20"/>
                <w:szCs w:val="20"/>
                <w:color w:val="auto"/>
              </w:rPr>
            </w:pPr>
            <w:r>
              <w:rPr>
                <w:rFonts w:ascii="Arial" w:cs="Arial" w:eastAsia="Arial" w:hAnsi="Arial"/>
                <w:sz w:val="14"/>
                <w:szCs w:val="14"/>
                <w:color w:val="auto"/>
              </w:rPr>
              <w:t>(Dollars in</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Contractual</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Less Than</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More than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Obligation</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Year</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Total</w:t>
            </w:r>
          </w:p>
        </w:tc>
      </w:tr>
      <w:tr>
        <w:trPr>
          <w:trHeight w:val="139"/>
        </w:trPr>
        <w:tc>
          <w:tcPr>
            <w:tcW w:w="106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Long-term</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2"/>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debt and</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interest</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9"/>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86,123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221,851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339,174</w:t>
            </w:r>
          </w:p>
        </w:tc>
        <w:tc>
          <w:tcPr>
            <w:tcW w:w="60" w:type="dxa"/>
            <w:vAlign w:val="bottom"/>
            <w:shd w:val="clear" w:color="auto" w:fill="CCEEFF"/>
          </w:tcPr>
          <w:p>
            <w:pPr>
              <w:spacing w:after="0"/>
              <w:rPr>
                <w:sz w:val="15"/>
                <w:szCs w:val="15"/>
                <w:color w:val="auto"/>
              </w:rPr>
            </w:pPr>
          </w:p>
        </w:tc>
      </w:tr>
      <w:tr>
        <w:trPr>
          <w:trHeight w:val="145"/>
        </w:trPr>
        <w:tc>
          <w:tcPr>
            <w:tcW w:w="1060" w:type="dxa"/>
            <w:vAlign w:val="bottom"/>
          </w:tcPr>
          <w:p>
            <w:pPr>
              <w:spacing w:after="0" w:line="145" w:lineRule="exact"/>
              <w:rPr>
                <w:sz w:val="20"/>
                <w:szCs w:val="20"/>
                <w:color w:val="auto"/>
              </w:rPr>
            </w:pPr>
            <w:r>
              <w:rPr>
                <w:rFonts w:ascii="Arial" w:cs="Arial" w:eastAsia="Arial" w:hAnsi="Arial"/>
                <w:sz w:val="14"/>
                <w:szCs w:val="14"/>
                <w:b w:val="1"/>
                <w:bCs w:val="1"/>
                <w:color w:val="auto"/>
              </w:rPr>
              <w:t>Purchase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8"/>
        </w:trPr>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obligations</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3,586</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3,586</w:t>
            </w:r>
          </w:p>
        </w:tc>
        <w:tc>
          <w:tcPr>
            <w:tcW w:w="60" w:type="dxa"/>
            <w:vAlign w:val="bottom"/>
          </w:tcPr>
          <w:p>
            <w:pPr>
              <w:spacing w:after="0"/>
              <w:rPr>
                <w:sz w:val="15"/>
                <w:szCs w:val="15"/>
                <w:color w:val="auto"/>
              </w:rPr>
            </w:pPr>
          </w:p>
        </w:tc>
      </w:tr>
      <w:tr>
        <w:trPr>
          <w:trHeight w:val="146"/>
        </w:trPr>
        <w:tc>
          <w:tcPr>
            <w:tcW w:w="106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Operating</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9"/>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leases</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11,879</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14,343</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3,689</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789</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30,700</w:t>
            </w:r>
          </w:p>
        </w:tc>
        <w:tc>
          <w:tcPr>
            <w:tcW w:w="60" w:type="dxa"/>
            <w:vAlign w:val="bottom"/>
            <w:shd w:val="clear" w:color="auto" w:fill="CCEEFF"/>
          </w:tcPr>
          <w:p>
            <w:pPr>
              <w:spacing w:after="0"/>
              <w:rPr>
                <w:sz w:val="15"/>
                <w:szCs w:val="15"/>
                <w:color w:val="auto"/>
              </w:rPr>
            </w:pPr>
          </w:p>
        </w:tc>
      </w:tr>
      <w:tr>
        <w:trPr>
          <w:trHeight w:val="145"/>
        </w:trPr>
        <w:tc>
          <w:tcPr>
            <w:tcW w:w="1060" w:type="dxa"/>
            <w:vAlign w:val="bottom"/>
          </w:tcPr>
          <w:p>
            <w:pPr>
              <w:spacing w:after="0" w:line="145"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8"/>
        </w:trPr>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contracts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14,564</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14,564</w:t>
            </w:r>
          </w:p>
        </w:tc>
        <w:tc>
          <w:tcPr>
            <w:tcW w:w="60" w:type="dxa"/>
            <w:vAlign w:val="bottom"/>
            <w:tcBorders>
              <w:bottom w:val="single" w:sz="8" w:color="CCEEFF"/>
            </w:tcBorders>
          </w:tcPr>
          <w:p>
            <w:pPr>
              <w:spacing w:after="0"/>
              <w:rPr>
                <w:sz w:val="15"/>
                <w:szCs w:val="15"/>
                <w:color w:val="auto"/>
              </w:rPr>
            </w:pPr>
          </w:p>
        </w:tc>
      </w:tr>
      <w:tr>
        <w:trPr>
          <w:trHeight w:val="183"/>
        </w:trPr>
        <w:tc>
          <w:tcPr>
            <w:tcW w:w="1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116,152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222,640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388,024</w:t>
            </w:r>
          </w:p>
        </w:tc>
        <w:tc>
          <w:tcPr>
            <w:tcW w:w="60" w:type="dxa"/>
            <w:vAlign w:val="bottom"/>
            <w:shd w:val="clear" w:color="auto" w:fill="CCEEFF"/>
          </w:tcPr>
          <w:p>
            <w:pPr>
              <w:spacing w:after="0"/>
              <w:rPr>
                <w:sz w:val="15"/>
                <w:szCs w:val="15"/>
                <w:color w:val="auto"/>
              </w:rPr>
            </w:pPr>
          </w:p>
        </w:tc>
      </w:tr>
    </w:tbl>
    <w:p>
      <w:pPr>
        <w:spacing w:after="0" w:line="161" w:lineRule="exact"/>
        <w:rPr>
          <w:sz w:val="20"/>
          <w:szCs w:val="20"/>
          <w:color w:val="auto"/>
        </w:rPr>
      </w:pPr>
    </w:p>
    <w:p>
      <w:pPr>
        <w:ind w:right="40" w:firstLine="180"/>
        <w:spacing w:after="0" w:line="277" w:lineRule="auto"/>
        <w:rPr>
          <w:sz w:val="20"/>
          <w:szCs w:val="20"/>
          <w:color w:val="auto"/>
        </w:rPr>
      </w:pPr>
      <w:r>
        <w:rPr>
          <w:rFonts w:ascii="Arial" w:cs="Arial" w:eastAsia="Arial" w:hAnsi="Arial"/>
          <w:sz w:val="18"/>
          <w:szCs w:val="18"/>
          <w:color w:val="auto"/>
        </w:rPr>
        <w:t>As of October 31, 2006, we also had $11.7 million in outstanding letters of credit issued during the normal course of business, as required by some vendor contracts.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Market Risk</w:t>
      </w:r>
    </w:p>
    <w:p>
      <w:pPr>
        <w:spacing w:after="0" w:line="4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stock. Additional information is presented in Item 7A, Quantitative and Qualitative Disclosures about Market Risk, and Note 13 of the notes to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Inflation</w:t>
      </w:r>
    </w:p>
    <w:p>
      <w:pPr>
        <w:spacing w:after="0" w:line="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subject to the effects of inflation and changing prices. As previously mentioned, we experienced rising prices for steel, steel-based component parts, fuel, petroleum-based resins, and other commodities during fiscal 2006 and 2005 that had a negative impact on our gross margins and net earnings. In fiscal 2007, we expect average prices paid for commodities to increase compared to fiscal 2006. We expect to continue to attempt to mitigate the impact of these anticipated increases in commodity costs and other inflationary pressures by actively pursuing internal cost reduction efforts, reviewing alternative sourcing options, vendor negotiations, and by recovering a portion of these costs with price increases to customers.</w:t>
      </w:r>
    </w:p>
    <w:p>
      <w:pPr>
        <w:sectPr>
          <w:pgSz w:w="11900" w:h="16838" w:orient="portrait"/>
          <w:cols w:equalWidth="0" w:num="1">
            <w:col w:w="11420"/>
          </w:cols>
          <w:pgMar w:left="240" w:top="152" w:right="239" w:bottom="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color w:val="4673B6"/>
        </w:rPr>
        <w:t>Acquisition, Investment in Affiliate, and Divestitures</w:t>
      </w:r>
    </w:p>
    <w:p>
      <w:pPr>
        <w:sectPr>
          <w:pgSz w:w="11900" w:h="16838" w:orient="portrait"/>
          <w:cols w:equalWidth="0" w:num="1">
            <w:col w:w="11420"/>
          </w:cols>
          <w:pgMar w:left="240" w:top="152" w:right="239" w:bottom="0" w:gutter="0" w:footer="0" w:header="0"/>
          <w:type w:val="continuous"/>
        </w:sectPr>
      </w:pPr>
    </w:p>
    <w:bookmarkStart w:id="25" w:name="page26"/>
    <w:bookmarkEnd w:id="25"/>
    <w:p>
      <w:pPr>
        <w:ind w:right="180"/>
        <w:spacing w:after="0" w:line="266" w:lineRule="auto"/>
        <w:rPr>
          <w:sz w:val="20"/>
          <w:szCs w:val="20"/>
          <w:color w:val="auto"/>
        </w:rPr>
      </w:pPr>
      <w:r>
        <w:rPr>
          <w:rFonts w:ascii="Arial" w:cs="Arial" w:eastAsia="Arial" w:hAnsi="Arial"/>
          <w:sz w:val="18"/>
          <w:szCs w:val="18"/>
          <w:color w:val="auto"/>
        </w:rPr>
        <w:t>In fiscal 2005, we completed the acquisition of certain assets and assumed certain liabilities of Hayter. Hayter designs, manufactures, and markets residential and professional turf maintenance equipment primarily for the United Kingdom market, with annual sales of approximately $50 million.</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In fiscal 2004, we entered into a joint venture agreement with a leading engine manufacturer to source two-cycle snow thrower engines for us and other customers.</w:t>
      </w:r>
    </w:p>
    <w:p>
      <w:pPr>
        <w:ind w:right="520" w:firstLine="180"/>
        <w:spacing w:after="0" w:line="277" w:lineRule="auto"/>
        <w:rPr>
          <w:sz w:val="20"/>
          <w:szCs w:val="20"/>
          <w:color w:val="auto"/>
        </w:rPr>
      </w:pPr>
      <w:r>
        <w:rPr>
          <w:rFonts w:ascii="Arial" w:cs="Arial" w:eastAsia="Arial" w:hAnsi="Arial"/>
          <w:sz w:val="18"/>
          <w:szCs w:val="18"/>
          <w:color w:val="auto"/>
        </w:rPr>
        <w:t>In fiscal 2004, we completed the sale of our southeastern-based U.S. distributorship, which was acquired in fiscal 2003. During the first quarter of fiscal 2005, we also completed the sale of our southwestern-based U.S. distribution company.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Critical Accounting Policies and Estimates</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 w:lineRule="exact"/>
        <w:rPr>
          <w:sz w:val="20"/>
          <w:szCs w:val="20"/>
          <w:color w:val="auto"/>
        </w:rPr>
      </w:pPr>
    </w:p>
    <w:p>
      <w:pPr>
        <w:ind w:right="140" w:firstLine="180"/>
        <w:spacing w:after="0" w:line="268" w:lineRule="auto"/>
        <w:rPr>
          <w:sz w:val="20"/>
          <w:szCs w:val="20"/>
          <w:color w:val="auto"/>
        </w:rPr>
      </w:pPr>
      <w:r>
        <w:rPr>
          <w:rFonts w:ascii="Arial" w:cs="Arial" w:eastAsia="Arial" w:hAnsi="Arial"/>
          <w:sz w:val="18"/>
          <w:szCs w:val="18"/>
          <w:color w:val="auto"/>
        </w:rPr>
        <w:t>Our significant accounting policies are described in Note 1 of the notes to our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4673B6"/>
        </w:rPr>
        <w:t xml:space="preserve">Warranty Reserve. </w:t>
      </w:r>
      <w:r>
        <w:rPr>
          <w:rFonts w:ascii="Arial" w:cs="Arial" w:eastAsia="Arial" w:hAnsi="Arial"/>
          <w:sz w:val="18"/>
          <w:szCs w:val="18"/>
          <w:color w:val="000000"/>
        </w:rPr>
        <w:t>Warranty coverage on our products ranges from a period of six months to seven years, and covers parts, labor, and other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As of October 31, 2006, we had $65.2 million accrued related to future estimated warranty claims.</w:t>
      </w:r>
    </w:p>
    <w:p>
      <w:pPr>
        <w:spacing w:after="0" w:line="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4673B6"/>
        </w:rPr>
        <w:t xml:space="preserve">Sales Promotions and Incentives. </w:t>
      </w:r>
      <w:r>
        <w:rPr>
          <w:rFonts w:ascii="Arial" w:cs="Arial" w:eastAsia="Arial" w:hAnsi="Arial"/>
          <w:sz w:val="18"/>
          <w:szCs w:val="18"/>
          <w:color w:val="000000"/>
        </w:rPr>
        <w:t>At the time of sale to a customer, we record an estimate for sales promotion and incentive costs, which are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classified as a reduction of net sales or as a component of selling, general, and administrative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 As of October 31, 2006, we had $50.1 million accrued for sales promotions and incentives.</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4673B6"/>
        </w:rPr>
        <w:t xml:space="preserve">Inventory Valuation. </w:t>
      </w:r>
      <w:r>
        <w:rPr>
          <w:rFonts w:ascii="Arial" w:cs="Arial" w:eastAsia="Arial" w:hAnsi="Arial"/>
          <w:sz w:val="18"/>
          <w:szCs w:val="18"/>
          <w:color w:val="000000"/>
        </w:rPr>
        <w:t>We value our inventories at the lower of the cost of inventory or net realizable value, with cost determined by either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last-in, first-out (LIFO)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3" w:lineRule="exact"/>
        <w:rPr>
          <w:sz w:val="20"/>
          <w:szCs w:val="20"/>
          <w:color w:val="auto"/>
        </w:rPr>
      </w:pPr>
    </w:p>
    <w:p>
      <w:pPr>
        <w:ind w:right="20" w:firstLine="180"/>
        <w:spacing w:after="0" w:line="270"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 As of October 31, 2006, we had $17.7 million reserved for excess and obsolete inventory.</w:t>
      </w:r>
    </w:p>
    <w:p>
      <w:pPr>
        <w:spacing w:after="0" w:line="7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4673B6"/>
        </w:rPr>
        <w:t xml:space="preserve">Accounts and Notes Receivable Valuation. </w:t>
      </w:r>
      <w:r>
        <w:rPr>
          <w:rFonts w:ascii="Arial" w:cs="Arial" w:eastAsia="Arial" w:hAnsi="Arial"/>
          <w:sz w:val="18"/>
          <w:szCs w:val="18"/>
          <w:color w:val="000000"/>
        </w:rPr>
        <w:t>We value accounts and notes receivable, net of an allowance for doubtful accounts. Each</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w:t>
      </w:r>
    </w:p>
    <w:p>
      <w:pPr>
        <w:sectPr>
          <w:pgSz w:w="11900" w:h="16838" w:orient="portrait"/>
          <w:cols w:equalWidth="0" w:num="1">
            <w:col w:w="11420"/>
          </w:cols>
          <w:pgMar w:left="240" w:top="152" w:right="239" w:bottom="0" w:gutter="0" w:footer="0" w:header="0"/>
        </w:sectPr>
      </w:pPr>
    </w:p>
    <w:bookmarkStart w:id="26" w:name="page27"/>
    <w:bookmarkEnd w:id="26"/>
    <w:p>
      <w:pPr>
        <w:ind w:right="440"/>
        <w:spacing w:after="0" w:line="268" w:lineRule="auto"/>
        <w:rPr>
          <w:sz w:val="20"/>
          <w:szCs w:val="20"/>
          <w:color w:val="auto"/>
        </w:rPr>
      </w:pPr>
      <w:r>
        <w:rPr>
          <w:rFonts w:ascii="Arial" w:cs="Arial" w:eastAsia="Arial" w:hAnsi="Arial"/>
          <w:sz w:val="18"/>
          <w:szCs w:val="18"/>
          <w:color w:val="auto"/>
        </w:rPr>
        <w:t>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October 31, 2006, we had $2.8 million reserved against our accounts and notes receivable.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 to be Adopted</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October 2006, the Financial Accounting Standards Board (FASB) issued SFAS No. 158, “Employers’ Accounting for Defined Benefit Pension and Other Postretirement Plans.” SFAS No. 158 requires employers to recognize on their balance sheets the funded status of pension and other postretirement benefit plans. In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We will adopt the provisions of SFAS No. 158, which requires the funded status of pension and other postretirement benefit plans to be recorded on the balance sheet as of October 31, 2007, as required, and we will adopt the provisions that require the measurement date of plan assets and benefit obligations to be the same as our fiscal year end as of October 31, 2009, as required. This new pronouncement is not expected to have a material impact on our financial condition, and will have no impact on our consolidated results of operations.</w:t>
      </w:r>
    </w:p>
    <w:p>
      <w:pPr>
        <w:spacing w:after="0" w:line="1" w:lineRule="exact"/>
        <w:rPr>
          <w:sz w:val="20"/>
          <w:szCs w:val="20"/>
          <w:color w:val="auto"/>
        </w:rPr>
      </w:pPr>
    </w:p>
    <w:p>
      <w:pPr>
        <w:ind w:right="240" w:firstLine="180"/>
        <w:spacing w:after="0" w:line="266" w:lineRule="auto"/>
        <w:rPr>
          <w:sz w:val="20"/>
          <w:szCs w:val="20"/>
          <w:color w:val="auto"/>
        </w:rPr>
      </w:pPr>
      <w:r>
        <w:rPr>
          <w:rFonts w:ascii="Arial" w:cs="Arial" w:eastAsia="Arial" w:hAnsi="Arial"/>
          <w:sz w:val="18"/>
          <w:szCs w:val="18"/>
          <w:color w:val="auto"/>
        </w:rPr>
        <w:t>In August 2006, the FASB issued Staff Position No. AUG AIR-1, “Accounting for Planned Major Maintenance Activities.” This Staff Position prohibits the use of the accrue-in-advance method of accounting for planned major maintenance activities in annual and interim financial reporting periods. We will adopt the provisions of this Staff Position as of November 1, 2007, as required. We are currently evaluating the requirements of Staff Position No. AUG AIR-1 and do not expect the adoption of this Staff Position will have a material impact on our consolidated results of operations or financial condition.</w:t>
      </w:r>
    </w:p>
    <w:p>
      <w:pPr>
        <w:spacing w:after="0" w:line="1" w:lineRule="exact"/>
        <w:rPr>
          <w:sz w:val="20"/>
          <w:szCs w:val="20"/>
          <w:color w:val="auto"/>
        </w:rPr>
      </w:pPr>
    </w:p>
    <w:p>
      <w:pPr>
        <w:ind w:right="60" w:firstLine="180"/>
        <w:spacing w:after="0" w:line="268" w:lineRule="auto"/>
        <w:rPr>
          <w:sz w:val="20"/>
          <w:szCs w:val="20"/>
          <w:color w:val="auto"/>
        </w:rPr>
      </w:pPr>
      <w:r>
        <w:rPr>
          <w:rFonts w:ascii="Arial" w:cs="Arial" w:eastAsia="Arial" w:hAnsi="Arial"/>
          <w:sz w:val="18"/>
          <w:szCs w:val="18"/>
          <w:color w:val="auto"/>
        </w:rPr>
        <w:t>In July 2006, the FASB issued Interpretation No. 48, “Accounting for Uncertainty in Income Taxes” (FIN No. 48). This interpretation clarifies the accounting for uncertainty in income taxes recognized in an entity’s financial statements in accordance with SFAS No. 109, “Accounting for Income Taxes.” It prescribes a recognition threshold and measurement attributes for financial statement disclosure of tax positions taken or expected to be taken on a tax return. We will adopt the provisions of this interpretation in the first quarter of fiscal 2008, as required. We are currently evaluating the requirements of FIN No. 48 and we do not expect this new pronouncement will have a material impact on our consolidated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7A. QUANTITATIVE AND QUALITATIVE DISCLOSURES ABOUT MARKET RISK</w:t>
      </w:r>
    </w:p>
    <w:p>
      <w:pPr>
        <w:spacing w:after="0" w:line="29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4673B6"/>
        </w:rPr>
        <w:t xml:space="preserve">Foreign Currency Exchange Rate Risk. </w:t>
      </w:r>
      <w:r>
        <w:rPr>
          <w:rFonts w:ascii="Arial" w:cs="Arial" w:eastAsia="Arial" w:hAnsi="Arial"/>
          <w:sz w:val="18"/>
          <w:szCs w:val="18"/>
          <w:color w:val="000000"/>
        </w:rPr>
        <w:t>In the normal course of business, we actively manage the exposure of our foreign currency market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risk 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 is with the Euro, the Japanese yen, the Australian dollar, the Canadian dollar, the British pound, and the Mexican peso against the U.S. dollar.</w:t>
      </w:r>
    </w:p>
    <w:p>
      <w:pPr>
        <w:spacing w:after="0" w:line="7"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2006, 2005, and 2004, the amount of losses treated as a reduction of net sales for contracts to hedge sales were $0.4 million, $3.0 million, and $7.1 million, respectively. The gains treated as a reduction to cost of sales for contracts to hedge inventory purchases was $0.1 million for fiscal 2006 and $1.3 million for fiscal 2005.</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foreign currency exchange contracts held by us have maturity dates in fiscal 2007. All items are non-trading and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stated in U.S. dollars. Some derivative instruments we enter into do not meet the hedging criteria of SFAS No. 133, “Accounting for Derivative Instruments and Hedging Activities;” therefore, changes in fair value are recorded in other income, net. The average contracted rate, notional</w:t>
      </w:r>
    </w:p>
    <w:p>
      <w:pPr>
        <w:sectPr>
          <w:pgSz w:w="11900" w:h="16838" w:orient="portrait"/>
          <w:cols w:equalWidth="0" w:num="1">
            <w:col w:w="11400"/>
          </w:cols>
          <w:pgMar w:left="240" w:top="152" w:right="259" w:bottom="0" w:gutter="0" w:footer="0" w:header="0"/>
        </w:sectPr>
      </w:pPr>
    </w:p>
    <w:bookmarkStart w:id="27" w:name="page28"/>
    <w:bookmarkEnd w:id="27"/>
    <w:p>
      <w:pPr>
        <w:ind w:right="820"/>
        <w:spacing w:after="0" w:line="277" w:lineRule="auto"/>
        <w:rPr>
          <w:sz w:val="20"/>
          <w:szCs w:val="20"/>
          <w:color w:val="auto"/>
        </w:rPr>
      </w:pPr>
      <w:r>
        <w:rPr>
          <w:rFonts w:ascii="Arial" w:cs="Arial" w:eastAsia="Arial" w:hAnsi="Arial"/>
          <w:sz w:val="18"/>
          <w:szCs w:val="18"/>
          <w:color w:val="auto"/>
        </w:rPr>
        <w:t>amount, pre-tax value of derivative instruments in accumulated other comprehensive loss (AOCL), and fair value impact of derivative instruments in other income, net as of October 31, 2006 were as follows:</w:t>
      </w:r>
    </w:p>
    <w:p>
      <w:pPr>
        <w:spacing w:after="0" w:line="165"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1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Value in</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Fair</w:t>
            </w:r>
          </w:p>
        </w:tc>
        <w:tc>
          <w:tcPr>
            <w:tcW w:w="80" w:type="dxa"/>
            <w:vAlign w:val="bottom"/>
          </w:tcPr>
          <w:p>
            <w:pPr>
              <w:spacing w:after="0"/>
              <w:rPr>
                <w:sz w:val="17"/>
                <w:szCs w:val="17"/>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4"/>
                <w:szCs w:val="14"/>
                <w:color w:val="auto"/>
              </w:rPr>
              <w:t>Dollars in thousands</w:t>
            </w:r>
          </w:p>
        </w:tc>
        <w:tc>
          <w:tcPr>
            <w:tcW w:w="840" w:type="dxa"/>
            <w:vAlign w:val="bottom"/>
          </w:tcPr>
          <w:p>
            <w:pPr>
              <w:jc w:val="right"/>
              <w:spacing w:after="0"/>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AOCL</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Value</w:t>
            </w:r>
          </w:p>
        </w:tc>
      </w:tr>
      <w:tr>
        <w:trPr>
          <w:trHeight w:val="189"/>
        </w:trPr>
        <w:tc>
          <w:tcPr>
            <w:tcW w:w="1660" w:type="dxa"/>
            <w:vAlign w:val="bottom"/>
          </w:tcPr>
          <w:p>
            <w:pPr>
              <w:spacing w:after="0"/>
              <w:rPr>
                <w:sz w:val="20"/>
                <w:szCs w:val="20"/>
                <w:color w:val="auto"/>
              </w:rPr>
            </w:pPr>
            <w:r>
              <w:rPr>
                <w:rFonts w:ascii="Arial" w:cs="Arial" w:eastAsia="Arial" w:hAnsi="Arial"/>
                <w:sz w:val="14"/>
                <w:szCs w:val="14"/>
                <w:color w:val="auto"/>
              </w:rPr>
              <w:t>(except average</w:t>
            </w:r>
          </w:p>
        </w:tc>
        <w:tc>
          <w:tcPr>
            <w:tcW w:w="84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780" w:type="dxa"/>
            <w:vAlign w:val="bottom"/>
          </w:tcPr>
          <w:p>
            <w:pPr>
              <w:jc w:val="right"/>
              <w:spacing w:after="0"/>
              <w:rPr>
                <w:sz w:val="20"/>
                <w:szCs w:val="20"/>
                <w:color w:val="auto"/>
              </w:rPr>
            </w:pPr>
            <w:r>
              <w:rPr>
                <w:rFonts w:ascii="Arial" w:cs="Arial" w:eastAsia="Arial" w:hAnsi="Arial"/>
                <w:sz w:val="14"/>
                <w:szCs w:val="14"/>
                <w:color w:val="auto"/>
              </w:rPr>
              <w:t>Notional</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Income</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(Loss)</w:t>
            </w:r>
          </w:p>
        </w:tc>
      </w:tr>
      <w:tr>
        <w:trPr>
          <w:trHeight w:val="188"/>
        </w:trPr>
        <w:tc>
          <w:tcPr>
            <w:tcW w:w="1660" w:type="dxa"/>
            <w:vAlign w:val="bottom"/>
          </w:tcPr>
          <w:p>
            <w:pPr>
              <w:spacing w:after="0"/>
              <w:rPr>
                <w:sz w:val="20"/>
                <w:szCs w:val="20"/>
                <w:color w:val="auto"/>
              </w:rPr>
            </w:pPr>
            <w:r>
              <w:rPr>
                <w:rFonts w:ascii="Arial" w:cs="Arial" w:eastAsia="Arial" w:hAnsi="Arial"/>
                <w:sz w:val="14"/>
                <w:szCs w:val="14"/>
                <w:color w:val="auto"/>
              </w:rPr>
              <w:t>contracted rate)</w:t>
            </w:r>
          </w:p>
        </w:tc>
        <w:tc>
          <w:tcPr>
            <w:tcW w:w="840" w:type="dxa"/>
            <w:vAlign w:val="bottom"/>
          </w:tcPr>
          <w:p>
            <w:pPr>
              <w:jc w:val="right"/>
              <w:spacing w:after="0"/>
              <w:rPr>
                <w:sz w:val="20"/>
                <w:szCs w:val="20"/>
                <w:color w:val="auto"/>
              </w:rPr>
            </w:pPr>
            <w:r>
              <w:rPr>
                <w:rFonts w:ascii="Arial" w:cs="Arial" w:eastAsia="Arial" w:hAnsi="Arial"/>
                <w:sz w:val="14"/>
                <w:szCs w:val="14"/>
                <w:color w:val="auto"/>
              </w:rPr>
              <w:t>Rate</w:t>
            </w:r>
          </w:p>
        </w:tc>
        <w:tc>
          <w:tcPr>
            <w:tcW w:w="780" w:type="dxa"/>
            <w:vAlign w:val="bottom"/>
          </w:tcPr>
          <w:p>
            <w:pPr>
              <w:jc w:val="right"/>
              <w:spacing w:after="0"/>
              <w:rPr>
                <w:sz w:val="20"/>
                <w:szCs w:val="20"/>
                <w:color w:val="auto"/>
              </w:rPr>
            </w:pPr>
            <w:r>
              <w:rPr>
                <w:rFonts w:ascii="Arial" w:cs="Arial" w:eastAsia="Arial" w:hAnsi="Arial"/>
                <w:sz w:val="14"/>
                <w:szCs w:val="14"/>
                <w:color w:val="auto"/>
              </w:rPr>
              <w:t>Amount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(Loss)</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Gain</w:t>
            </w:r>
          </w:p>
        </w:tc>
      </w:tr>
      <w:tr>
        <w:trPr>
          <w:trHeight w:val="183"/>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Buy U.S. $/Sell</w:t>
            </w:r>
          </w:p>
        </w:tc>
        <w:tc>
          <w:tcPr>
            <w:tcW w:w="8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16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Canadian dollar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0.9035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5,872.8</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46.6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 (279.6)</w:t>
            </w:r>
          </w:p>
        </w:tc>
      </w:tr>
      <w:tr>
        <w:trPr>
          <w:trHeight w:val="189"/>
        </w:trPr>
        <w:tc>
          <w:tcPr>
            <w:tcW w:w="1660" w:type="dxa"/>
            <w:vAlign w:val="bottom"/>
          </w:tcPr>
          <w:p>
            <w:pPr>
              <w:spacing w:after="0"/>
              <w:rPr>
                <w:sz w:val="20"/>
                <w:szCs w:val="20"/>
                <w:color w:val="auto"/>
              </w:rPr>
            </w:pPr>
            <w:r>
              <w:rPr>
                <w:rFonts w:ascii="Arial" w:cs="Arial" w:eastAsia="Arial" w:hAnsi="Arial"/>
                <w:sz w:val="14"/>
                <w:szCs w:val="14"/>
                <w:b w:val="1"/>
                <w:bCs w:val="1"/>
                <w:color w:val="auto"/>
              </w:rPr>
              <w:t>Buy U.S. $/Sell</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660" w:type="dxa"/>
            <w:vAlign w:val="bottom"/>
          </w:tcPr>
          <w:p>
            <w:pPr>
              <w:ind w:left="180"/>
              <w:spacing w:after="0"/>
              <w:rPr>
                <w:sz w:val="20"/>
                <w:szCs w:val="20"/>
                <w:color w:val="auto"/>
              </w:rPr>
            </w:pPr>
            <w:r>
              <w:rPr>
                <w:rFonts w:ascii="Arial" w:cs="Arial" w:eastAsia="Arial" w:hAnsi="Arial"/>
                <w:sz w:val="14"/>
                <w:szCs w:val="14"/>
                <w:b w:val="1"/>
                <w:bCs w:val="1"/>
                <w:color w:val="auto"/>
              </w:rPr>
              <w:t>Australian dollar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0.7556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43,936.2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(472.5)</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(639.5)</w:t>
            </w:r>
          </w:p>
        </w:tc>
      </w:tr>
      <w:tr>
        <w:trPr>
          <w:trHeight w:val="189"/>
        </w:trPr>
        <w:tc>
          <w:tcPr>
            <w:tcW w:w="1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1.2860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70,989.1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(421.2)</w:t>
            </w:r>
          </w:p>
        </w:tc>
      </w:tr>
      <w:tr>
        <w:trPr>
          <w:trHeight w:val="189"/>
        </w:trPr>
        <w:tc>
          <w:tcPr>
            <w:tcW w:w="1660" w:type="dxa"/>
            <w:vAlign w:val="bottom"/>
          </w:tcPr>
          <w:p>
            <w:pPr>
              <w:spacing w:after="0"/>
              <w:rPr>
                <w:sz w:val="20"/>
                <w:szCs w:val="20"/>
                <w:color w:val="auto"/>
              </w:rPr>
            </w:pPr>
            <w:r>
              <w:rPr>
                <w:rFonts w:ascii="Arial" w:cs="Arial" w:eastAsia="Arial" w:hAnsi="Arial"/>
                <w:sz w:val="14"/>
                <w:szCs w:val="14"/>
                <w:b w:val="1"/>
                <w:bCs w:val="1"/>
                <w:color w:val="auto"/>
              </w:rPr>
              <w:t>Buy U.S. $/Sell British</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660" w:type="dxa"/>
            <w:vAlign w:val="bottom"/>
          </w:tcPr>
          <w:p>
            <w:pPr>
              <w:ind w:left="180"/>
              <w:spacing w:after="0"/>
              <w:rPr>
                <w:sz w:val="20"/>
                <w:szCs w:val="20"/>
                <w:color w:val="auto"/>
              </w:rPr>
            </w:pPr>
            <w:r>
              <w:rPr>
                <w:rFonts w:ascii="Arial" w:cs="Arial" w:eastAsia="Arial" w:hAnsi="Arial"/>
                <w:sz w:val="14"/>
                <w:szCs w:val="14"/>
                <w:b w:val="1"/>
                <w:bCs w:val="1"/>
                <w:color w:val="auto"/>
              </w:rPr>
              <w:t>pound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1.8796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18,043.7</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(277.7)</w:t>
            </w:r>
          </w:p>
        </w:tc>
      </w:tr>
      <w:tr>
        <w:trPr>
          <w:trHeight w:val="189"/>
        </w:trPr>
        <w:tc>
          <w:tcPr>
            <w:tcW w:w="1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Mexican peso/ Sell</w:t>
            </w: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1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U.S.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11.7068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14,564.2</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757.8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61.3</w:t>
            </w:r>
          </w:p>
        </w:tc>
        <w:tc>
          <w:tcPr>
            <w:tcW w:w="8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120" w:firstLine="180"/>
        <w:spacing w:after="0" w:line="271"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74"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4673B6"/>
        </w:rPr>
        <w:t xml:space="preserve">Interest Rate Risk. </w:t>
      </w:r>
      <w:r>
        <w:rPr>
          <w:rFonts w:ascii="Arial" w:cs="Arial" w:eastAsia="Arial" w:hAnsi="Arial"/>
          <w:sz w:val="18"/>
          <w:szCs w:val="18"/>
          <w:color w:val="000000"/>
        </w:rPr>
        <w:t>Our market risk on interest rates relates primarily to LIBOR-based short-term debt from commercial banks as well as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potential increase in fair value of long-term debt resulting from a potential decrease in interest rates. However, we do not have a cash flow or earnings exposure due to market risks on long-term debt. We currently do not use interest rate swaps to mitigate the impact of fluctuations in interest rates. As of October 31, 2006, our financial liabilities with exposure to changes in interest rates consisted mainly of $0.3 million of short-term debt outstanding. Assuming a hypothetical increase of one percent (100 basis points) in short-term interest rates, with all other variables remaining constant including the average balance of short-term debt outstanding during fiscal 2006, interest expense would have increased $0.4 million in fiscal 2006. Included in long-term debt is $175.0 million of fixed-rate debt that is not subject to variable interest rate fluctuations. As a result, we have no earnings or cash flow exposure due to market risks on our long-term debt obligations. As of October 31, 2006, the estimated fair value of long-term debt with fixed interest rates was $184.9 million compared to its carrying value of $175.0 million. The fair value is estimated by discounting the projected cash flows using the rate that similar amounts of debt could currently be borrowed.</w:t>
      </w:r>
    </w:p>
    <w:p>
      <w:pPr>
        <w:spacing w:after="0" w:line="7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4673B6"/>
        </w:rPr>
        <w:t xml:space="preserve">Commodity Risk. </w:t>
      </w:r>
      <w:r>
        <w:rPr>
          <w:rFonts w:ascii="Arial" w:cs="Arial" w:eastAsia="Arial" w:hAnsi="Arial"/>
          <w:sz w:val="18"/>
          <w:szCs w:val="18"/>
          <w:color w:val="000000"/>
        </w:rPr>
        <w:t>We are subject to market risk from fluctuating market prices of certain purchased commodity raw materials including steel,</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aluminum, fuel, petroleum-based resin, and linerboard. In addition, we are a purchaser of components and parts containing various commodities, including steel, aluminum, copper, rubber, and others which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Item 7, section entitled “Inflation.”</w:t>
      </w:r>
    </w:p>
    <w:p>
      <w:pPr>
        <w:jc w:val="both"/>
        <w:ind w:right="60" w:firstLine="180"/>
        <w:spacing w:after="0" w:line="270" w:lineRule="auto"/>
        <w:rPr>
          <w:sz w:val="20"/>
          <w:szCs w:val="20"/>
          <w:color w:val="auto"/>
        </w:rPr>
      </w:pPr>
      <w:r>
        <w:rPr>
          <w:rFonts w:ascii="Arial" w:cs="Arial" w:eastAsia="Arial" w:hAnsi="Arial"/>
          <w:sz w:val="18"/>
          <w:szCs w:val="18"/>
          <w:color w:val="auto"/>
        </w:rPr>
        <w:t>We enter into fixed-price contracts for future purchases of natural gas in the normal course of operations as a means to manage natural gas price risks. These contracts meet the definition of “normal purchases or normal sales” and therefore, are not considered derivative instruments for accounting purposes. Our manufacturing facilities enter into these fixed-price contracts for approximately 70 to 85 percent of their monthly anticipated usage.</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i w:val="1"/>
          <w:iCs w:val="1"/>
          <w:color w:val="4673B6"/>
        </w:rPr>
        <w:t xml:space="preserve">Equity Price Risk. </w:t>
      </w:r>
      <w:r>
        <w:rPr>
          <w:rFonts w:ascii="Arial" w:cs="Arial" w:eastAsia="Arial" w:hAnsi="Arial"/>
          <w:sz w:val="18"/>
          <w:szCs w:val="18"/>
          <w:color w:val="000000"/>
        </w:rPr>
        <w:t>The trading price volatility of Toro common stock impacts compensation expense related to our stock-based compensation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plans. Further information is presented in Note 9 of the notes to our consolidated financial statements regarding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Management’s Report on Internal Control over Financial Reporting</w:t>
      </w:r>
    </w:p>
    <w:p>
      <w:pPr>
        <w:spacing w:after="0" w:line="25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 w:lineRule="exact"/>
        <w:rPr>
          <w:sz w:val="20"/>
          <w:szCs w:val="20"/>
          <w:color w:val="auto"/>
        </w:rPr>
      </w:pPr>
    </w:p>
    <w:p>
      <w:pPr>
        <w:ind w:right="80" w:firstLine="180"/>
        <w:spacing w:after="0" w:line="26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160" w:firstLine="180"/>
        <w:spacing w:after="0" w:line="27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ectPr>
          <w:pgSz w:w="11900" w:h="16838" w:orient="portrait"/>
          <w:cols w:equalWidth="0" w:num="1">
            <w:col w:w="11380"/>
          </w:cols>
          <w:pgMar w:left="240" w:top="152" w:right="279" w:bottom="0" w:gutter="0" w:footer="0" w:header="0"/>
        </w:sectPr>
      </w:pPr>
    </w:p>
    <w:bookmarkStart w:id="28" w:name="page29"/>
    <w:bookmarkEnd w:id="28"/>
    <w:p>
      <w:pPr>
        <w:spacing w:after="0" w:line="3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 xml:space="preserve">Management, with the participation of the Company’s Chief Executive Officer and Chief Financial Officer, evaluated the effectiveness of the Company’s internal control over financial reporting as of October 31, 2006.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management concluded that the Company’s internal control over financial reporting was effective as of October 31, 2006.</w:t>
      </w:r>
    </w:p>
    <w:p>
      <w:pPr>
        <w:spacing w:after="0" w:line="1" w:lineRule="exact"/>
        <w:rPr>
          <w:sz w:val="20"/>
          <w:szCs w:val="20"/>
          <w:color w:val="auto"/>
        </w:rPr>
      </w:pPr>
    </w:p>
    <w:p>
      <w:pPr>
        <w:ind w:right="320" w:firstLine="180"/>
        <w:spacing w:after="0" w:line="277" w:lineRule="auto"/>
        <w:rPr>
          <w:sz w:val="20"/>
          <w:szCs w:val="20"/>
          <w:color w:val="auto"/>
        </w:rPr>
      </w:pPr>
      <w:r>
        <w:rPr>
          <w:rFonts w:ascii="Arial" w:cs="Arial" w:eastAsia="Arial" w:hAnsi="Arial"/>
          <w:sz w:val="18"/>
          <w:szCs w:val="18"/>
          <w:color w:val="auto"/>
        </w:rPr>
        <w:t>KPMG LLP, the Company’s independent registered public accounting firm, audited management’s assessment of the effectiveness of the Company’s internal control over financial reporting and, based on that audit, issued the report which is included herein.</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416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Chairman of the Board, President, and Chief</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Executive Officer</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416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Vice President Finance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 discussion of the Company’s internal controls and procedures is included in Item 9A of this report, under the caption “Controls and Procedures.”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 of Independent Registered Public Accounting Firm on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The Toro Company and its subsidiaries (the Company) maintained effective internal control over financial reporting as of October 31, 2006,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COSO criteria). The Toro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 w:lineRule="exact"/>
        <w:rPr>
          <w:sz w:val="20"/>
          <w:szCs w:val="20"/>
          <w:color w:val="auto"/>
        </w:rPr>
      </w:pPr>
    </w:p>
    <w:p>
      <w:pPr>
        <w:jc w:val="both"/>
        <w:ind w:right="120" w:firstLine="180"/>
        <w:spacing w:after="0" w:line="26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 w:lineRule="exact"/>
        <w:rPr>
          <w:sz w:val="20"/>
          <w:szCs w:val="20"/>
          <w:color w:val="auto"/>
        </w:rPr>
      </w:pPr>
    </w:p>
    <w:p>
      <w:pPr>
        <w:ind w:right="140" w:firstLine="180"/>
        <w:spacing w:after="0" w:line="266" w:lineRule="auto"/>
        <w:rPr>
          <w:sz w:val="20"/>
          <w:szCs w:val="20"/>
          <w:color w:val="auto"/>
        </w:rPr>
      </w:pPr>
      <w:r>
        <w:rPr>
          <w:rFonts w:ascii="Arial" w:cs="Arial" w:eastAsia="Arial" w:hAnsi="Arial"/>
          <w:sz w:val="18"/>
          <w:szCs w:val="18"/>
          <w:color w:val="auto"/>
        </w:rPr>
        <w:t>In our opinion, management’s assessment that The Toro Company and its subsidiaries maintained effective internal control over financial reporting as of October 31, 2006, is fairly stated, in all material respects, based on the COSO criteria. Also, in our opinion, The Toro Company and its subsidiaries maintained, in all material respects, effective internal control over financial reporting as of October 31, 2006, based on the COSO criteria.</w:t>
      </w:r>
    </w:p>
    <w:p>
      <w:pPr>
        <w:spacing w:after="0" w:line="1" w:lineRule="exact"/>
        <w:rPr>
          <w:sz w:val="20"/>
          <w:szCs w:val="20"/>
          <w:color w:val="auto"/>
        </w:rPr>
      </w:pPr>
    </w:p>
    <w:p>
      <w:pPr>
        <w:ind w:right="720" w:firstLine="180"/>
        <w:spacing w:after="0" w:line="30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balance sheets of The Toro Company and its subsidiaries as of October 31, 2006 and 2005, and the related consolidated</w:t>
      </w:r>
    </w:p>
    <w:p>
      <w:pPr>
        <w:sectPr>
          <w:pgSz w:w="11900" w:h="16872" w:orient="portrait"/>
          <w:cols w:equalWidth="0" w:num="1">
            <w:col w:w="11400"/>
          </w:cols>
          <w:pgMar w:left="240" w:top="152" w:right="259" w:bottom="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statements of earnings, cash flows, and stockholders’ equity for each of the years in the three year period ended October 31, 2006, and our report dated December 22, 2006,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13220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22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2006</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have audited the accompanying consolidated balance sheets of The Toro Company and subsidiaries as of October 31, 2006 and 2005, and the related consolidated statements of earnings, cash flows, and stockholders’ equity for each of the years in the three year period ended October 31, 2006. Our audits also included the financial statement schedule listed in Item 15(a) 2. These consolidated financial statements and schedule are the responsibility of the company’s management. Our responsibility is to express an opinion on these consolidated financial statements and schedule based on our audits.</w:t>
      </w:r>
    </w:p>
    <w:p>
      <w:pPr>
        <w:spacing w:after="0" w:line="1" w:lineRule="exact"/>
        <w:rPr>
          <w:sz w:val="20"/>
          <w:szCs w:val="20"/>
          <w:color w:val="auto"/>
        </w:rPr>
      </w:pPr>
    </w:p>
    <w:p>
      <w:pPr>
        <w:ind w:right="60" w:firstLine="180"/>
        <w:spacing w:after="0" w:line="266" w:lineRule="auto"/>
        <w:rPr>
          <w:sz w:val="20"/>
          <w:szCs w:val="20"/>
          <w:color w:val="auto"/>
        </w:rPr>
      </w:pPr>
      <w:r>
        <w:rPr>
          <w:rFonts w:ascii="Arial" w:cs="Arial" w:eastAsia="Arial" w:hAnsi="Arial"/>
          <w:sz w:val="18"/>
          <w:szCs w:val="18"/>
          <w:color w:val="auto"/>
        </w:rPr>
        <w:t>We conducted our audits in accordance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Toro Company and subsidiaries as of October 31, 2006 and 2005, and the results of their operations and their cash flows for each of the years in the three year period ended October 31, 2006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 w:lineRule="exact"/>
        <w:rPr>
          <w:sz w:val="20"/>
          <w:szCs w:val="20"/>
          <w:color w:val="auto"/>
        </w:rPr>
      </w:pPr>
    </w:p>
    <w:p>
      <w:pPr>
        <w:ind w:right="60" w:firstLine="180"/>
        <w:spacing w:after="0" w:line="26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Toro Company’s internal control over financial reporting as of October 31, 2006, based on the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(COSO),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 dated December 22, 2006, expressed an unqualified opinion on management’s assessment of, and the effective operation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32205"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22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22, 2006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CONSOLIDATED STATEMENTS OF EARNINGS</w:t>
      </w:r>
    </w:p>
    <w:p>
      <w:pPr>
        <w:spacing w:after="0" w:line="344"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60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2006</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color w:val="auto"/>
              </w:rPr>
              <w:t>2005</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1,835,991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1,779,387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1,652,508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1,192,675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1,164,021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1,059,438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643,316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615,366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440,440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432,640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427,845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Earnings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202,876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182,726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(17,672)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(17,733)</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7,550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5,279</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Earnings before income taxes</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192,754</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170,272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63,609</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56,190</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129,145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114,082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net earnings per share of common stock</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Weighted-average number of shares of common stock outstanding –</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42,887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w:t>
            </w:r>
          </w:p>
        </w:tc>
        <w:tc>
          <w:tcPr>
            <w:tcW w:w="2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44,714</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00" w:type="dxa"/>
            <w:vAlign w:val="bottom"/>
          </w:tcPr>
          <w:p>
            <w:pPr>
              <w:spacing w:after="0" w:line="180" w:lineRule="exact"/>
              <w:rPr>
                <w:sz w:val="20"/>
                <w:szCs w:val="20"/>
                <w:color w:val="auto"/>
              </w:rPr>
            </w:pPr>
            <w:r>
              <w:rPr>
                <w:rFonts w:ascii="Arial" w:cs="Arial" w:eastAsia="Arial" w:hAnsi="Arial"/>
                <w:sz w:val="18"/>
                <w:szCs w:val="18"/>
                <w:b w:val="1"/>
                <w:bCs w:val="1"/>
                <w:color w:val="auto"/>
              </w:rPr>
              <w:t>Weighted-average number of shares of common stock outstanding –</w:t>
            </w:r>
          </w:p>
        </w:tc>
        <w:tc>
          <w:tcPr>
            <w:tcW w:w="260" w:type="dxa"/>
            <w:vAlign w:val="bottom"/>
          </w:tcPr>
          <w:p>
            <w:pPr>
              <w:spacing w:after="0"/>
              <w:rPr>
                <w:sz w:val="15"/>
                <w:szCs w:val="15"/>
                <w:color w:val="auto"/>
              </w:rPr>
            </w:pPr>
          </w:p>
        </w:tc>
        <w:tc>
          <w:tcPr>
            <w:tcW w:w="9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44,344</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Diluted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46,539</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00"/>
          </w:cols>
          <w:pgMar w:left="240" w:top="152" w:right="259" w:bottom="0" w:gutter="0" w:footer="0" w:header="0"/>
        </w:sect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ectPr>
          <w:pgSz w:w="11900" w:h="16838" w:orient="portrait"/>
          <w:cols w:equalWidth="0" w:num="1">
            <w:col w:w="11400"/>
          </w:cols>
          <w:pgMar w:left="240" w:top="152" w:right="259" w:bottom="0" w:gutter="0" w:footer="0" w:header="0"/>
          <w:type w:val="continuous"/>
        </w:sectPr>
      </w:pPr>
    </w:p>
    <w:bookmarkStart w:id="30" w:name="page31"/>
    <w:bookmarkEnd w:id="30"/>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20"/>
        <w:spacing w:after="0"/>
        <w:rPr>
          <w:sz w:val="20"/>
          <w:szCs w:val="20"/>
          <w:color w:val="auto"/>
        </w:rPr>
      </w:pPr>
      <w:r>
        <w:rPr>
          <w:rFonts w:ascii="Arial" w:cs="Arial" w:eastAsia="Arial" w:hAnsi="Arial"/>
          <w:sz w:val="25"/>
          <w:szCs w:val="25"/>
          <w:b w:val="1"/>
          <w:bCs w:val="1"/>
          <w:color w:val="4673B6"/>
        </w:rPr>
        <w:t>CONSOLIDATED BALANCE SHEETS</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7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data) October 31</w:t>
            </w: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2006</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80" w:type="dxa"/>
            <w:vAlign w:val="bottom"/>
            <w:tcBorders>
              <w:bottom w:val="single" w:sz="8" w:color="CCEEFF"/>
            </w:tcBorders>
          </w:tcPr>
          <w:p>
            <w:pPr>
              <w:spacing w:after="0"/>
              <w:rPr>
                <w:sz w:val="17"/>
                <w:szCs w:val="17"/>
                <w:color w:val="auto"/>
              </w:rPr>
            </w:pP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40"/>
              <w:spacing w:after="0"/>
              <w:rPr>
                <w:sz w:val="20"/>
                <w:szCs w:val="20"/>
                <w:color w:val="auto"/>
              </w:rPr>
            </w:pPr>
            <w:r>
              <w:rPr>
                <w:rFonts w:ascii="Arial" w:cs="Arial" w:eastAsia="Arial" w:hAnsi="Arial"/>
                <w:sz w:val="18"/>
                <w:szCs w:val="18"/>
                <w:b w:val="1"/>
                <w:bCs w:val="1"/>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55,523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41,402</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Receivables, net: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Customers (net of $2,339 and $1,849 as of October 31, 2006 and 2005,</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respectively, for allowance for doubtful accounts)</w:t>
            </w:r>
          </w:p>
        </w:tc>
        <w:tc>
          <w:tcPr>
            <w:tcW w:w="4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284,082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288,599</w:t>
            </w:r>
          </w:p>
        </w:tc>
        <w:tc>
          <w:tcPr>
            <w:tcW w:w="80" w:type="dxa"/>
            <w:vAlign w:val="bottom"/>
          </w:tcPr>
          <w:p>
            <w:pPr>
              <w:spacing w:after="0"/>
              <w:rPr>
                <w:sz w:val="20"/>
                <w:szCs w:val="20"/>
                <w:color w:val="auto"/>
              </w:rPr>
            </w:pPr>
          </w:p>
        </w:tc>
      </w:tr>
      <w:tr>
        <w:trPr>
          <w:trHeight w:val="257"/>
        </w:trPr>
        <w:tc>
          <w:tcPr>
            <w:tcW w:w="7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10,751</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receivables, net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294,833</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295,683</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Inventories, net</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238,544</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235,347</w:t>
            </w: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Prepaid expenses and other current assets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9,437</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16,084</w:t>
            </w:r>
          </w:p>
        </w:tc>
        <w:tc>
          <w:tcPr>
            <w:tcW w:w="80" w:type="dxa"/>
            <w:vAlign w:val="bottom"/>
          </w:tcPr>
          <w:p>
            <w:pPr>
              <w:spacing w:after="0"/>
              <w:rPr>
                <w:sz w:val="22"/>
                <w:szCs w:val="22"/>
                <w:color w:val="auto"/>
              </w:rPr>
            </w:pPr>
          </w:p>
        </w:tc>
      </w:tr>
      <w:tr>
        <w:trPr>
          <w:trHeight w:val="257"/>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58,756</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58,558</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657,093</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647,074</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166,323</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167,277</w:t>
            </w: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1,862</w:t>
            </w:r>
          </w:p>
        </w:tc>
        <w:tc>
          <w:tcPr>
            <w:tcW w:w="2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10,011</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Goodwill</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81,469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81,197</w:t>
            </w:r>
          </w:p>
        </w:tc>
        <w:tc>
          <w:tcPr>
            <w:tcW w:w="80" w:type="dxa"/>
            <w:vAlign w:val="bottom"/>
          </w:tcPr>
          <w:p>
            <w:pPr>
              <w:spacing w:after="0"/>
              <w:rPr>
                <w:sz w:val="22"/>
                <w:szCs w:val="22"/>
                <w:color w:val="auto"/>
              </w:rPr>
            </w:pPr>
          </w:p>
        </w:tc>
      </w:tr>
      <w:tr>
        <w:trPr>
          <w:trHeight w:val="257"/>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intangible assets, net</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5,225</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80" w:type="dxa"/>
            <w:vAlign w:val="bottom"/>
            <w:shd w:val="clear" w:color="auto" w:fill="CCEEFF"/>
          </w:tcPr>
          <w:p>
            <w:pPr>
              <w:spacing w:after="0"/>
              <w:rPr>
                <w:sz w:val="22"/>
                <w:szCs w:val="22"/>
                <w:color w:val="auto"/>
              </w:rPr>
            </w:pPr>
          </w:p>
        </w:tc>
      </w:tr>
      <w:tr>
        <w:trPr>
          <w:trHeight w:val="250"/>
        </w:trPr>
        <w:tc>
          <w:tcPr>
            <w:tcW w:w="73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921,983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916,737</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Current portion of long-term debt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Short-term debt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320</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Accounts payable</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89,673</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87,952</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Accrued liabilities: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Warranty</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65,235</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61,385</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Advertising and marketing programs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50,124</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48,367</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Compensation and benefit costs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77,721</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80,798</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taxes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10,970</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51,496</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47,867</w:t>
            </w:r>
          </w:p>
        </w:tc>
        <w:tc>
          <w:tcPr>
            <w:tcW w:w="80" w:type="dxa"/>
            <w:vAlign w:val="bottom"/>
            <w:tcBorders>
              <w:bottom w:val="single" w:sz="8" w:color="CCEEFF"/>
            </w:tcBorders>
          </w:tcPr>
          <w:p>
            <w:pPr>
              <w:spacing w:after="0"/>
              <w:rPr>
                <w:sz w:val="22"/>
                <w:szCs w:val="22"/>
                <w:color w:val="auto"/>
              </w:rPr>
            </w:pPr>
          </w:p>
        </w:tc>
      </w:tr>
      <w:tr>
        <w:trPr>
          <w:trHeight w:val="250"/>
        </w:trPr>
        <w:tc>
          <w:tcPr>
            <w:tcW w:w="7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345,539</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341,202</w:t>
            </w:r>
          </w:p>
        </w:tc>
        <w:tc>
          <w:tcPr>
            <w:tcW w:w="80" w:type="dxa"/>
            <w:vAlign w:val="bottom"/>
            <w:shd w:val="clear" w:color="auto" w:fill="CCEEFF"/>
          </w:tcPr>
          <w:p>
            <w:pPr>
              <w:spacing w:after="0"/>
              <w:rPr>
                <w:sz w:val="21"/>
                <w:szCs w:val="21"/>
                <w:color w:val="auto"/>
              </w:rPr>
            </w:pPr>
          </w:p>
        </w:tc>
      </w:tr>
      <w:tr>
        <w:trPr>
          <w:trHeight w:val="250"/>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Long-term debt, less current portion</w:t>
            </w:r>
          </w:p>
        </w:tc>
        <w:tc>
          <w:tcPr>
            <w:tcW w:w="4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175,000</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21"/>
                <w:szCs w:val="21"/>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deferred income taxes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22"/>
                <w:szCs w:val="22"/>
                <w:color w:val="auto"/>
              </w:rPr>
            </w:pPr>
          </w:p>
        </w:tc>
      </w:tr>
      <w:tr>
        <w:trPr>
          <w:trHeight w:val="257"/>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Deferred revenue and other long-term liabilities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9,415</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9,629</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4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Preferred stock, par value $1.00, authorized 1,000,000 voting and 850,000 non-</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voting shares, none issued and outstanding</w:t>
            </w:r>
          </w:p>
        </w:tc>
        <w:tc>
          <w:tcPr>
            <w:tcW w:w="4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Common stock, par value $1.00, authorized 100,000,000 shares, issued and</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outstanding 40,355,714 shares as of October 31, 2006 (net of 13,676,506</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treasury shares) and 41,898,463 shares as of October 31, 2005 (net of</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9"/>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12,133,757 treasury shares)</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40,356</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80" w:type="dxa"/>
            <w:vAlign w:val="bottom"/>
            <w:shd w:val="clear" w:color="auto" w:fill="CCEEFF"/>
          </w:tcPr>
          <w:p>
            <w:pPr>
              <w:spacing w:after="0"/>
              <w:rPr>
                <w:sz w:val="20"/>
                <w:szCs w:val="20"/>
                <w:color w:val="auto"/>
              </w:rPr>
            </w:pPr>
          </w:p>
        </w:tc>
      </w:tr>
      <w:tr>
        <w:trPr>
          <w:trHeight w:val="257"/>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Retained earnings</w:t>
            </w:r>
          </w:p>
        </w:tc>
        <w:tc>
          <w:tcPr>
            <w:tcW w:w="40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358,522</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359,716</w:t>
            </w:r>
          </w:p>
        </w:tc>
        <w:tc>
          <w:tcPr>
            <w:tcW w:w="80" w:type="dxa"/>
            <w:vAlign w:val="bottom"/>
          </w:tcPr>
          <w:p>
            <w:pPr>
              <w:spacing w:after="0"/>
              <w:rPr>
                <w:sz w:val="22"/>
                <w:szCs w:val="22"/>
                <w:color w:val="auto"/>
              </w:rPr>
            </w:pPr>
          </w:p>
        </w:tc>
      </w:tr>
      <w:tr>
        <w:trPr>
          <w:trHeight w:val="25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(6,849)</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(11,581)</w:t>
            </w:r>
          </w:p>
        </w:tc>
      </w:tr>
      <w:tr>
        <w:trPr>
          <w:trHeight w:val="250"/>
        </w:trPr>
        <w:tc>
          <w:tcPr>
            <w:tcW w:w="73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392,029</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390,034</w:t>
            </w:r>
          </w:p>
        </w:tc>
        <w:tc>
          <w:tcPr>
            <w:tcW w:w="80" w:type="dxa"/>
            <w:vAlign w:val="bottom"/>
            <w:tcBorders>
              <w:bottom w:val="single" w:sz="8" w:color="CCEEFF"/>
            </w:tcBorders>
          </w:tcPr>
          <w:p>
            <w:pPr>
              <w:spacing w:after="0"/>
              <w:rPr>
                <w:sz w:val="21"/>
                <w:szCs w:val="21"/>
                <w:color w:val="auto"/>
              </w:rPr>
            </w:pPr>
          </w:p>
        </w:tc>
      </w:tr>
      <w:tr>
        <w:trPr>
          <w:trHeight w:val="250"/>
        </w:trPr>
        <w:tc>
          <w:tcPr>
            <w:tcW w:w="7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921,983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916,737</w:t>
            </w:r>
          </w:p>
        </w:tc>
        <w:tc>
          <w:tcPr>
            <w:tcW w:w="80" w:type="dxa"/>
            <w:vAlign w:val="bottom"/>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4673B6"/>
        </w:rPr>
        <w:t>CONSOLIDATED STATEMENTS OF CASH FLOWS</w:t>
      </w:r>
    </w:p>
    <w:p>
      <w:pPr>
        <w:spacing w:after="0" w:line="344"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5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(Dollars in thousands) Fiscal years ended October 31</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2006</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color w:val="auto"/>
              </w:rPr>
              <w:t>2005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CCEEFF"/>
            </w:tcBorders>
          </w:tcPr>
          <w:p>
            <w:pPr>
              <w:spacing w:after="0"/>
              <w:rPr>
                <w:sz w:val="17"/>
                <w:szCs w:val="17"/>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earnings</w:t>
            </w:r>
          </w:p>
        </w:tc>
        <w:tc>
          <w:tcPr>
            <w:tcW w:w="1420" w:type="dxa"/>
            <w:vAlign w:val="bottom"/>
          </w:tcPr>
          <w:p>
            <w:pPr>
              <w:jc w:val="right"/>
              <w:ind w:right="32"/>
              <w:spacing w:after="0"/>
              <w:rPr>
                <w:sz w:val="20"/>
                <w:szCs w:val="20"/>
                <w:color w:val="auto"/>
              </w:rPr>
            </w:pPr>
            <w:r>
              <w:rPr>
                <w:rFonts w:ascii="Arial" w:cs="Arial" w:eastAsia="Arial" w:hAnsi="Arial"/>
                <w:sz w:val="18"/>
                <w:szCs w:val="18"/>
                <w:b w:val="1"/>
                <w:bCs w:val="1"/>
                <w:color w:val="auto"/>
              </w:rPr>
              <w:t>$ 129,145</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$ 114,082</w:t>
            </w:r>
          </w:p>
        </w:tc>
        <w:tc>
          <w:tcPr>
            <w:tcW w:w="980" w:type="dxa"/>
            <w:vAlign w:val="bottom"/>
          </w:tcPr>
          <w:p>
            <w:pPr>
              <w:jc w:val="right"/>
              <w:spacing w:after="0"/>
              <w:rPr>
                <w:sz w:val="20"/>
                <w:szCs w:val="20"/>
                <w:color w:val="auto"/>
              </w:rPr>
            </w:pPr>
            <w:r>
              <w:rPr>
                <w:rFonts w:ascii="Arial" w:cs="Arial" w:eastAsia="Arial" w:hAnsi="Arial"/>
                <w:sz w:val="18"/>
                <w:szCs w:val="18"/>
                <w:color w:val="auto"/>
              </w:rPr>
              <w:t>$ 102,666</w:t>
            </w:r>
          </w:p>
        </w:tc>
        <w:tc>
          <w:tcPr>
            <w:tcW w:w="100" w:type="dxa"/>
            <w:vAlign w:val="bottom"/>
          </w:tcPr>
          <w:p>
            <w:pPr>
              <w:spacing w:after="0"/>
              <w:rPr>
                <w:sz w:val="21"/>
                <w:szCs w:val="2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earnings to net cash provided by</w:t>
            </w:r>
          </w:p>
        </w:tc>
        <w:tc>
          <w:tcPr>
            <w:tcW w:w="1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activities:</w:t>
            </w:r>
          </w:p>
        </w:tc>
        <w:tc>
          <w:tcPr>
            <w:tcW w:w="1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Non-cash asset impairment (recovery)</w:t>
            </w:r>
          </w:p>
        </w:tc>
        <w:tc>
          <w:tcPr>
            <w:tcW w:w="1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r>
      <w:tr>
        <w:trPr>
          <w:trHeight w:val="243"/>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Provision for depreciation and amortization</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42,564</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42,829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shd w:val="clear" w:color="auto" w:fill="CCEEFF"/>
          </w:tcPr>
          <w:p>
            <w:pPr>
              <w:spacing w:after="0"/>
              <w:rPr>
                <w:sz w:val="21"/>
                <w:szCs w:val="21"/>
                <w:color w:val="auto"/>
              </w:rPr>
            </w:pPr>
          </w:p>
        </w:tc>
      </w:tr>
    </w:tbl>
    <w:p>
      <w:pPr>
        <w:sectPr>
          <w:pgSz w:w="11900" w:h="16838" w:orient="portrait"/>
          <w:cols w:equalWidth="0" w:num="1">
            <w:col w:w="10500"/>
          </w:cols>
          <w:pgMar w:left="240" w:top="152" w:right="1159" w:bottom="0" w:gutter="0" w:footer="0" w:header="0"/>
        </w:sectPr>
      </w:pPr>
    </w:p>
    <w:bookmarkStart w:id="31" w:name="page32"/>
    <w:bookmarkEnd w:id="31"/>
    <w:p>
      <w:pPr>
        <w:spacing w:after="0" w:line="39"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Equity losses from investments</w:t>
            </w:r>
          </w:p>
        </w:tc>
        <w:tc>
          <w:tcPr>
            <w:tcW w:w="4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1,559</w:t>
            </w:r>
          </w:p>
        </w:tc>
        <w:tc>
          <w:tcPr>
            <w:tcW w:w="2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r>
      <w:tr>
        <w:trPr>
          <w:trHeight w:val="24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Gain on disposal of property, plant, and equipment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(Increase) decrease in deferred income taxes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(8,635)</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r>
      <w:tr>
        <w:trPr>
          <w:trHeight w:val="24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Excess tax benefits from stock-based awards</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Stock-based compensation expense</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6,641</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9,312</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17,128</w:t>
            </w:r>
          </w:p>
        </w:tc>
        <w:tc>
          <w:tcPr>
            <w:tcW w:w="100" w:type="dxa"/>
            <w:vAlign w:val="bottom"/>
          </w:tcPr>
          <w:p>
            <w:pPr>
              <w:spacing w:after="0"/>
              <w:rPr>
                <w:sz w:val="21"/>
                <w:szCs w:val="21"/>
                <w:color w:val="auto"/>
              </w:rPr>
            </w:pP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Receivables, net</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7,381</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(10,558)</w:t>
            </w:r>
          </w:p>
        </w:tc>
      </w:tr>
      <w:tr>
        <w:trPr>
          <w:trHeight w:val="24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Inventories, net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Prepaid expenses and other assets</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9,390</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(4,391)</w:t>
            </w:r>
          </w:p>
        </w:tc>
      </w:tr>
      <w:tr>
        <w:trPr>
          <w:trHeight w:val="243"/>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Accounts payable, accrued expenses, and deferred revenue</w:t>
            </w: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4,271</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8,631</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34,274</w:t>
            </w:r>
          </w:p>
        </w:tc>
        <w:tc>
          <w:tcPr>
            <w:tcW w:w="100" w:type="dxa"/>
            <w:vAlign w:val="bottom"/>
            <w:shd w:val="clear" w:color="auto" w:fill="CCEEFF"/>
          </w:tcPr>
          <w:p>
            <w:pPr>
              <w:spacing w:after="0"/>
              <w:rPr>
                <w:sz w:val="21"/>
                <w:szCs w:val="21"/>
                <w:color w:val="auto"/>
              </w:rPr>
            </w:pPr>
          </w:p>
        </w:tc>
      </w:tr>
      <w:tr>
        <w:trPr>
          <w:trHeight w:val="237"/>
        </w:trPr>
        <w:tc>
          <w:tcPr>
            <w:tcW w:w="61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190,271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174,083</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185,149</w:t>
            </w:r>
          </w:p>
        </w:tc>
        <w:tc>
          <w:tcPr>
            <w:tcW w:w="100" w:type="dxa"/>
            <w:vAlign w:val="bottom"/>
            <w:tcBorders>
              <w:bottom w:val="single" w:sz="8" w:color="CCEEFF"/>
            </w:tcBorders>
          </w:tcPr>
          <w:p>
            <w:pPr>
              <w:spacing w:after="0"/>
              <w:rPr>
                <w:sz w:val="20"/>
                <w:szCs w:val="20"/>
                <w:color w:val="auto"/>
              </w:rPr>
            </w:pPr>
          </w:p>
        </w:tc>
      </w:tr>
      <w:tr>
        <w:trPr>
          <w:trHeight w:val="237"/>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Purchases of property, plant, and equipment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(39,885)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(37,432)</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(40,812)</w:t>
            </w: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Proceeds from disposal of property, plant, and equipment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1,033</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2,740</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Investments in affiliates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Decrease in other assets</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1,161</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Proceeds from sale of businesses</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r>
      <w:tr>
        <w:trPr>
          <w:trHeight w:val="243"/>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Acquisition, net of cash acquired</w:t>
            </w: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(35,285)</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612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(38,062)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(68,419)</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(38,296)</w:t>
            </w:r>
          </w:p>
        </w:tc>
      </w:tr>
      <w:tr>
        <w:trPr>
          <w:trHeight w:val="237"/>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Decrease in short-term debt, net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Repayments of long-term debt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(3,830)</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Excess tax benefits from stock-based awards</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13,131</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5,989</w:t>
            </w: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Proceeds from exercise of stock-based awards</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10,683</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8,164</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Purchases of Toro common stock</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(146,543)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(156,972)</w:t>
            </w: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(169,821)</w:t>
            </w: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Dividends paid on Toro common stock</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(15,421)</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(5,839)</w:t>
            </w:r>
          </w:p>
        </w:tc>
      </w:tr>
      <w:tr>
        <w:trPr>
          <w:trHeight w:val="20"/>
        </w:trPr>
        <w:tc>
          <w:tcPr>
            <w:tcW w:w="6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120" w:type="dxa"/>
            <w:vAlign w:val="bottom"/>
          </w:tcPr>
          <w:p>
            <w:pPr>
              <w:ind w:left="540"/>
              <w:spacing w:after="0"/>
              <w:rPr>
                <w:sz w:val="20"/>
                <w:szCs w:val="20"/>
                <w:color w:val="auto"/>
              </w:rPr>
            </w:pPr>
            <w:r>
              <w:rPr>
                <w:rFonts w:ascii="Arial" w:cs="Arial" w:eastAsia="Arial" w:hAnsi="Arial"/>
                <w:sz w:val="18"/>
                <w:szCs w:val="18"/>
                <w:b w:val="1"/>
                <w:bCs w:val="1"/>
                <w:color w:val="auto"/>
              </w:rPr>
              <w:t>Net cash used in financing activities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(138,201)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(154,393)</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(166,222)</w:t>
            </w:r>
          </w:p>
        </w:tc>
      </w:tr>
      <w:tr>
        <w:trPr>
          <w:trHeight w:val="20"/>
        </w:trPr>
        <w:tc>
          <w:tcPr>
            <w:tcW w:w="6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rates on cash</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r>
      <w:tr>
        <w:trPr>
          <w:trHeight w:val="20"/>
        </w:trPr>
        <w:tc>
          <w:tcPr>
            <w:tcW w:w="6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14,121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(49,354)</w:t>
            </w: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(19,531)</w:t>
            </w:r>
          </w:p>
        </w:tc>
      </w:tr>
      <w:tr>
        <w:trPr>
          <w:trHeight w:val="243"/>
        </w:trPr>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41,402</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90,756</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110,287</w:t>
            </w:r>
          </w:p>
        </w:tc>
        <w:tc>
          <w:tcPr>
            <w:tcW w:w="100" w:type="dxa"/>
            <w:vAlign w:val="bottom"/>
            <w:shd w:val="clear" w:color="auto" w:fill="CCEEFF"/>
          </w:tcPr>
          <w:p>
            <w:pPr>
              <w:spacing w:after="0"/>
              <w:rPr>
                <w:sz w:val="21"/>
                <w:szCs w:val="21"/>
                <w:color w:val="auto"/>
              </w:rPr>
            </w:pPr>
          </w:p>
        </w:tc>
      </w:tr>
      <w:tr>
        <w:trPr>
          <w:trHeight w:val="237"/>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end of the fiscal year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55,523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41,402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w:t>
            </w:r>
          </w:p>
        </w:tc>
        <w:tc>
          <w:tcPr>
            <w:tcW w:w="100" w:type="dxa"/>
            <w:vAlign w:val="bottom"/>
            <w:tcBorders>
              <w:bottom w:val="single" w:sz="8" w:color="CCEEFF"/>
            </w:tcBorders>
          </w:tcPr>
          <w:p>
            <w:pPr>
              <w:spacing w:after="0"/>
              <w:rPr>
                <w:sz w:val="20"/>
                <w:szCs w:val="20"/>
                <w:color w:val="auto"/>
              </w:rPr>
            </w:pPr>
          </w:p>
        </w:tc>
      </w:tr>
      <w:tr>
        <w:trPr>
          <w:trHeight w:val="237"/>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Cash paid during the fiscal year for:</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18,365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18,310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Income taxes</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56,985</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46,761</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46,933</w:t>
            </w:r>
          </w:p>
        </w:tc>
        <w:tc>
          <w:tcPr>
            <w:tcW w:w="100" w:type="dxa"/>
            <w:vAlign w:val="bottom"/>
          </w:tcPr>
          <w:p>
            <w:pPr>
              <w:spacing w:after="0"/>
              <w:rPr>
                <w:sz w:val="21"/>
                <w:szCs w:val="21"/>
                <w:color w:val="auto"/>
              </w:rPr>
            </w:pPr>
          </w:p>
        </w:tc>
      </w:tr>
      <w:tr>
        <w:trPr>
          <w:trHeight w:val="243"/>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issued in connection with stock-based compensation plans</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6,176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4,284</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21"/>
                <w:szCs w:val="21"/>
                <w:color w:val="auto"/>
              </w:rPr>
            </w:pPr>
          </w:p>
        </w:tc>
      </w:tr>
      <w:tr>
        <w:trPr>
          <w:trHeight w:val="243"/>
        </w:trPr>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Accounts receivable converted to long-term notes receivable</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673B6"/>
        </w:rPr>
        <w:t>CONSOLIDATED STATEMENTS OF STOCKHOLDERS’ EQUITY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Accumulated</w:t>
            </w: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Common</w:t>
            </w:r>
          </w:p>
        </w:tc>
        <w:tc>
          <w:tcPr>
            <w:tcW w:w="26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Retained</w:t>
            </w:r>
          </w:p>
        </w:tc>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Comprehensive</w:t>
            </w:r>
          </w:p>
        </w:tc>
        <w:tc>
          <w:tcPr>
            <w:tcW w:w="1480" w:type="dxa"/>
            <w:vAlign w:val="bottom"/>
            <w:gridSpan w:val="3"/>
          </w:tcPr>
          <w:p>
            <w:pPr>
              <w:jc w:val="right"/>
              <w:ind w:right="300"/>
              <w:spacing w:after="0"/>
              <w:rPr>
                <w:sz w:val="20"/>
                <w:szCs w:val="20"/>
                <w:color w:val="auto"/>
              </w:rPr>
            </w:pPr>
            <w:r>
              <w:rPr>
                <w:rFonts w:ascii="Arial" w:cs="Arial" w:eastAsia="Arial" w:hAnsi="Arial"/>
                <w:sz w:val="16"/>
                <w:szCs w:val="16"/>
                <w:color w:val="auto"/>
              </w:rPr>
              <w:t>Stockholders’</w:t>
            </w:r>
          </w:p>
        </w:tc>
        <w:tc>
          <w:tcPr>
            <w:tcW w:w="1440" w:type="dxa"/>
            <w:vAlign w:val="bottom"/>
            <w:gridSpan w:val="4"/>
          </w:tcPr>
          <w:p>
            <w:pPr>
              <w:jc w:val="right"/>
              <w:ind w:right="80"/>
              <w:spacing w:after="0"/>
              <w:rPr>
                <w:sz w:val="20"/>
                <w:szCs w:val="20"/>
                <w:color w:val="auto"/>
              </w:rPr>
            </w:pPr>
            <w:r>
              <w:rPr>
                <w:rFonts w:ascii="Arial" w:cs="Arial" w:eastAsia="Arial" w:hAnsi="Arial"/>
                <w:sz w:val="16"/>
                <w:szCs w:val="16"/>
                <w:color w:val="auto"/>
              </w:rPr>
              <w:t>Comprehensive</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6"/>
                <w:szCs w:val="16"/>
                <w:color w:val="auto"/>
              </w:rPr>
              <w:t>(Dollars in thousands)</w:t>
            </w:r>
          </w:p>
        </w:tc>
        <w:tc>
          <w:tcPr>
            <w:tcW w:w="56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Stock</w:t>
            </w:r>
          </w:p>
        </w:tc>
        <w:tc>
          <w:tcPr>
            <w:tcW w:w="26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Earnings</w:t>
            </w:r>
          </w:p>
        </w:tc>
        <w:tc>
          <w:tcPr>
            <w:tcW w:w="740" w:type="dxa"/>
            <w:vAlign w:val="bottom"/>
          </w:tcPr>
          <w:p>
            <w:pPr>
              <w:spacing w:after="0"/>
              <w:rPr>
                <w:sz w:val="16"/>
                <w:szCs w:val="16"/>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Loss</w:t>
            </w:r>
          </w:p>
        </w:tc>
        <w:tc>
          <w:tcPr>
            <w:tcW w:w="4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Equity</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196"/>
        </w:trPr>
        <w:tc>
          <w:tcPr>
            <w:tcW w:w="4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October 31, 2003</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48,778</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415,563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(12,818)</w:t>
            </w:r>
          </w:p>
        </w:tc>
        <w:tc>
          <w:tcPr>
            <w:tcW w:w="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451,523</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6"/>
                <w:szCs w:val="16"/>
                <w:color w:val="auto"/>
              </w:rPr>
              <w:t>Cash dividends paid on common stock</w:t>
            </w:r>
          </w:p>
        </w:tc>
        <w:tc>
          <w:tcPr>
            <w:tcW w:w="5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(5,807)</w:t>
            </w:r>
          </w:p>
        </w:tc>
        <w:tc>
          <w:tcPr>
            <w:tcW w:w="74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(5,839)</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Issuance of 1,560,128 shares under stock-based</w:t>
            </w:r>
          </w:p>
        </w:tc>
        <w:tc>
          <w:tcPr>
            <w:tcW w:w="5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1,560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260" w:type="dxa"/>
            <w:vAlign w:val="bottom"/>
            <w:shd w:val="clear" w:color="auto" w:fill="CCEEFF"/>
          </w:tcPr>
          <w:p>
            <w:pPr>
              <w:ind w:left="180"/>
              <w:spacing w:after="0" w:line="174" w:lineRule="exact"/>
              <w:rPr>
                <w:sz w:val="20"/>
                <w:szCs w:val="20"/>
                <w:color w:val="auto"/>
              </w:rPr>
            </w:pPr>
            <w:r>
              <w:rPr>
                <w:rFonts w:ascii="Arial" w:cs="Arial" w:eastAsia="Arial" w:hAnsi="Arial"/>
                <w:sz w:val="16"/>
                <w:szCs w:val="16"/>
                <w:color w:val="auto"/>
              </w:rPr>
              <w:t>compensation plans</w:t>
            </w:r>
          </w:p>
        </w:tc>
        <w:tc>
          <w:tcPr>
            <w:tcW w:w="5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9"/>
              <w:spacing w:after="0" w:line="174" w:lineRule="exact"/>
              <w:rPr>
                <w:sz w:val="20"/>
                <w:szCs w:val="20"/>
                <w:color w:val="auto"/>
              </w:rPr>
            </w:pPr>
            <w:r>
              <w:rPr>
                <w:rFonts w:ascii="Arial" w:cs="Arial" w:eastAsia="Arial" w:hAnsi="Arial"/>
                <w:sz w:val="16"/>
                <w:szCs w:val="16"/>
                <w:color w:val="auto"/>
              </w:rPr>
              <w:t>25,701</w:t>
            </w: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79"/>
              <w:spacing w:after="0" w:line="174"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27,261</w:t>
            </w: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56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3,496</w:t>
            </w:r>
          </w:p>
        </w:tc>
        <w:tc>
          <w:tcPr>
            <w:tcW w:w="7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3,496</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Purchase of 5,270,814 shares of common stock</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(164,551)</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(169,821)</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Excess tax benefits from stock options</w:t>
            </w:r>
          </w:p>
        </w:tc>
        <w:tc>
          <w:tcPr>
            <w:tcW w:w="56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9,857</w:t>
            </w:r>
          </w:p>
        </w:tc>
        <w:tc>
          <w:tcPr>
            <w:tcW w:w="7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9,857</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Minimum pension liability adjustment, net of tax</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56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771</w:t>
            </w: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derivative instruments, net of tax</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749</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earnings</w:t>
            </w:r>
          </w:p>
        </w:tc>
        <w:tc>
          <w:tcPr>
            <w:tcW w:w="5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102,666</w:t>
            </w:r>
          </w:p>
        </w:tc>
        <w:tc>
          <w:tcPr>
            <w:tcW w:w="7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102,666</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102,666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as of October 31, 2004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45,036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386,925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(11,142)</w:t>
            </w: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420,819</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paid on common stock</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(10,755)</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(10,755)</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Arial" w:cs="Arial" w:eastAsia="Arial" w:hAnsi="Arial"/>
                <w:sz w:val="16"/>
                <w:szCs w:val="16"/>
                <w:color w:val="auto"/>
              </w:rPr>
              <w:t>Issuance of 784,610 shares under stock-based</w:t>
            </w:r>
          </w:p>
        </w:tc>
        <w:tc>
          <w:tcPr>
            <w:tcW w:w="560" w:type="dxa"/>
            <w:vAlign w:val="bottom"/>
          </w:tcPr>
          <w:p>
            <w:pPr>
              <w:spacing w:after="0"/>
              <w:rPr>
                <w:sz w:val="18"/>
                <w:szCs w:val="18"/>
                <w:color w:val="auto"/>
              </w:rPr>
            </w:pPr>
          </w:p>
        </w:tc>
        <w:tc>
          <w:tcPr>
            <w:tcW w:w="740" w:type="dxa"/>
            <w:vAlign w:val="bottom"/>
            <w:vMerge w:val="restart"/>
          </w:tcPr>
          <w:p>
            <w:pPr>
              <w:jc w:val="right"/>
              <w:ind w:right="79"/>
              <w:spacing w:after="0"/>
              <w:rPr>
                <w:sz w:val="20"/>
                <w:szCs w:val="20"/>
                <w:color w:val="auto"/>
              </w:rPr>
            </w:pPr>
            <w:r>
              <w:rPr>
                <w:rFonts w:ascii="Arial" w:cs="Arial" w:eastAsia="Arial" w:hAnsi="Arial"/>
                <w:sz w:val="16"/>
                <w:szCs w:val="16"/>
                <w:color w:val="auto"/>
              </w:rPr>
              <w:t>785</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260" w:type="dxa"/>
            <w:vAlign w:val="bottom"/>
          </w:tcPr>
          <w:p>
            <w:pPr>
              <w:ind w:left="180"/>
              <w:spacing w:after="0" w:line="174" w:lineRule="exact"/>
              <w:rPr>
                <w:sz w:val="20"/>
                <w:szCs w:val="20"/>
                <w:color w:val="auto"/>
              </w:rPr>
            </w:pPr>
            <w:r>
              <w:rPr>
                <w:rFonts w:ascii="Arial" w:cs="Arial" w:eastAsia="Arial" w:hAnsi="Arial"/>
                <w:sz w:val="16"/>
                <w:szCs w:val="16"/>
                <w:color w:val="auto"/>
              </w:rPr>
              <w:t>compensation plans</w:t>
            </w:r>
          </w:p>
        </w:tc>
        <w:tc>
          <w:tcPr>
            <w:tcW w:w="5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199"/>
              <w:spacing w:after="0" w:line="174" w:lineRule="exact"/>
              <w:rPr>
                <w:sz w:val="20"/>
                <w:szCs w:val="20"/>
                <w:color w:val="auto"/>
              </w:rPr>
            </w:pPr>
            <w:r>
              <w:rPr>
                <w:rFonts w:ascii="Arial" w:cs="Arial" w:eastAsia="Arial" w:hAnsi="Arial"/>
                <w:sz w:val="16"/>
                <w:szCs w:val="16"/>
                <w:color w:val="auto"/>
              </w:rPr>
              <w:t>13,374</w:t>
            </w:r>
          </w:p>
        </w:tc>
        <w:tc>
          <w:tcPr>
            <w:tcW w:w="740" w:type="dxa"/>
            <w:vAlign w:val="bottom"/>
          </w:tcPr>
          <w:p>
            <w:pPr>
              <w:spacing w:after="0"/>
              <w:rPr>
                <w:sz w:val="15"/>
                <w:szCs w:val="15"/>
                <w:color w:val="auto"/>
              </w:rPr>
            </w:pPr>
          </w:p>
        </w:tc>
        <w:tc>
          <w:tcPr>
            <w:tcW w:w="900" w:type="dxa"/>
            <w:vAlign w:val="bottom"/>
          </w:tcPr>
          <w:p>
            <w:pPr>
              <w:jc w:val="right"/>
              <w:ind w:right="179"/>
              <w:spacing w:after="0" w:line="174"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14,159</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Contribution of stock to a deferred compensation trust</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3,151</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3,151</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Purchase of 3,922,805 shares of common stock</w:t>
            </w:r>
          </w:p>
        </w:tc>
        <w:tc>
          <w:tcPr>
            <w:tcW w:w="5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(3,922)</w:t>
            </w:r>
          </w:p>
        </w:tc>
        <w:tc>
          <w:tcPr>
            <w:tcW w:w="2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(153,050)</w:t>
            </w:r>
          </w:p>
        </w:tc>
        <w:tc>
          <w:tcPr>
            <w:tcW w:w="7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(156,972)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Excess tax benefits from stock options</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5,989</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5,989</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Minimum pension liability adjustment, net of tax</w:t>
            </w:r>
          </w:p>
        </w:tc>
        <w:tc>
          <w:tcPr>
            <w:tcW w:w="56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(43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(2,395)</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(2,395)</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(2,395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6"/>
                <w:szCs w:val="16"/>
                <w:color w:val="auto"/>
              </w:rPr>
              <w:t>Unrealized gain on derivative instruments, net of tax</w:t>
            </w:r>
          </w:p>
        </w:tc>
        <w:tc>
          <w:tcPr>
            <w:tcW w:w="56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1,999</w:t>
            </w:r>
          </w:p>
        </w:tc>
        <w:tc>
          <w:tcPr>
            <w:tcW w:w="4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1,999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bl>
    <w:p>
      <w:pPr>
        <w:sectPr>
          <w:pgSz w:w="11900" w:h="16878" w:orient="portrait"/>
          <w:cols w:equalWidth="0" w:num="1">
            <w:col w:w="11420"/>
          </w:cols>
          <w:pgMar w:left="240" w:top="157" w:right="239" w:bottom="0" w:gutter="0" w:footer="0" w:header="0"/>
        </w:sectPr>
      </w:pPr>
    </w:p>
    <w:bookmarkStart w:id="32" w:name="page33"/>
    <w:bookmarkEnd w:id="3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114,082</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114,082</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October 31, 2005</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41,899</w:t>
            </w:r>
          </w:p>
        </w:tc>
        <w:tc>
          <w:tcPr>
            <w:tcW w:w="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359,716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(11,581)</w:t>
            </w:r>
          </w:p>
        </w:tc>
        <w:tc>
          <w:tcPr>
            <w:tcW w:w="4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390,034</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6"/>
                <w:szCs w:val="16"/>
                <w:b w:val="1"/>
                <w:bCs w:val="1"/>
                <w:color w:val="auto"/>
              </w:rPr>
              <w:t>Cash dividends paid on common stock</w:t>
            </w:r>
          </w:p>
        </w:tc>
        <w:tc>
          <w:tcPr>
            <w:tcW w:w="38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(15,421)</w:t>
            </w:r>
          </w:p>
        </w:tc>
        <w:tc>
          <w:tcPr>
            <w:tcW w:w="58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(15,421)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Issuance of 1,826,536 shares under stock-based</w:t>
            </w:r>
          </w:p>
        </w:tc>
        <w:tc>
          <w:tcPr>
            <w:tcW w:w="3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1,826</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compensation plans</w:t>
            </w:r>
          </w:p>
        </w:tc>
        <w:tc>
          <w:tcPr>
            <w:tcW w:w="3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10,940</w:t>
            </w: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12,766</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b w:val="1"/>
                <w:bCs w:val="1"/>
                <w:color w:val="auto"/>
              </w:rPr>
              <w:t>Contribution of stock to a deferred compensation trust</w:t>
            </w:r>
          </w:p>
        </w:tc>
        <w:tc>
          <w:tcPr>
            <w:tcW w:w="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4,185</w:t>
            </w:r>
          </w:p>
        </w:tc>
        <w:tc>
          <w:tcPr>
            <w:tcW w:w="58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4,185</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 of 3,369,285 shares of common stock</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(3,369)</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(143,174)</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(146,543)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b w:val="1"/>
                <w:bCs w:val="1"/>
                <w:color w:val="auto"/>
              </w:rPr>
              <w:t>Excess tax benefits from stock options</w:t>
            </w:r>
          </w:p>
        </w:tc>
        <w:tc>
          <w:tcPr>
            <w:tcW w:w="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13,131</w:t>
            </w:r>
          </w:p>
        </w:tc>
        <w:tc>
          <w:tcPr>
            <w:tcW w:w="58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13,131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Minimum pension liability adjustment, net of tax</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2,077</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2,077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2,077</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b w:val="1"/>
                <w:bCs w:val="1"/>
                <w:color w:val="auto"/>
              </w:rPr>
              <w:t>Foreign currency translation adjustments</w:t>
            </w:r>
          </w:p>
        </w:tc>
        <w:tc>
          <w:tcPr>
            <w:tcW w:w="3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2,798</w:t>
            </w:r>
          </w:p>
        </w:tc>
        <w:tc>
          <w:tcPr>
            <w:tcW w:w="44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2,798</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2,798</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Unrealized loss on derivative instruments, net of tax</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(143)</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(143)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b w:val="1"/>
                <w:bCs w:val="1"/>
                <w:color w:val="auto"/>
              </w:rPr>
              <w:t>(143</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earnings</w:t>
            </w: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ind w:right="359"/>
              <w:spacing w:after="0"/>
              <w:rPr>
                <w:sz w:val="20"/>
                <w:szCs w:val="20"/>
                <w:color w:val="auto"/>
              </w:rPr>
            </w:pPr>
            <w:r>
              <w:rPr>
                <w:rFonts w:ascii="Arial" w:cs="Arial" w:eastAsia="Arial" w:hAnsi="Arial"/>
                <w:sz w:val="16"/>
                <w:szCs w:val="16"/>
                <w:b w:val="1"/>
                <w:bCs w:val="1"/>
                <w:color w:val="auto"/>
              </w:rPr>
              <w:t>129,145</w:t>
            </w:r>
          </w:p>
        </w:tc>
        <w:tc>
          <w:tcPr>
            <w:tcW w:w="5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129,145</w:t>
            </w:r>
          </w:p>
        </w:tc>
        <w:tc>
          <w:tcPr>
            <w:tcW w:w="4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129,145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133,877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as of October 31, 2006</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40,356</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358,522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(6,849)</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392,029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673B6"/>
        </w:rPr>
        <w:t>NOTES TO CONSOLIDATED FINANCIAL STATEMENTS</w:t>
      </w: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673B6"/>
        </w:rPr>
        <w:t>SUMMARY OF SIGNIFICANT</w:t>
      </w:r>
    </w:p>
    <w:p>
      <w:pPr>
        <w:spacing w:after="0" w:line="82" w:lineRule="exact"/>
        <w:rPr>
          <w:sz w:val="20"/>
          <w:szCs w:val="20"/>
          <w:color w:val="auto"/>
        </w:rPr>
      </w:pPr>
    </w:p>
    <w:p>
      <w:pPr>
        <w:ind w:left="540" w:right="8340" w:hanging="532"/>
        <w:spacing w:after="0" w:line="180" w:lineRule="auto"/>
        <w:tabs>
          <w:tab w:leader="none" w:pos="540" w:val="left"/>
        </w:tabs>
        <w:numPr>
          <w:ilvl w:val="0"/>
          <w:numId w:val="67"/>
        </w:numPr>
        <w:rPr>
          <w:rFonts w:ascii="Arial" w:cs="Arial" w:eastAsia="Arial" w:hAnsi="Arial"/>
          <w:sz w:val="43"/>
          <w:szCs w:val="43"/>
          <w:b w:val="1"/>
          <w:bCs w:val="1"/>
          <w:color w:val="4673B6"/>
        </w:rPr>
      </w:pPr>
      <w:r>
        <w:rPr>
          <w:rFonts w:ascii="Arial" w:cs="Arial" w:eastAsia="Arial" w:hAnsi="Arial"/>
          <w:sz w:val="18"/>
          <w:szCs w:val="18"/>
          <w:b w:val="1"/>
          <w:bCs w:val="1"/>
          <w:color w:val="4673B6"/>
        </w:rPr>
        <w:t>ACCOUNTING POLICIES AND RELATED DATA</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Basis of Presentation and Consolidation</w:t>
      </w:r>
    </w:p>
    <w:p>
      <w:pPr>
        <w:spacing w:after="0" w:line="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In accordance with the cost method, these investments are recorded at cost or fair value, as appropriate. All material intercompany accounts and transactions have been eliminated from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Accounting Estimates</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Reclassifications</w:t>
      </w:r>
    </w:p>
    <w:p>
      <w:pPr>
        <w:spacing w:after="0" w:line="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 The reclassifications had no impact on operations as previously reported.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and Cash Equivalents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Receivables</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grants credit to customers in the normal course of business. Management performs on-going credit evaluations of customers and maintains allowances for potential credit losses. Receivables are recorded at original carrying value less reserves for estimated uncollectible accounts.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Inventories</w:t>
      </w:r>
    </w:p>
    <w:p>
      <w:pPr>
        <w:spacing w:after="0" w:line="4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The first-in, first-out (FIFO) method is used for other inventories, constituting approximately 35 percent and 32 percent of total inventories as of October 31, 2006 and 2005, respectively. The company establishes a reserve for excess, slow-moving, and obsolete inventory that is based on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During fiscal 2006, LIFO inventory layers were reduced. This reduction resulted in charging lower inventory costs prevailing in previous years to cost of sales, thus reducing cost of sales by $713,000 below the amount that would have resulted from replacing the liquidated inventory at end of year prices.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as of October 31 were as follows:</w:t>
      </w: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203"/>
        </w:trPr>
        <w:tc>
          <w:tcPr>
            <w:tcW w:w="2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2006</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CCEEFF"/>
            </w:tcBorders>
          </w:tcPr>
          <w:p>
            <w:pPr>
              <w:spacing w:after="0"/>
              <w:rPr>
                <w:sz w:val="17"/>
                <w:szCs w:val="17"/>
                <w:color w:val="auto"/>
              </w:rPr>
            </w:pP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67,976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61,824</w:t>
            </w:r>
          </w:p>
        </w:tc>
        <w:tc>
          <w:tcPr>
            <w:tcW w:w="60" w:type="dxa"/>
            <w:vAlign w:val="bottom"/>
            <w:shd w:val="clear" w:color="auto" w:fill="CCEEFF"/>
          </w:tcPr>
          <w:p>
            <w:pPr>
              <w:spacing w:after="0"/>
              <w:rPr>
                <w:sz w:val="15"/>
                <w:szCs w:val="15"/>
                <w:color w:val="auto"/>
              </w:rPr>
            </w:pPr>
          </w:p>
        </w:tc>
      </w:tr>
      <w:tr>
        <w:trPr>
          <w:trHeight w:val="189"/>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229,137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231,772</w:t>
            </w:r>
          </w:p>
        </w:tc>
        <w:tc>
          <w:tcPr>
            <w:tcW w:w="60" w:type="dxa"/>
            <w:vAlign w:val="bottom"/>
            <w:tcBorders>
              <w:bottom w:val="single" w:sz="8" w:color="CCEEFF"/>
            </w:tcBorders>
          </w:tcPr>
          <w:p>
            <w:pPr>
              <w:spacing w:after="0"/>
              <w:rPr>
                <w:sz w:val="16"/>
                <w:szCs w:val="16"/>
                <w:color w:val="auto"/>
              </w:rPr>
            </w:pPr>
          </w:p>
        </w:tc>
      </w:tr>
      <w:tr>
        <w:trPr>
          <w:trHeight w:val="183"/>
        </w:trPr>
        <w:tc>
          <w:tcPr>
            <w:tcW w:w="2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297,113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293,596</w:t>
            </w:r>
          </w:p>
        </w:tc>
        <w:tc>
          <w:tcPr>
            <w:tcW w:w="60" w:type="dxa"/>
            <w:vAlign w:val="bottom"/>
            <w:shd w:val="clear" w:color="auto" w:fill="CCEEFF"/>
          </w:tcPr>
          <w:p>
            <w:pPr>
              <w:spacing w:after="0"/>
              <w:rPr>
                <w:sz w:val="15"/>
                <w:szCs w:val="15"/>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4"/>
                <w:szCs w:val="14"/>
                <w:b w:val="1"/>
                <w:bCs w:val="1"/>
                <w:color w:val="auto"/>
              </w:rPr>
              <w:t>Less:  LIFO reserve</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40,860</w:t>
            </w:r>
          </w:p>
        </w:tc>
        <w:tc>
          <w:tcPr>
            <w:tcW w:w="740" w:type="dxa"/>
            <w:vAlign w:val="bottom"/>
          </w:tcPr>
          <w:p>
            <w:pPr>
              <w:jc w:val="right"/>
              <w:spacing w:after="0"/>
              <w:rPr>
                <w:sz w:val="20"/>
                <w:szCs w:val="20"/>
                <w:color w:val="auto"/>
              </w:rPr>
            </w:pPr>
            <w:r>
              <w:rPr>
                <w:rFonts w:ascii="Arial" w:cs="Arial" w:eastAsia="Arial" w:hAnsi="Arial"/>
                <w:sz w:val="14"/>
                <w:szCs w:val="14"/>
                <w:color w:val="auto"/>
              </w:rPr>
              <w:t>40,011</w:t>
            </w:r>
          </w:p>
        </w:tc>
        <w:tc>
          <w:tcPr>
            <w:tcW w:w="60" w:type="dxa"/>
            <w:vAlign w:val="bottom"/>
          </w:tcPr>
          <w:p>
            <w:pPr>
              <w:spacing w:after="0"/>
              <w:rPr>
                <w:sz w:val="16"/>
                <w:szCs w:val="16"/>
                <w:color w:val="auto"/>
              </w:rPr>
            </w:pPr>
          </w:p>
        </w:tc>
      </w:tr>
      <w:tr>
        <w:trPr>
          <w:trHeight w:val="189"/>
        </w:trPr>
        <w:tc>
          <w:tcPr>
            <w:tcW w:w="2760" w:type="dxa"/>
            <w:vAlign w:val="bottom"/>
            <w:shd w:val="clear" w:color="auto" w:fill="CCEEFF"/>
          </w:tcPr>
          <w:p>
            <w:pPr>
              <w:ind w:left="540"/>
              <w:spacing w:after="0"/>
              <w:rPr>
                <w:sz w:val="20"/>
                <w:szCs w:val="20"/>
                <w:color w:val="auto"/>
              </w:rPr>
            </w:pPr>
            <w:r>
              <w:rPr>
                <w:rFonts w:ascii="Arial" w:cs="Arial" w:eastAsia="Arial" w:hAnsi="Arial"/>
                <w:sz w:val="14"/>
                <w:szCs w:val="14"/>
                <w:b w:val="1"/>
                <w:bCs w:val="1"/>
                <w:color w:val="auto"/>
              </w:rPr>
              <w:t>Reserves for excess and</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7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obsolete inventory</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17,709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18,238</w:t>
            </w:r>
          </w:p>
        </w:tc>
        <w:tc>
          <w:tcPr>
            <w:tcW w:w="60" w:type="dxa"/>
            <w:vAlign w:val="bottom"/>
            <w:shd w:val="clear" w:color="auto" w:fill="CCEEFF"/>
          </w:tcPr>
          <w:p>
            <w:pPr>
              <w:spacing w:after="0"/>
              <w:rPr>
                <w:sz w:val="16"/>
                <w:szCs w:val="16"/>
                <w:color w:val="auto"/>
              </w:rPr>
            </w:pPr>
          </w:p>
        </w:tc>
      </w:tr>
    </w:tbl>
    <w:p>
      <w:pPr>
        <w:sectPr>
          <w:pgSz w:w="11900" w:h="16870" w:orient="portrait"/>
          <w:cols w:equalWidth="0" w:num="1">
            <w:col w:w="11420"/>
          </w:cols>
          <w:pgMar w:left="240" w:top="140" w:right="239" w:bottom="0" w:gutter="0" w:footer="0" w:header="0"/>
        </w:sectPr>
      </w:pPr>
    </w:p>
    <w:bookmarkStart w:id="33" w:name="page34"/>
    <w:bookmarkEnd w:id="33"/>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03"/>
        </w:trPr>
        <w:tc>
          <w:tcPr>
            <w:tcW w:w="1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2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$ 238,544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$ 235,347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Property and Depreciation</w:t>
      </w:r>
    </w:p>
    <w:p>
      <w:pPr>
        <w:spacing w:after="0" w:line="40"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45 years, and equipment over 3 to 7 years. Tooling costs are generally depreciated over 3 to 5 years using the straight-line method. Software and web site development costs are generally amortized over 2 to 5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2006, 2005, and 2004, the company capitalized $760,000, $408,000, and $446,000 of interest,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CCEEFF"/>
            </w:tcBorders>
          </w:tcPr>
          <w:p>
            <w:pPr>
              <w:spacing w:after="0"/>
              <w:rPr>
                <w:sz w:val="17"/>
                <w:szCs w:val="17"/>
                <w:color w:val="auto"/>
              </w:rPr>
            </w:pPr>
          </w:p>
        </w:tc>
      </w:tr>
      <w:tr>
        <w:trPr>
          <w:trHeight w:val="183"/>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Land and land improvements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22,445</w:t>
            </w:r>
          </w:p>
        </w:tc>
        <w:tc>
          <w:tcPr>
            <w:tcW w:w="60" w:type="dxa"/>
            <w:vAlign w:val="bottom"/>
            <w:shd w:val="clear" w:color="auto" w:fill="CCEEFF"/>
          </w:tcPr>
          <w:p>
            <w:pPr>
              <w:spacing w:after="0"/>
              <w:rPr>
                <w:sz w:val="15"/>
                <w:szCs w:val="15"/>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107,650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108,033</w:t>
            </w:r>
          </w:p>
        </w:tc>
        <w:tc>
          <w:tcPr>
            <w:tcW w:w="60" w:type="dxa"/>
            <w:vAlign w:val="bottom"/>
          </w:tcPr>
          <w:p>
            <w:pPr>
              <w:spacing w:after="0"/>
              <w:rPr>
                <w:sz w:val="16"/>
                <w:szCs w:val="16"/>
                <w:color w:val="auto"/>
              </w:rPr>
            </w:pPr>
          </w:p>
        </w:tc>
      </w:tr>
      <w:tr>
        <w:trPr>
          <w:trHeight w:val="189"/>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Equipment</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410,433</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376,406</w:t>
            </w:r>
          </w:p>
        </w:tc>
        <w:tc>
          <w:tcPr>
            <w:tcW w:w="60" w:type="dxa"/>
            <w:vAlign w:val="bottom"/>
            <w:shd w:val="clear" w:color="auto" w:fill="CCEEFF"/>
          </w:tcPr>
          <w:p>
            <w:pPr>
              <w:spacing w:after="0"/>
              <w:rPr>
                <w:sz w:val="16"/>
                <w:szCs w:val="16"/>
                <w:color w:val="auto"/>
              </w:rPr>
            </w:pPr>
          </w:p>
        </w:tc>
      </w:tr>
      <w:tr>
        <w:trPr>
          <w:trHeight w:val="183"/>
        </w:trPr>
        <w:tc>
          <w:tcPr>
            <w:tcW w:w="2900" w:type="dxa"/>
            <w:vAlign w:val="bottom"/>
          </w:tcPr>
          <w:p>
            <w:pPr>
              <w:spacing w:after="0"/>
              <w:rPr>
                <w:sz w:val="20"/>
                <w:szCs w:val="20"/>
                <w:color w:val="auto"/>
              </w:rPr>
            </w:pPr>
            <w:r>
              <w:rPr>
                <w:rFonts w:ascii="Arial" w:cs="Arial" w:eastAsia="Arial" w:hAnsi="Arial"/>
                <w:sz w:val="14"/>
                <w:szCs w:val="14"/>
                <w:b w:val="1"/>
                <w:bCs w:val="1"/>
                <w:color w:val="auto"/>
              </w:rPr>
              <w:t>Subtotal</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540,339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506,884</w:t>
            </w:r>
          </w:p>
        </w:tc>
        <w:tc>
          <w:tcPr>
            <w:tcW w:w="60" w:type="dxa"/>
            <w:vAlign w:val="bottom"/>
          </w:tcPr>
          <w:p>
            <w:pPr>
              <w:spacing w:after="0"/>
              <w:rPr>
                <w:sz w:val="15"/>
                <w:szCs w:val="15"/>
                <w:color w:val="auto"/>
              </w:rPr>
            </w:pPr>
          </w:p>
        </w:tc>
      </w:tr>
      <w:tr>
        <w:trPr>
          <w:trHeight w:val="189"/>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Less: accumulated depreciation</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374,016</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339,607</w:t>
            </w:r>
          </w:p>
        </w:tc>
        <w:tc>
          <w:tcPr>
            <w:tcW w:w="60" w:type="dxa"/>
            <w:vAlign w:val="bottom"/>
            <w:shd w:val="clear" w:color="auto" w:fill="CCEEFF"/>
          </w:tcPr>
          <w:p>
            <w:pPr>
              <w:spacing w:after="0"/>
              <w:rPr>
                <w:sz w:val="16"/>
                <w:szCs w:val="16"/>
                <w:color w:val="auto"/>
              </w:rPr>
            </w:pPr>
          </w:p>
        </w:tc>
      </w:tr>
      <w:tr>
        <w:trPr>
          <w:trHeight w:val="183"/>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property, plant, and equipment, net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166,323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167,277</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40" w:firstLine="180"/>
        <w:spacing w:after="0" w:line="277" w:lineRule="auto"/>
        <w:rPr>
          <w:sz w:val="20"/>
          <w:szCs w:val="20"/>
          <w:color w:val="auto"/>
        </w:rPr>
      </w:pPr>
      <w:r>
        <w:rPr>
          <w:rFonts w:ascii="Arial" w:cs="Arial" w:eastAsia="Arial" w:hAnsi="Arial"/>
          <w:sz w:val="18"/>
          <w:szCs w:val="18"/>
          <w:color w:val="auto"/>
        </w:rPr>
        <w:t>During fiscal years 2006, 2005, and 2004, the company recorded depreciation expense of $41,219,000, $41,579,000, and $34,959,000,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Goodwill and Other Intangible Assets</w:t>
      </w:r>
    </w:p>
    <w:p>
      <w:pPr>
        <w:spacing w:after="0" w:line="40" w:lineRule="exact"/>
        <w:rPr>
          <w:sz w:val="20"/>
          <w:szCs w:val="20"/>
          <w:color w:val="auto"/>
        </w:rPr>
      </w:pPr>
    </w:p>
    <w:p>
      <w:pPr>
        <w:jc w:val="both"/>
        <w:ind w:right="660"/>
        <w:spacing w:after="0" w:line="266" w:lineRule="auto"/>
        <w:rPr>
          <w:sz w:val="20"/>
          <w:szCs w:val="20"/>
          <w:color w:val="auto"/>
        </w:rPr>
      </w:pPr>
      <w:r>
        <w:rPr>
          <w:rFonts w:ascii="Arial" w:cs="Arial" w:eastAsia="Arial" w:hAnsi="Arial"/>
          <w:sz w:val="18"/>
          <w:szCs w:val="18"/>
          <w:color w:val="auto"/>
        </w:rPr>
        <w:t>Goodwill represents the excess of the purchase price over the fair value of net assets of businesses acquired and accounted for by the purchase method of accounting. Statement of Financial Accounting Standards (SFAS) No. 142, “Goodwill and Other Intangible Assets,” requires that goodwill and certain other tangible assets having indefinite lives no longer be amortized, but instead be tested annually for impairment or more frequently if events suggest the remaining value may not be recoverable.</w:t>
      </w:r>
    </w:p>
    <w:p>
      <w:pPr>
        <w:spacing w:after="0" w:line="1"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Other intangible assets with determinable lives consist primarily of patents and non-compete agreements that are amortized on a straight-line basis over periods ranging from two to 12 years.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Impairment of Long-Lived and Intangible Assets</w:t>
      </w:r>
    </w:p>
    <w:p>
      <w:pPr>
        <w:spacing w:after="0" w:line="40" w:lineRule="exact"/>
        <w:rPr>
          <w:sz w:val="20"/>
          <w:szCs w:val="20"/>
          <w:color w:val="auto"/>
        </w:rPr>
      </w:pPr>
    </w:p>
    <w:p>
      <w:pPr>
        <w:jc w:val="both"/>
        <w:ind w:right="400"/>
        <w:spacing w:after="0" w:line="270" w:lineRule="auto"/>
        <w:rPr>
          <w:sz w:val="20"/>
          <w:szCs w:val="20"/>
          <w:color w:val="auto"/>
        </w:rPr>
      </w:pPr>
      <w:r>
        <w:rPr>
          <w:rFonts w:ascii="Arial" w:cs="Arial" w:eastAsia="Arial" w:hAnsi="Arial"/>
          <w:sz w:val="18"/>
          <w:szCs w:val="18"/>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Based on the company’s annual analysis during fiscal 2006, no long-lived assets, goodwill, or other intangible assets were deemed impaired.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Accrued Warranties</w:t>
      </w:r>
    </w:p>
    <w:p>
      <w:pPr>
        <w:spacing w:after="0" w:line="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provides an accrual for estimated future warranty costs at the time of sale. The amount of the liability is based upon the historical relationship of warranty claims to sales by product line and major rework campaigns. The changes in warranty reserves were as follows:</w:t>
      </w:r>
    </w:p>
    <w:p>
      <w:pPr>
        <w:spacing w:after="0" w:line="165"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2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Beginning Balance</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$ 61,385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41,997</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40,494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(41,700)</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(39,984)</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3,553</w:t>
            </w:r>
          </w:p>
        </w:tc>
        <w:tc>
          <w:tcPr>
            <w:tcW w:w="1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3"/>
        </w:trPr>
        <w:tc>
          <w:tcPr>
            <w:tcW w:w="2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Ending Balance</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$ 65,235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61,385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Insurance</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Derivatives</w:t>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Derivatives, consisting mainly of forward currency contracts, are used to hedge most foreign currency transactions and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income, net in the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Foreign Currency Translation and Transactions</w:t>
      </w:r>
    </w:p>
    <w:p>
      <w:pPr>
        <w:sectPr>
          <w:pgSz w:w="11900" w:h="16838" w:orient="portrait"/>
          <w:cols w:equalWidth="0" w:num="1">
            <w:col w:w="11420"/>
          </w:cols>
          <w:pgMar w:left="240" w:top="120" w:right="239" w:bottom="0" w:gutter="0" w:footer="0" w:header="0"/>
        </w:sectPr>
      </w:pPr>
    </w:p>
    <w:p>
      <w:pPr>
        <w:spacing w:after="0" w:line="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separate component of</w:t>
      </w:r>
    </w:p>
    <w:p>
      <w:pPr>
        <w:sectPr>
          <w:pgSz w:w="11900" w:h="16838" w:orient="portrait"/>
          <w:cols w:equalWidth="0" w:num="1">
            <w:col w:w="11420"/>
          </w:cols>
          <w:pgMar w:left="240" w:top="120" w:right="239" w:bottom="0" w:gutter="0" w:footer="0" w:header="0"/>
          <w:type w:val="continuous"/>
        </w:sectPr>
      </w:pPr>
    </w:p>
    <w:bookmarkStart w:id="34" w:name="page35"/>
    <w:bookmarkEnd w:id="34"/>
    <w:p>
      <w:pPr>
        <w:spacing w:after="0" w:line="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stockholders’ equity, captioned accumulated other comprehensive loss. Gains or losses resulting from transactions denominated in foreign currencies are included in other income, net in the consolidated statements of earnings.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Income Taxes</w:t>
      </w:r>
    </w:p>
    <w:p>
      <w:pPr>
        <w:spacing w:after="0" w:line="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Revenue Recognition</w:t>
      </w:r>
    </w:p>
    <w:p>
      <w:pPr>
        <w:spacing w:after="0" w:line="4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Toro recognizes revenue when persuasive evidence of an arrangement exists, title and risk of ownership passes, the sales price is fixed or determinable, and collectibility is probable. These criteria are typically met at the time product is shipped, or in the case of certain agreements, when product is delivered. The company sells some of its products on consignment to a key retailer. Toro recognizes revenue for these consignment transactions when the product is shipped from the retailers’ distribution centers 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their stores. A provision is made at the time the related revenue is recognized for estimated product returns, cost of product warranties, floor plan costs, rebates, and other sales promotional expenses.</w:t>
      </w:r>
    </w:p>
    <w:p>
      <w:pPr>
        <w:jc w:val="both"/>
        <w:ind w:right="40" w:firstLine="180"/>
        <w:spacing w:after="0" w:line="266" w:lineRule="auto"/>
        <w:rPr>
          <w:sz w:val="20"/>
          <w:szCs w:val="20"/>
          <w:color w:val="auto"/>
        </w:rPr>
      </w:pPr>
      <w:r>
        <w:rPr>
          <w:rFonts w:ascii="Arial" w:cs="Arial" w:eastAsia="Arial" w:hAnsi="Arial"/>
          <w:sz w:val="18"/>
          <w:szCs w:val="18"/>
          <w:color w:val="auto"/>
        </w:rPr>
        <w:t>Retail customers may obtain financing through a third-party financing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1" w:lineRule="exact"/>
        <w:rPr>
          <w:sz w:val="20"/>
          <w:szCs w:val="20"/>
          <w:color w:val="auto"/>
        </w:rPr>
      </w:pPr>
    </w:p>
    <w:p>
      <w:pPr>
        <w:ind w:right="20" w:firstLine="180"/>
        <w:spacing w:after="0" w:line="271" w:lineRule="auto"/>
        <w:rPr>
          <w:sz w:val="20"/>
          <w:szCs w:val="20"/>
          <w:color w:val="auto"/>
        </w:rPr>
      </w:pPr>
      <w:r>
        <w:rPr>
          <w:rFonts w:ascii="Arial" w:cs="Arial" w:eastAsia="Arial" w:hAnsi="Arial"/>
          <w:sz w:val="18"/>
          <w:szCs w:val="18"/>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 Freight revenue billed to customers is also included in net sales.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Sales Promotions and Incentives</w:t>
      </w:r>
    </w:p>
    <w:p>
      <w:pPr>
        <w:spacing w:after="0" w:line="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either classified as a reduction of net sales or as a component of selling, general, and administrative expense.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Cost of Sales</w:t>
      </w:r>
    </w:p>
    <w:p>
      <w:pPr>
        <w:spacing w:after="0" w:line="4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Selling, General, and Administrative Expense</w:t>
      </w:r>
    </w:p>
    <w:p>
      <w:pPr>
        <w:spacing w:after="0" w:line="40"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Cost of Financing Distributor/Dealer Inventory</w:t>
      </w:r>
    </w:p>
    <w:p>
      <w:pPr>
        <w:spacing w:after="0" w:line="4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The company enters into inventory repurchase agreements with third party financing companies. The company has repurchased immaterial amounts of inventory from third party financing companies over the last three fiscal years. However, an adverse change in retail sales could cause this situation to change and thereby require Toro to repurchase financed product. See Note 12 for additional information regarding the company’s repurchase arrangements.</w:t>
      </w:r>
    </w:p>
    <w:p>
      <w:pPr>
        <w:spacing w:after="0" w:line="1" w:lineRule="exact"/>
        <w:rPr>
          <w:sz w:val="20"/>
          <w:szCs w:val="20"/>
          <w:color w:val="auto"/>
        </w:rPr>
      </w:pPr>
    </w:p>
    <w:p>
      <w:pPr>
        <w:ind w:right="160" w:firstLine="180"/>
        <w:spacing w:after="0" w:line="269" w:lineRule="auto"/>
        <w:rPr>
          <w:sz w:val="20"/>
          <w:szCs w:val="20"/>
          <w:color w:val="auto"/>
        </w:rPr>
      </w:pPr>
      <w:r>
        <w:rPr>
          <w:rFonts w:ascii="Arial" w:cs="Arial" w:eastAsia="Arial" w:hAnsi="Arial"/>
          <w:sz w:val="18"/>
          <w:szCs w:val="18"/>
          <w:color w:val="auto"/>
        </w:rPr>
        <w:t>Included in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$13,952,000, $11,866,000, and $10,521,000 for the fiscal years ended October 31, 2006, 2005, and 2004,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Advertising</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$44,134,000, $42,827,000, and $38,115,000 for the fiscal years ended October 31, 2006, 2005, and 2004,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Stock-Based Compensation</w:t>
      </w:r>
    </w:p>
    <w:p>
      <w:pPr>
        <w:sectPr>
          <w:pgSz w:w="11900" w:h="16845" w:orient="portrait"/>
          <w:cols w:equalWidth="0" w:num="1">
            <w:col w:w="11420"/>
          </w:cols>
          <w:pgMar w:left="240" w:top="152" w:right="239" w:bottom="0" w:gutter="0" w:footer="0" w:header="0"/>
        </w:sectPr>
      </w:pPr>
    </w:p>
    <w:p>
      <w:pPr>
        <w:spacing w:after="0" w:line="4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Effective November 1, 2004, the company adopted the provisions of SFAS No. 123 (Revised 2004), “Share-Based Payment.” The company adopted the provisions of SFAS No. 123R using the modified prospective application, which applies to new awards granted, unvested awards</w:t>
      </w:r>
    </w:p>
    <w:p>
      <w:pPr>
        <w:sectPr>
          <w:pgSz w:w="11900" w:h="16845" w:orient="portrait"/>
          <w:cols w:equalWidth="0" w:num="1">
            <w:col w:w="11420"/>
          </w:cols>
          <w:pgMar w:left="240" w:top="152" w:right="239" w:bottom="0" w:gutter="0" w:footer="0" w:header="0"/>
          <w:type w:val="continuous"/>
        </w:sectPr>
      </w:pPr>
    </w:p>
    <w:bookmarkStart w:id="35" w:name="page36"/>
    <w:bookmarkEnd w:id="35"/>
    <w:p>
      <w:pPr>
        <w:ind w:right="120"/>
        <w:spacing w:after="0" w:line="269" w:lineRule="auto"/>
        <w:rPr>
          <w:sz w:val="20"/>
          <w:szCs w:val="20"/>
          <w:color w:val="auto"/>
        </w:rPr>
      </w:pPr>
      <w:r>
        <w:rPr>
          <w:rFonts w:ascii="Arial" w:cs="Arial" w:eastAsia="Arial" w:hAnsi="Arial"/>
          <w:sz w:val="18"/>
          <w:szCs w:val="18"/>
          <w:color w:val="auto"/>
        </w:rPr>
        <w:t>as of the date of adoption, and to awards modified, repurchased, or cancelled after the date of adoption. SFAS No. 123R focuses primarily on accounting for transactions in which an entity obtains employee services through stock-based payment transactions. SFAS No. 123R requires measurement of the cost of employee services received in exchange for the award of equity instruments based on the fair value of the award as of the date of grant. The company’s stock-based compensation awards include performance shares issued to key employees that are contingent on the achievement of performance goals of the company as well as non-qualified options. See Note 9</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stock-based compensation plans.</w:t>
      </w:r>
    </w:p>
    <w:p>
      <w:pPr>
        <w:spacing w:after="0" w:line="63" w:lineRule="exact"/>
        <w:rPr>
          <w:sz w:val="20"/>
          <w:szCs w:val="20"/>
          <w:color w:val="auto"/>
        </w:rPr>
      </w:pPr>
    </w:p>
    <w:p>
      <w:pPr>
        <w:ind w:firstLine="180"/>
        <w:spacing w:after="0" w:line="267" w:lineRule="auto"/>
        <w:rPr>
          <w:sz w:val="20"/>
          <w:szCs w:val="20"/>
          <w:color w:val="auto"/>
        </w:rPr>
      </w:pPr>
      <w:r>
        <w:rPr>
          <w:rFonts w:ascii="Arial" w:cs="Arial" w:eastAsia="Arial" w:hAnsi="Arial"/>
          <w:sz w:val="18"/>
          <w:szCs w:val="18"/>
          <w:color w:val="auto"/>
        </w:rPr>
        <w:t>The company had previously accounted for these stock-based compensation awards under the recognition and measurement principles of Accounting Principles Board Opinion No. 25, “Accounting for Stock Issued to Employees,” (APB No. 25), and related Interpretations. This method defined the cost for stock-based awards as the excess of the stock’s market value at the time of grant over the amount that the employee is required to pay. Since the company’s stock option awards were granted based on the underlying stock’s market value as of the date of grant, no compensation expense was recognized under the provisions of APB No. 25. However, the change in value of the performance shares (based on the change in Toro’s stock price) was recognized in the consolidated financial statements and the cost of the award was expensed over the vesting period under the provisions of APB No. 25. Had stock-based compensation costs been recorded at fair value consistent with the provisions of SFAS No. 123R, fiscal 2004 net earnings would have been $104.9 million, net earnings per basic share would have been $2.15, and net earnings per diluted share would have been $2.07.</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Net Earnings Per Share</w:t>
      </w:r>
    </w:p>
    <w:p>
      <w:pPr>
        <w:spacing w:after="0" w:line="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Reconciliations of basic and dilutive weighted-average shares of common stock are as follows:</w:t>
      </w:r>
    </w:p>
    <w:p>
      <w:pPr>
        <w:spacing w:after="0" w:line="105"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BASIC</w:t>
      </w:r>
    </w:p>
    <w:p>
      <w:pPr>
        <w:spacing w:after="0" w:line="28" w:lineRule="exact"/>
        <w:rPr>
          <w:sz w:val="20"/>
          <w:szCs w:val="20"/>
          <w:color w:val="auto"/>
        </w:rPr>
      </w:pPr>
    </w:p>
    <w:tbl>
      <w:tblPr>
        <w:tblLayout w:type="fixed"/>
        <w:tblInd w:w="3460" w:type="dxa"/>
        <w:tblCellMar>
          <w:top w:w="0" w:type="dxa"/>
          <w:left w:w="0" w:type="dxa"/>
          <w:bottom w:w="0" w:type="dxa"/>
          <w:right w:w="0" w:type="dxa"/>
        </w:tblCellMar>
      </w:tblPr>
      <w:tr>
        <w:trPr>
          <w:trHeight w:val="184"/>
        </w:trPr>
        <w:tc>
          <w:tcPr>
            <w:tcW w:w="27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(Shares in thousands)</w:t>
            </w:r>
          </w:p>
        </w:tc>
        <w:tc>
          <w:tcPr>
            <w:tcW w:w="6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6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common stock</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42,848</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44,679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Assumed issuance of contingent</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common stock and assumed</w:t>
            </w: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issuance of contingent shares</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42,887</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44,714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DILUTIVE</w:t>
            </w: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Arial" w:cs="Arial" w:eastAsia="Arial" w:hAnsi="Arial"/>
                <w:sz w:val="14"/>
                <w:szCs w:val="14"/>
                <w:color w:val="auto"/>
              </w:rPr>
              <w:t>(Shares in thousands)</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6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Weighted-average number of shares of</w:t>
            </w:r>
          </w:p>
        </w:tc>
        <w:tc>
          <w:tcPr>
            <w:tcW w:w="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common stock and assumed</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issuance of contingent shares</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42,887</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44,714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dilutive securities</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1,457</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Weighted-average number of shares of</w:t>
            </w:r>
          </w:p>
        </w:tc>
        <w:tc>
          <w:tcPr>
            <w:tcW w:w="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common stock, assumed issuance</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of contingent and restricted shares,</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and effect of dilutive securities</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44,344</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46,539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Flow Presentation</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Statement of Stockholders’ Equity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as of October 31 were as follows:</w:t>
      </w:r>
    </w:p>
    <w:p>
      <w:pPr>
        <w:spacing w:after="0" w:line="139" w:lineRule="exact"/>
        <w:rPr>
          <w:sz w:val="20"/>
          <w:szCs w:val="20"/>
          <w:color w:val="auto"/>
        </w:rPr>
      </w:pPr>
    </w:p>
    <w:tbl>
      <w:tblPr>
        <w:tblLayout w:type="fixed"/>
        <w:tblInd w:w="3440" w:type="dxa"/>
        <w:tblCellMar>
          <w:top w:w="0" w:type="dxa"/>
          <w:left w:w="0" w:type="dxa"/>
          <w:bottom w:w="0" w:type="dxa"/>
          <w:right w:w="0" w:type="dxa"/>
        </w:tblCellMar>
      </w:tblPr>
      <w:tr>
        <w:trPr>
          <w:trHeight w:val="203"/>
        </w:trPr>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2005</w:t>
            </w: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7"/>
                <w:szCs w:val="17"/>
                <w:color w:val="auto"/>
              </w:rPr>
            </w:pPr>
          </w:p>
        </w:tc>
      </w:tr>
      <w:tr>
        <w:trPr>
          <w:trHeight w:val="183"/>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translation</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$ 7,044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7,447</w:t>
            </w:r>
          </w:p>
        </w:tc>
        <w:tc>
          <w:tcPr>
            <w:tcW w:w="60" w:type="dxa"/>
            <w:vAlign w:val="bottom"/>
            <w:shd w:val="clear" w:color="auto" w:fill="CCEEFF"/>
          </w:tcPr>
          <w:p>
            <w:pPr>
              <w:spacing w:after="0"/>
              <w:rPr>
                <w:sz w:val="16"/>
                <w:szCs w:val="16"/>
                <w:color w:val="auto"/>
              </w:rPr>
            </w:pPr>
          </w:p>
        </w:tc>
      </w:tr>
      <w:tr>
        <w:trPr>
          <w:trHeight w:val="189"/>
        </w:trPr>
        <w:tc>
          <w:tcPr>
            <w:tcW w:w="2520" w:type="dxa"/>
            <w:vAlign w:val="bottom"/>
          </w:tcPr>
          <w:p>
            <w:pPr>
              <w:spacing w:after="0"/>
              <w:rPr>
                <w:sz w:val="20"/>
                <w:szCs w:val="20"/>
                <w:color w:val="auto"/>
              </w:rPr>
            </w:pPr>
            <w:r>
              <w:rPr>
                <w:rFonts w:ascii="Arial" w:cs="Arial" w:eastAsia="Arial" w:hAnsi="Arial"/>
                <w:sz w:val="14"/>
                <w:szCs w:val="14"/>
                <w:b w:val="1"/>
                <w:bCs w:val="1"/>
                <w:color w:val="auto"/>
              </w:rPr>
              <w:t>Minimum pension liability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520" w:type="dxa"/>
            <w:vAlign w:val="bottom"/>
          </w:tcPr>
          <w:p>
            <w:pPr>
              <w:ind w:left="180"/>
              <w:spacing w:after="0"/>
              <w:rPr>
                <w:sz w:val="20"/>
                <w:szCs w:val="20"/>
                <w:color w:val="auto"/>
              </w:rPr>
            </w:pPr>
            <w:r>
              <w:rPr>
                <w:rFonts w:ascii="Arial" w:cs="Arial" w:eastAsia="Arial" w:hAnsi="Arial"/>
                <w:sz w:val="14"/>
                <w:szCs w:val="14"/>
                <w:b w:val="1"/>
                <w:bCs w:val="1"/>
                <w:color w:val="auto"/>
              </w:rPr>
              <w:t>adjustment, net of tax</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225</w:t>
            </w:r>
          </w:p>
        </w:tc>
        <w:tc>
          <w:tcPr>
            <w:tcW w:w="1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2,302</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2,259</w:t>
            </w:r>
          </w:p>
        </w:tc>
        <w:tc>
          <w:tcPr>
            <w:tcW w:w="60" w:type="dxa"/>
            <w:vAlign w:val="bottom"/>
          </w:tcPr>
          <w:p>
            <w:pPr>
              <w:spacing w:after="0"/>
              <w:rPr>
                <w:sz w:val="16"/>
                <w:szCs w:val="16"/>
                <w:color w:val="auto"/>
              </w:rPr>
            </w:pP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Unrealized (gain) loss on derivative</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instruments, net of tax</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60" w:type="dxa"/>
            <w:vAlign w:val="bottom"/>
            <w:shd w:val="clear" w:color="auto" w:fill="CCEEFF"/>
          </w:tcPr>
          <w:p>
            <w:pPr>
              <w:spacing w:after="0"/>
              <w:rPr>
                <w:sz w:val="16"/>
                <w:szCs w:val="16"/>
                <w:color w:val="auto"/>
              </w:rPr>
            </w:pPr>
          </w:p>
        </w:tc>
      </w:tr>
      <w:tr>
        <w:trPr>
          <w:trHeight w:val="183"/>
        </w:trPr>
        <w:tc>
          <w:tcPr>
            <w:tcW w:w="2520" w:type="dxa"/>
            <w:vAlign w:val="bottom"/>
          </w:tcPr>
          <w:p>
            <w:pPr>
              <w:spacing w:after="0"/>
              <w:rPr>
                <w:sz w:val="20"/>
                <w:szCs w:val="20"/>
                <w:color w:val="auto"/>
              </w:rPr>
            </w:pPr>
            <w:r>
              <w:rPr>
                <w:rFonts w:ascii="Arial" w:cs="Arial" w:eastAsia="Arial" w:hAnsi="Arial"/>
                <w:sz w:val="14"/>
                <w:szCs w:val="14"/>
                <w:b w:val="1"/>
                <w:bCs w:val="1"/>
                <w:color w:val="auto"/>
              </w:rPr>
              <w:t>Total accumulated other</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2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comprehensive loss</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$ 6,849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11,581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11,142</w:t>
            </w:r>
          </w:p>
        </w:tc>
        <w:tc>
          <w:tcPr>
            <w:tcW w:w="60" w:type="dxa"/>
            <w:vAlign w:val="bottom"/>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w:t>
      </w:r>
    </w:p>
    <w:p>
      <w:pPr>
        <w:sectPr>
          <w:pgSz w:w="11900" w:h="16838" w:orient="portrait"/>
          <w:cols w:equalWidth="0" w:num="1">
            <w:col w:w="11400"/>
          </w:cols>
          <w:pgMar w:left="240" w:top="152" w:right="259" w:bottom="0" w:gutter="0" w:footer="0" w:header="0"/>
        </w:sectPr>
      </w:pPr>
    </w:p>
    <w:p>
      <w:pPr>
        <w:spacing w:after="0" w:line="8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March 2005, the Financial Accounting Standards Board (FASB) issued Interpretation No. 47, “Accounting for Conditional Asset Retirement Obligations,” an interpretation of FASB Statement No. 143. FASB Interpretation No. 47 clarifies the timing of liability recognition for legal</w:t>
      </w:r>
    </w:p>
    <w:p>
      <w:pPr>
        <w:sectPr>
          <w:pgSz w:w="11900" w:h="16838" w:orient="portrait"/>
          <w:cols w:equalWidth="0" w:num="1">
            <w:col w:w="11400"/>
          </w:cols>
          <w:pgMar w:left="240" w:top="152" w:right="259" w:bottom="0" w:gutter="0" w:footer="0" w:header="0"/>
          <w:type w:val="continuous"/>
        </w:sectPr>
      </w:pPr>
    </w:p>
    <w:bookmarkStart w:id="36" w:name="page37"/>
    <w:bookmarkEnd w:id="36"/>
    <w:p>
      <w:pPr>
        <w:jc w:val="both"/>
        <w:ind w:right="80"/>
        <w:spacing w:after="0" w:line="271" w:lineRule="auto"/>
        <w:rPr>
          <w:sz w:val="20"/>
          <w:szCs w:val="20"/>
          <w:color w:val="auto"/>
        </w:rPr>
      </w:pPr>
      <w:r>
        <w:rPr>
          <w:rFonts w:ascii="Arial" w:cs="Arial" w:eastAsia="Arial" w:hAnsi="Arial"/>
          <w:sz w:val="18"/>
          <w:szCs w:val="18"/>
          <w:color w:val="auto"/>
        </w:rPr>
        <w:t>obligations associated with the retirement of tangible long-lived assets when the timing and/or method of settlement are conditional on a future event. We adopted the provisions of FASB Interpretation No. 47 on November 1, 2005, as required, and the adoption of this Interpretation did not have a material impact to our fiscal 2006 consolidated results of operations or financial condition.</w:t>
      </w:r>
    </w:p>
    <w:p>
      <w:pPr>
        <w:spacing w:after="0" w:line="28" w:lineRule="exact"/>
        <w:rPr>
          <w:sz w:val="20"/>
          <w:szCs w:val="20"/>
          <w:color w:val="auto"/>
        </w:rPr>
      </w:pPr>
    </w:p>
    <w:p>
      <w:pPr>
        <w:jc w:val="both"/>
        <w:ind w:right="220" w:firstLine="180"/>
        <w:spacing w:after="0" w:line="271" w:lineRule="auto"/>
        <w:rPr>
          <w:sz w:val="20"/>
          <w:szCs w:val="20"/>
          <w:color w:val="auto"/>
        </w:rPr>
      </w:pPr>
      <w:r>
        <w:rPr>
          <w:rFonts w:ascii="Arial" w:cs="Arial" w:eastAsia="Arial" w:hAnsi="Arial"/>
          <w:sz w:val="18"/>
          <w:szCs w:val="18"/>
          <w:color w:val="auto"/>
        </w:rPr>
        <w:t>In November 2004, the FASB issued SFAS No. 151, “Inventory Costs,” which amended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criterion of “so abnormal.” In addition, this Statement requires that the allocation of fixed production overheads to the costs of conversion be based on the normal capacity of the production facilities. We adopted the provisions of SFAS No. 151 on November 1, 2005, as required. The adoption of SFAS No. 151 did not have a material impact on our consolidated results of operations and financial condition.</w:t>
      </w:r>
    </w:p>
    <w:p>
      <w:pPr>
        <w:spacing w:after="0" w:line="280" w:lineRule="exact"/>
        <w:rPr>
          <w:sz w:val="20"/>
          <w:szCs w:val="20"/>
          <w:color w:val="auto"/>
        </w:rPr>
      </w:pPr>
    </w:p>
    <w:p>
      <w:pPr>
        <w:ind w:left="620" w:right="7540" w:hanging="612"/>
        <w:spacing w:after="0" w:line="180" w:lineRule="auto"/>
        <w:tabs>
          <w:tab w:leader="none" w:pos="620" w:val="left"/>
        </w:tabs>
        <w:numPr>
          <w:ilvl w:val="0"/>
          <w:numId w:val="68"/>
        </w:numPr>
        <w:rPr>
          <w:rFonts w:ascii="Arial" w:cs="Arial" w:eastAsia="Arial" w:hAnsi="Arial"/>
          <w:sz w:val="40"/>
          <w:szCs w:val="40"/>
          <w:b w:val="1"/>
          <w:bCs w:val="1"/>
          <w:color w:val="4673B6"/>
        </w:rPr>
      </w:pPr>
      <w:r>
        <w:rPr>
          <w:rFonts w:ascii="Arial" w:cs="Arial" w:eastAsia="Arial" w:hAnsi="Arial"/>
          <w:sz w:val="18"/>
          <w:szCs w:val="18"/>
          <w:b w:val="1"/>
          <w:bCs w:val="1"/>
          <w:color w:val="4673B6"/>
        </w:rPr>
        <w:t>BUSINESS ACQUISITIONS AND DIVESTITURES</w:t>
      </w:r>
    </w:p>
    <w:p>
      <w:pPr>
        <w:spacing w:after="0" w:line="24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On February 8, 2005, the company completed the acquisition of certain assets and assumed certain liabilities of Hayter Limited (Hayter). Hayter designs, manufactures, and markets residential and professional turf maintenance equipment primarily for the United Kingdom market, with annual sales of approximately $50 million. The purchase price was $35.3 million, which was paid in cash, and included $31.0 million of current assets; $10.6 million of property, plant, and equipment; $7.2 million of intangible assets; and $13.5 million of assumed liabilities. The purchase price was allocated to the identifiable assets acquired and liabilities assumed based on estimates of their fair value, with the excess purchase price recorded as goodwill. See Note 4 entitled “Goodwill and Other Intangible Assets” for further details related to the acquired intangible assets.</w:t>
      </w:r>
    </w:p>
    <w:p>
      <w:pPr>
        <w:spacing w:after="0" w:line="1" w:lineRule="exact"/>
        <w:rPr>
          <w:sz w:val="20"/>
          <w:szCs w:val="20"/>
          <w:color w:val="auto"/>
        </w:rPr>
      </w:pPr>
    </w:p>
    <w:p>
      <w:pPr>
        <w:ind w:right="160" w:firstLine="180"/>
        <w:spacing w:after="0" w:line="269" w:lineRule="auto"/>
        <w:rPr>
          <w:sz w:val="20"/>
          <w:szCs w:val="20"/>
          <w:color w:val="auto"/>
        </w:rPr>
      </w:pPr>
      <w:r>
        <w:rPr>
          <w:rFonts w:ascii="Arial" w:cs="Arial" w:eastAsia="Arial" w:hAnsi="Arial"/>
          <w:sz w:val="18"/>
          <w:szCs w:val="18"/>
          <w:color w:val="auto"/>
        </w:rPr>
        <w:t>During the first quarter of fiscal 2005, the company completed the sale of its southwestern-based distribution company. In fiscal 2004, the company made an equity investment in a start-up technology company that produces innovative irrigation controllers designed to conserve water usage. The company also acquired a southeastern-based U.S. distributing company during fiscal 2003, and subsequently sold it during fiscal 2004. These acquisitions, investment, and divestitures were not material to the company’s consolidated financial position and results of operations.</w:t>
      </w:r>
    </w:p>
    <w:p>
      <w:pPr>
        <w:spacing w:after="0" w:line="21"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65"/>
          <w:szCs w:val="65"/>
          <w:b w:val="1"/>
          <w:bCs w:val="1"/>
          <w:color w:val="4673B6"/>
        </w:rPr>
      </w:pPr>
      <w:r>
        <w:rPr>
          <w:rFonts w:ascii="Arial" w:cs="Arial" w:eastAsia="Arial" w:hAnsi="Arial"/>
          <w:sz w:val="22"/>
          <w:szCs w:val="22"/>
          <w:b w:val="1"/>
          <w:bCs w:val="1"/>
          <w:color w:val="4673B6"/>
        </w:rPr>
        <w:t>OTHER INCOME, NET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06"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2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3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2,557</w:t>
            </w: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2,991</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2,257</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4"/>
                <w:szCs w:val="14"/>
                <w:b w:val="1"/>
                <w:bCs w:val="1"/>
                <w:color w:val="auto"/>
              </w:rPr>
              <w:t>Royalty and licensing income</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743</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gain (loss)</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961</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4"/>
                <w:szCs w:val="14"/>
                <w:b w:val="1"/>
                <w:bCs w:val="1"/>
                <w:color w:val="auto"/>
              </w:rPr>
              <w:t>Loss on sale of businesses</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(775)</w:t>
            </w:r>
          </w:p>
        </w:tc>
        <w:tc>
          <w:tcPr>
            <w:tcW w:w="1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losses from investments</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(1,559)</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20"/>
                <w:szCs w:val="20"/>
                <w:color w:val="auto"/>
              </w:rPr>
            </w:pPr>
            <w:r>
              <w:rPr>
                <w:rFonts w:ascii="Arial" w:cs="Arial" w:eastAsia="Arial" w:hAnsi="Arial"/>
                <w:sz w:val="14"/>
                <w:szCs w:val="14"/>
                <w:b w:val="1"/>
                <w:bCs w:val="1"/>
                <w:color w:val="auto"/>
              </w:rPr>
              <w:t>Litigation recovery (settlement)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862</w:t>
            </w: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Miscellaneous</w:t>
            </w:r>
          </w:p>
        </w:tc>
        <w:tc>
          <w:tcPr>
            <w:tcW w:w="3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1,039</w:t>
            </w: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20" w:right="8260" w:hanging="612"/>
        <w:spacing w:after="0" w:line="180" w:lineRule="auto"/>
        <w:tabs>
          <w:tab w:leader="none" w:pos="620" w:val="left"/>
        </w:tabs>
        <w:numPr>
          <w:ilvl w:val="0"/>
          <w:numId w:val="70"/>
        </w:numPr>
        <w:rPr>
          <w:rFonts w:ascii="Arial" w:cs="Arial" w:eastAsia="Arial" w:hAnsi="Arial"/>
          <w:sz w:val="40"/>
          <w:szCs w:val="40"/>
          <w:b w:val="1"/>
          <w:bCs w:val="1"/>
          <w:color w:val="4673B6"/>
        </w:rPr>
      </w:pPr>
      <w:r>
        <w:rPr>
          <w:rFonts w:ascii="Arial" w:cs="Arial" w:eastAsia="Arial" w:hAnsi="Arial"/>
          <w:sz w:val="18"/>
          <w:szCs w:val="18"/>
          <w:b w:val="1"/>
          <w:bCs w:val="1"/>
          <w:color w:val="4673B6"/>
        </w:rPr>
        <w:t>GOODWILL AND OTHER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Goodwill – </w:t>
      </w:r>
      <w:r>
        <w:rPr>
          <w:rFonts w:ascii="Arial" w:cs="Arial" w:eastAsia="Arial" w:hAnsi="Arial"/>
          <w:sz w:val="18"/>
          <w:szCs w:val="18"/>
          <w:color w:val="000000"/>
        </w:rPr>
        <w:t>The changes in the net carrying amount of goodwill for fiscal 2006 and 2005 were as follows:</w:t>
      </w:r>
    </w:p>
    <w:p>
      <w:pPr>
        <w:spacing w:after="0" w:line="228"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Professional</w:t>
            </w:r>
          </w:p>
        </w:tc>
        <w:tc>
          <w:tcPr>
            <w:tcW w:w="8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Residential</w:t>
            </w: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19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Segment</w:t>
            </w: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Segment</w:t>
            </w:r>
          </w:p>
        </w:tc>
        <w:tc>
          <w:tcPr>
            <w:tcW w:w="16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r>
      <w:tr>
        <w:trPr>
          <w:trHeight w:val="184"/>
        </w:trPr>
        <w:tc>
          <w:tcPr>
            <w:tcW w:w="20" w:type="dxa"/>
            <w:vAlign w:val="bottom"/>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w:t>
            </w: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2004</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$ 68,996</w:t>
            </w:r>
          </w:p>
        </w:tc>
        <w:tc>
          <w:tcPr>
            <w:tcW w:w="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78,055</w:t>
            </w:r>
          </w:p>
        </w:tc>
        <w:tc>
          <w:tcPr>
            <w:tcW w:w="100" w:type="dxa"/>
            <w:vAlign w:val="bottom"/>
            <w:shd w:val="clear" w:color="auto" w:fill="CCEEFF"/>
          </w:tcPr>
          <w:p>
            <w:pPr>
              <w:spacing w:after="0"/>
              <w:rPr>
                <w:sz w:val="16"/>
                <w:szCs w:val="16"/>
                <w:color w:val="auto"/>
              </w:rPr>
            </w:pPr>
          </w:p>
        </w:tc>
      </w:tr>
      <w:tr>
        <w:trPr>
          <w:trHeight w:val="189"/>
        </w:trPr>
        <w:tc>
          <w:tcPr>
            <w:tcW w:w="1940" w:type="dxa"/>
            <w:vAlign w:val="bottom"/>
            <w:gridSpan w:val="2"/>
          </w:tcPr>
          <w:p>
            <w:pPr>
              <w:spacing w:after="0"/>
              <w:rPr>
                <w:sz w:val="20"/>
                <w:szCs w:val="20"/>
                <w:color w:val="auto"/>
              </w:rPr>
            </w:pPr>
            <w:r>
              <w:rPr>
                <w:rFonts w:ascii="Arial" w:cs="Arial" w:eastAsia="Arial" w:hAnsi="Arial"/>
                <w:sz w:val="14"/>
                <w:szCs w:val="14"/>
                <w:color w:val="auto"/>
              </w:rPr>
              <w:t>Goodwill acquired</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1,891</w:t>
            </w:r>
          </w:p>
        </w:tc>
        <w:tc>
          <w:tcPr>
            <w:tcW w:w="32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1,401</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3,292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3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w:t>
            </w:r>
          </w:p>
        </w:tc>
      </w:tr>
      <w:tr>
        <w:trPr>
          <w:trHeight w:val="184"/>
        </w:trPr>
        <w:tc>
          <w:tcPr>
            <w:tcW w:w="1940" w:type="dxa"/>
            <w:vAlign w:val="bottom"/>
            <w:gridSpan w:val="2"/>
          </w:tcPr>
          <w:p>
            <w:pPr>
              <w:spacing w:after="0"/>
              <w:rPr>
                <w:sz w:val="20"/>
                <w:szCs w:val="20"/>
                <w:color w:val="auto"/>
              </w:rPr>
            </w:pPr>
            <w:r>
              <w:rPr>
                <w:rFonts w:ascii="Arial" w:cs="Arial" w:eastAsia="Arial" w:hAnsi="Arial"/>
                <w:sz w:val="14"/>
                <w:szCs w:val="14"/>
                <w:color w:val="auto"/>
              </w:rPr>
              <w:t>Balance as of October 31,</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1940" w:type="dxa"/>
            <w:vAlign w:val="bottom"/>
            <w:gridSpan w:val="2"/>
          </w:tcPr>
          <w:p>
            <w:pPr>
              <w:ind w:left="180"/>
              <w:spacing w:after="0"/>
              <w:rPr>
                <w:sz w:val="20"/>
                <w:szCs w:val="20"/>
                <w:color w:val="auto"/>
              </w:rPr>
            </w:pPr>
            <w:r>
              <w:rPr>
                <w:rFonts w:ascii="Arial" w:cs="Arial" w:eastAsia="Arial" w:hAnsi="Arial"/>
                <w:sz w:val="14"/>
                <w:szCs w:val="14"/>
                <w:color w:val="auto"/>
              </w:rPr>
              <w:t>2005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$ 70,801</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10,396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81,197</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3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r>
      <w:tr>
        <w:trPr>
          <w:trHeight w:val="183"/>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Balance as of October 31,</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2006</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$ 70,948</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10,521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81,469</w:t>
            </w:r>
          </w:p>
        </w:tc>
        <w:tc>
          <w:tcPr>
            <w:tcW w:w="100" w:type="dxa"/>
            <w:vAlign w:val="bottom"/>
          </w:tcPr>
          <w:p>
            <w:pPr>
              <w:spacing w:after="0"/>
              <w:rPr>
                <w:sz w:val="16"/>
                <w:szCs w:val="16"/>
                <w:color w:val="auto"/>
              </w:rPr>
            </w:pPr>
          </w:p>
        </w:tc>
      </w:tr>
    </w:tbl>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4673B6"/>
        </w:rPr>
        <w:t xml:space="preserve">Other Intangible Assets – </w:t>
      </w:r>
      <w:r>
        <w:rPr>
          <w:rFonts w:ascii="Arial" w:cs="Arial" w:eastAsia="Arial" w:hAnsi="Arial"/>
          <w:sz w:val="18"/>
          <w:szCs w:val="18"/>
          <w:color w:val="000000"/>
        </w:rPr>
        <w:t>Total other intangible assets, net as of October 31, 2006 and 2005 were $5,225,000 and $5,452,000, respectively.</w:t>
      </w:r>
      <w:r>
        <w:rPr>
          <w:rFonts w:ascii="Arial" w:cs="Arial" w:eastAsia="Arial" w:hAnsi="Arial"/>
          <w:sz w:val="18"/>
          <w:szCs w:val="18"/>
          <w:b w:val="1"/>
          <w:bCs w:val="1"/>
          <w:color w:val="4673B6"/>
        </w:rPr>
        <w:t xml:space="preserve"> </w:t>
      </w:r>
      <w:r>
        <w:rPr>
          <w:rFonts w:ascii="Arial" w:cs="Arial" w:eastAsia="Arial" w:hAnsi="Arial"/>
          <w:sz w:val="18"/>
          <w:szCs w:val="18"/>
          <w:color w:val="000000"/>
        </w:rPr>
        <w:t>During fiscal 2006 and 2005, the company recorded some amortizable intangible assets related to the acquisition of R &amp; D Engineering in fiscal 2003. In addition, the company also has $2.7 million of non-amortizable intangible assets related to the Hayter brand name.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other amortizable intangible assets were as follows:</w:t>
      </w:r>
    </w:p>
    <w:p>
      <w:pPr>
        <w:sectPr>
          <w:pgSz w:w="11900" w:h="16838" w:orient="portrait"/>
          <w:cols w:equalWidth="0" w:num="1">
            <w:col w:w="11400"/>
          </w:cols>
          <w:pgMar w:left="240" w:top="152" w:right="259" w:bottom="100" w:gutter="0" w:footer="0" w:header="0"/>
        </w:sectPr>
      </w:pPr>
    </w:p>
    <w:bookmarkStart w:id="37" w:name="page38"/>
    <w:bookmarkEnd w:id="37"/>
    <w:tbl>
      <w:tblPr>
        <w:tblLayout w:type="fixed"/>
        <w:tblInd w:w="3460" w:type="dxa"/>
        <w:tblCellMar>
          <w:top w:w="0" w:type="dxa"/>
          <w:left w:w="0" w:type="dxa"/>
          <w:bottom w:w="0" w:type="dxa"/>
          <w:right w:w="0" w:type="dxa"/>
        </w:tblCellMar>
      </w:tblPr>
      <w:tr>
        <w:trPr>
          <w:trHeight w:val="204"/>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4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Gross Carrying</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7"/>
                <w:szCs w:val="17"/>
                <w:color w:val="auto"/>
              </w:rPr>
            </w:pPr>
          </w:p>
        </w:tc>
      </w:tr>
      <w:tr>
        <w:trPr>
          <w:trHeight w:val="188"/>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 2006</w:t>
            </w:r>
          </w:p>
        </w:tc>
        <w:tc>
          <w:tcPr>
            <w:tcW w:w="1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Amount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CEEFF"/>
            </w:tcBorders>
          </w:tcPr>
          <w:p>
            <w:pPr>
              <w:spacing w:after="0"/>
              <w:rPr>
                <w:sz w:val="16"/>
                <w:szCs w:val="16"/>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(5,964)</w:t>
            </w:r>
          </w:p>
        </w:tc>
      </w:tr>
      <w:tr>
        <w:trPr>
          <w:trHeight w:val="189"/>
        </w:trPr>
        <w:tc>
          <w:tcPr>
            <w:tcW w:w="2100" w:type="dxa"/>
            <w:vAlign w:val="bottom"/>
          </w:tcPr>
          <w:p>
            <w:pPr>
              <w:spacing w:after="0"/>
              <w:rPr>
                <w:sz w:val="20"/>
                <w:szCs w:val="20"/>
                <w:color w:val="auto"/>
              </w:rPr>
            </w:pPr>
            <w:r>
              <w:rPr>
                <w:rFonts w:ascii="Arial" w:cs="Arial" w:eastAsia="Arial" w:hAnsi="Arial"/>
                <w:sz w:val="14"/>
                <w:szCs w:val="14"/>
                <w:b w:val="1"/>
                <w:bCs w:val="1"/>
                <w:color w:val="auto"/>
              </w:rPr>
              <w:t>Non-compete agreements</w:t>
            </w:r>
          </w:p>
        </w:tc>
        <w:tc>
          <w:tcPr>
            <w:tcW w:w="8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1,000</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(885)</w:t>
            </w: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(234)</w:t>
            </w:r>
          </w:p>
        </w:tc>
      </w:tr>
      <w:tr>
        <w:trPr>
          <w:trHeight w:val="189"/>
        </w:trPr>
        <w:tc>
          <w:tcPr>
            <w:tcW w:w="21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2,363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(1,615)</w:t>
            </w:r>
          </w:p>
        </w:tc>
      </w:tr>
      <w:tr>
        <w:trPr>
          <w:trHeight w:val="183"/>
        </w:trPr>
        <w:tc>
          <w:tcPr>
            <w:tcW w:w="2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11,252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(8,698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460" w:type="dxa"/>
        <w:tblCellMar>
          <w:top w:w="0" w:type="dxa"/>
          <w:left w:w="0" w:type="dxa"/>
          <w:bottom w:w="0" w:type="dxa"/>
          <w:right w:w="0" w:type="dxa"/>
        </w:tblCellMar>
      </w:tblPr>
      <w:tr>
        <w:trPr>
          <w:trHeight w:val="218"/>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4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Gross Carrying</w:t>
            </w: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Accumulated</w:t>
            </w:r>
          </w:p>
        </w:tc>
      </w:tr>
      <w:tr>
        <w:trPr>
          <w:trHeight w:val="188"/>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 2005</w:t>
            </w:r>
          </w:p>
        </w:tc>
        <w:tc>
          <w:tcPr>
            <w:tcW w:w="14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Amount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CEEFF"/>
            </w:tcBorders>
          </w:tcPr>
          <w:p>
            <w:pPr>
              <w:spacing w:after="0"/>
              <w:rPr>
                <w:sz w:val="16"/>
                <w:szCs w:val="16"/>
                <w:color w:val="auto"/>
              </w:rPr>
            </w:pPr>
          </w:p>
        </w:tc>
      </w:tr>
      <w:tr>
        <w:trPr>
          <w:trHeight w:val="18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Patents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(5,620)</w:t>
            </w: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Non-compete agreements</w:t>
            </w:r>
          </w:p>
        </w:tc>
        <w:tc>
          <w:tcPr>
            <w:tcW w:w="9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(821)</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(1,285)</w:t>
            </w:r>
          </w:p>
        </w:tc>
      </w:tr>
      <w:tr>
        <w:trPr>
          <w:trHeight w:val="20"/>
        </w:trPr>
        <w:tc>
          <w:tcPr>
            <w:tcW w:w="20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(7,819)</w:t>
            </w:r>
          </w:p>
        </w:tc>
      </w:tr>
      <w:tr>
        <w:trPr>
          <w:trHeight w:val="20"/>
        </w:trPr>
        <w:tc>
          <w:tcPr>
            <w:tcW w:w="20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for intangible assets for the fiscal years ended October 31, 2006, 2005, and 2004 was $864,000, $770,000,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$653,000, respectively. Estimated amortization expense for the succeeding fiscal years is as follows: 2007, $830,000; 2008, $595,000;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$251,000; 2010, $175,000; 2011, $175,000; and after 2011, $528,000.</w:t>
      </w:r>
    </w:p>
    <w:p>
      <w:pPr>
        <w:ind w:left="600" w:hanging="592"/>
        <w:spacing w:after="0" w:line="218" w:lineRule="auto"/>
        <w:tabs>
          <w:tab w:leader="none" w:pos="600" w:val="left"/>
        </w:tabs>
        <w:numPr>
          <w:ilvl w:val="0"/>
          <w:numId w:val="71"/>
        </w:numPr>
        <w:rPr>
          <w:rFonts w:ascii="Arial" w:cs="Arial" w:eastAsia="Arial" w:hAnsi="Arial"/>
          <w:sz w:val="65"/>
          <w:szCs w:val="65"/>
          <w:b w:val="1"/>
          <w:bCs w:val="1"/>
          <w:color w:val="4673B6"/>
        </w:rPr>
      </w:pPr>
      <w:r>
        <w:rPr>
          <w:rFonts w:ascii="Arial" w:cs="Arial" w:eastAsia="Arial" w:hAnsi="Arial"/>
          <w:sz w:val="21"/>
          <w:szCs w:val="21"/>
          <w:b w:val="1"/>
          <w:bCs w:val="1"/>
          <w:color w:val="4673B6"/>
        </w:rPr>
        <w:t>SHORT-TERM CAPITAL RESOURCES</w:t>
      </w:r>
    </w:p>
    <w:p>
      <w:pPr>
        <w:spacing w:after="0" w:line="370"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company has a $175.0 million unsecured senior five-year revolving credit facility, which expires in October 2010. We had no outstanding borrowings under this credit facility as of October 31, 2006 and 2005. Interest expense on this credit line is determined based on a LIBOR rate plus a basis point spread defined in the credit agreement. In addition, the company’s non-U.S. operations and a domestic subsidiary maintain unsecured short-term lines of credit of $16.9 million. These facilities bear interest at various rates depending on the rates in their respective countries of operation. The company had $320,000 and $325,000 outstanding as of October 31, 2006 and 2005, respectively, under these lines of credit. The weighted-average interest rate on short-term debt outstanding as of October 31, 2006 and 2005 was 6.15 percent and 4.65 percent, respectively. The company was in compliance with all covenants related to the several lines of credit described above as of October 31, 2006.</w:t>
      </w:r>
    </w:p>
    <w:p>
      <w:pPr>
        <w:spacing w:after="0" w:line="70"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6 </w:t>
      </w:r>
      <w:r>
        <w:rPr>
          <w:rFonts w:ascii="Arial" w:cs="Arial" w:eastAsia="Arial" w:hAnsi="Arial"/>
          <w:sz w:val="21"/>
          <w:szCs w:val="21"/>
          <w:b w:val="1"/>
          <w:bCs w:val="1"/>
          <w:color w:val="4673B6"/>
        </w:rPr>
        <w:t>LONG-TERM DEBT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193" w:lineRule="exact"/>
        <w:rPr>
          <w:sz w:val="20"/>
          <w:szCs w:val="20"/>
          <w:color w:val="auto"/>
        </w:rPr>
      </w:pPr>
    </w:p>
    <w:tbl>
      <w:tblPr>
        <w:tblLayout w:type="fixed"/>
        <w:tblInd w:w="3460" w:type="dxa"/>
        <w:tblCellMar>
          <w:top w:w="0" w:type="dxa"/>
          <w:left w:w="0" w:type="dxa"/>
          <w:bottom w:w="0" w:type="dxa"/>
          <w:right w:w="0" w:type="dxa"/>
        </w:tblCellMar>
      </w:tblPr>
      <w:tr>
        <w:trPr>
          <w:trHeight w:val="203"/>
        </w:trPr>
        <w:tc>
          <w:tcPr>
            <w:tcW w:w="2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(Dollars in thousands)</w:t>
            </w:r>
          </w:p>
        </w:tc>
        <w:tc>
          <w:tcPr>
            <w:tcW w:w="3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CCEEFF"/>
            </w:tcBorders>
          </w:tcPr>
          <w:p>
            <w:pPr>
              <w:spacing w:after="0"/>
              <w:rPr>
                <w:sz w:val="17"/>
                <w:szCs w:val="17"/>
                <w:color w:val="auto"/>
              </w:rPr>
            </w:pPr>
          </w:p>
        </w:tc>
      </w:tr>
      <w:tr>
        <w:trPr>
          <w:trHeight w:val="183"/>
        </w:trPr>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7.125%</w:t>
            </w: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Notes, due June 15, 2007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EFF"/>
          </w:tcPr>
          <w:p>
            <w:pPr>
              <w:spacing w:after="0"/>
              <w:rPr>
                <w:sz w:val="15"/>
                <w:szCs w:val="15"/>
                <w:color w:val="auto"/>
              </w:rPr>
            </w:pPr>
          </w:p>
        </w:tc>
      </w:tr>
      <w:tr>
        <w:trPr>
          <w:trHeight w:val="189"/>
        </w:trPr>
        <w:tc>
          <w:tcPr>
            <w:tcW w:w="500" w:type="dxa"/>
            <w:vAlign w:val="bottom"/>
          </w:tcPr>
          <w:p>
            <w:pPr>
              <w:spacing w:after="0"/>
              <w:rPr>
                <w:sz w:val="20"/>
                <w:szCs w:val="20"/>
                <w:color w:val="auto"/>
              </w:rPr>
            </w:pPr>
            <w:r>
              <w:rPr>
                <w:rFonts w:ascii="Arial" w:cs="Arial" w:eastAsia="Arial" w:hAnsi="Arial"/>
                <w:sz w:val="14"/>
                <w:szCs w:val="14"/>
                <w:b w:val="1"/>
                <w:bCs w:val="1"/>
                <w:color w:val="auto"/>
              </w:rPr>
              <w:t>7.800%</w:t>
            </w:r>
          </w:p>
        </w:tc>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100,000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6"/>
                <w:szCs w:val="16"/>
                <w:color w:val="auto"/>
              </w:rPr>
            </w:pPr>
          </w:p>
        </w:tc>
      </w:tr>
      <w:tr>
        <w:trPr>
          <w:trHeight w:val="189"/>
        </w:trPr>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23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6"/>
                <w:szCs w:val="16"/>
                <w:color w:val="auto"/>
              </w:rPr>
            </w:pPr>
          </w:p>
        </w:tc>
      </w:tr>
      <w:tr>
        <w:trPr>
          <w:trHeight w:val="183"/>
        </w:trPr>
        <w:tc>
          <w:tcPr>
            <w:tcW w:w="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175,000</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175,046</w:t>
            </w:r>
          </w:p>
        </w:tc>
        <w:tc>
          <w:tcPr>
            <w:tcW w:w="60" w:type="dxa"/>
            <w:vAlign w:val="bottom"/>
          </w:tcPr>
          <w:p>
            <w:pPr>
              <w:spacing w:after="0"/>
              <w:rPr>
                <w:sz w:val="15"/>
                <w:szCs w:val="15"/>
                <w:color w:val="auto"/>
              </w:rPr>
            </w:pPr>
          </w:p>
        </w:tc>
      </w:tr>
      <w:tr>
        <w:trPr>
          <w:trHeight w:val="189"/>
        </w:trPr>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6"/>
                <w:szCs w:val="16"/>
                <w:color w:val="auto"/>
              </w:rPr>
            </w:pPr>
          </w:p>
        </w:tc>
      </w:tr>
      <w:tr>
        <w:trPr>
          <w:trHeight w:val="183"/>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w:t>
            </w:r>
          </w:p>
        </w:tc>
        <w:tc>
          <w:tcPr>
            <w:tcW w:w="60" w:type="dxa"/>
            <w:vAlign w:val="bottom"/>
          </w:tcPr>
          <w:p>
            <w:pPr>
              <w:spacing w:after="0"/>
              <w:rPr>
                <w:sz w:val="15"/>
                <w:szCs w:val="15"/>
                <w:color w:val="auto"/>
              </w:rPr>
            </w:pPr>
          </w:p>
        </w:tc>
      </w:tr>
    </w:tbl>
    <w:p>
      <w:pPr>
        <w:spacing w:after="0" w:line="175"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The company has $75 million of notes due on June 15, 2007 that are classified as long-term debt as the company is in the process of evaluating several alternatives for replacing this debt, including refinancing the obligation on a long-term basis using funds available under the company’s current credit facilities. The company believes it will obtain cost effective financing in advance of the repayment of the $75 million notes due June 15, 2007.</w:t>
      </w:r>
    </w:p>
    <w:p>
      <w:pPr>
        <w:spacing w:after="0" w:line="1"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has been deferred and is being recognized as an adjustment to interest expense over the term of the debt securities issued.</w:t>
      </w:r>
    </w:p>
    <w:p>
      <w:pPr>
        <w:spacing w:after="0" w:line="1" w:lineRule="exact"/>
        <w:rPr>
          <w:sz w:val="20"/>
          <w:szCs w:val="20"/>
          <w:color w:val="auto"/>
        </w:rPr>
      </w:pPr>
    </w:p>
    <w:p>
      <w:pPr>
        <w:ind w:right="380" w:firstLine="180"/>
        <w:spacing w:after="0" w:line="277"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2007, $75,000,000; 2008, $0; 2009, $0; 2010, $0; 2011, $0; and after 2011, $100,000,000.</w:t>
      </w:r>
    </w:p>
    <w:p>
      <w:pPr>
        <w:spacing w:after="0" w:line="15" w:lineRule="exact"/>
        <w:rPr>
          <w:sz w:val="20"/>
          <w:szCs w:val="20"/>
          <w:color w:val="auto"/>
        </w:rPr>
      </w:pPr>
    </w:p>
    <w:p>
      <w:pPr>
        <w:ind w:left="720" w:hanging="712"/>
        <w:spacing w:after="0"/>
        <w:tabs>
          <w:tab w:leader="none" w:pos="720" w:val="left"/>
        </w:tabs>
        <w:numPr>
          <w:ilvl w:val="0"/>
          <w:numId w:val="72"/>
        </w:numPr>
        <w:rPr>
          <w:rFonts w:ascii="Arial" w:cs="Arial" w:eastAsia="Arial" w:hAnsi="Arial"/>
          <w:sz w:val="65"/>
          <w:szCs w:val="65"/>
          <w:b w:val="1"/>
          <w:bCs w:val="1"/>
          <w:color w:val="4673B6"/>
        </w:rPr>
      </w:pPr>
      <w:r>
        <w:rPr>
          <w:rFonts w:ascii="Arial" w:cs="Arial" w:eastAsia="Arial" w:hAnsi="Arial"/>
          <w:sz w:val="22"/>
          <w:szCs w:val="22"/>
          <w:b w:val="1"/>
          <w:bCs w:val="1"/>
          <w:color w:val="4673B6"/>
        </w:rPr>
        <w:t>STOCKHOLDERS’ EQUITY</w:t>
      </w:r>
    </w:p>
    <w:p>
      <w:pPr>
        <w:spacing w:after="0" w:line="22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4673B6"/>
        </w:rPr>
        <w:t xml:space="preserve">Stock repurchase program – </w:t>
      </w:r>
      <w:r>
        <w:rPr>
          <w:rFonts w:ascii="Arial" w:cs="Arial" w:eastAsia="Arial" w:hAnsi="Arial"/>
          <w:sz w:val="18"/>
          <w:szCs w:val="18"/>
          <w:color w:val="000000"/>
        </w:rPr>
        <w:t>In March 2004, the company’s Board of Directors authorized the repurchase of 1,000,000 shares of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company’s common stock. In May 2004, the Board of Directors authorized an additional 2,000,000 shares for repurchase. In September 2004, the Board of Directors authorized an additional 1,000,000 shares for repurchase, which was doubled to 2,000,000 shares as a result of a two-for-one stock split effective March 28, 2005. In July 2005, the Board of Directors authorized the repurchase of an additional 2,000,000 shares. In July 2006, the Board of Directors authorized the repurchase of an additional 3,000,000 shares. During fiscal 2006, 2005, and 2004, the</w:t>
      </w:r>
    </w:p>
    <w:p>
      <w:pPr>
        <w:sectPr>
          <w:pgSz w:w="11900" w:h="16838" w:orient="portrait"/>
          <w:cols w:equalWidth="0" w:num="1">
            <w:col w:w="11400"/>
          </w:cols>
          <w:pgMar w:left="240" w:top="133" w:right="259" w:bottom="0" w:gutter="0" w:footer="0" w:header="0"/>
        </w:sectPr>
      </w:pPr>
    </w:p>
    <w:bookmarkStart w:id="38" w:name="page39"/>
    <w:bookmarkEnd w:id="38"/>
    <w:p>
      <w:pPr>
        <w:ind w:right="540"/>
        <w:spacing w:after="0" w:line="277" w:lineRule="auto"/>
        <w:rPr>
          <w:sz w:val="20"/>
          <w:szCs w:val="20"/>
          <w:color w:val="auto"/>
        </w:rPr>
      </w:pPr>
      <w:r>
        <w:rPr>
          <w:rFonts w:ascii="Arial" w:cs="Arial" w:eastAsia="Arial" w:hAnsi="Arial"/>
          <w:sz w:val="18"/>
          <w:szCs w:val="18"/>
          <w:color w:val="auto"/>
        </w:rPr>
        <w:t>company paid $146.5 million, $157.0 million, and $169.8 million to repurchase an aggregate of 3,369,285 shares, 3,922,805 shares, and 5,270,814 shares, respectively. As of October 31, 2006, 1,476,904 shares remained authorized for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4673B6"/>
        </w:rPr>
        <w:t xml:space="preserve">Shareholder rights plan – </w:t>
      </w:r>
      <w:r>
        <w:rPr>
          <w:rFonts w:ascii="Arial" w:cs="Arial" w:eastAsia="Arial" w:hAnsi="Arial"/>
          <w:sz w:val="18"/>
          <w:szCs w:val="18"/>
          <w:color w:val="000000"/>
        </w:rPr>
        <w:t>Under the terms of a Rights Agreement dated as of May 20, 1998 between Toro and Wells Fargo Bank, National</w:t>
      </w:r>
      <w:r>
        <w:rPr>
          <w:rFonts w:ascii="Arial" w:cs="Arial" w:eastAsia="Arial" w:hAnsi="Arial"/>
          <w:sz w:val="18"/>
          <w:szCs w:val="18"/>
          <w:b w:val="1"/>
          <w:bCs w:val="1"/>
          <w:color w:val="4673B6"/>
        </w:rPr>
        <w:t xml:space="preserve"> </w:t>
      </w:r>
      <w:r>
        <w:rPr>
          <w:rFonts w:ascii="Arial" w:cs="Arial" w:eastAsia="Arial" w:hAnsi="Arial"/>
          <w:sz w:val="18"/>
          <w:szCs w:val="18"/>
          <w:color w:val="000000"/>
        </w:rPr>
        <w:t>Association (the successor to Norwest Bank Minnesota, National 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four-hundredth interest in a share of a series of preferred stock, at a price of $180 per one one-hundredth of a preferred share.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$0.0025 per right at any time before a person or group acquires beneficial ownership of 15 percent or more of the common stock.</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color w:val="4673B6"/>
        </w:rPr>
        <w:t xml:space="preserve">Stock splits – </w:t>
      </w:r>
      <w:r>
        <w:rPr>
          <w:rFonts w:ascii="Arial" w:cs="Arial" w:eastAsia="Arial" w:hAnsi="Arial"/>
          <w:sz w:val="18"/>
          <w:szCs w:val="18"/>
          <w:color w:val="000000"/>
        </w:rPr>
        <w:t>On March 15, 2005, the company’s Board of Directors declared a two-for-one split of the company’s common stock, effected in</w:t>
      </w:r>
      <w:r>
        <w:rPr>
          <w:rFonts w:ascii="Arial" w:cs="Arial" w:eastAsia="Arial" w:hAnsi="Arial"/>
          <w:sz w:val="18"/>
          <w:szCs w:val="18"/>
          <w:b w:val="1"/>
          <w:bCs w:val="1"/>
          <w:color w:val="4673B6"/>
        </w:rPr>
        <w:t xml:space="preserve"> </w:t>
      </w:r>
      <w:r>
        <w:rPr>
          <w:rFonts w:ascii="Arial" w:cs="Arial" w:eastAsia="Arial" w:hAnsi="Arial"/>
          <w:sz w:val="18"/>
          <w:szCs w:val="18"/>
          <w:color w:val="000000"/>
        </w:rPr>
        <w:t>the form of a 100 percent stock dividend issued to stockholders of record as of March 28, 2005 and paid on April 12, 2005. As a result of this action, approximately 21.7 million shares were issued. Par value of the common stock remains at $1.00 per share and accordingly, approximately $21.7 million was transferred from retained earnings to common stock for all periods presented.</w:t>
      </w:r>
    </w:p>
    <w:p>
      <w:pPr>
        <w:spacing w:after="0" w:line="2" w:lineRule="exact"/>
        <w:rPr>
          <w:sz w:val="20"/>
          <w:szCs w:val="20"/>
          <w:color w:val="auto"/>
        </w:rPr>
      </w:pPr>
    </w:p>
    <w:p>
      <w:pPr>
        <w:ind w:right="340" w:firstLine="180"/>
        <w:spacing w:after="0" w:line="277" w:lineRule="auto"/>
        <w:rPr>
          <w:sz w:val="20"/>
          <w:szCs w:val="20"/>
          <w:color w:val="auto"/>
        </w:rPr>
      </w:pPr>
      <w:r>
        <w:rPr>
          <w:rFonts w:ascii="Arial" w:cs="Arial" w:eastAsia="Arial" w:hAnsi="Arial"/>
          <w:sz w:val="18"/>
          <w:szCs w:val="18"/>
          <w:color w:val="auto"/>
        </w:rPr>
        <w:t>All references to the number of shares of common stock and per share of common stock amounts have been adjusted to give retroactive effect to the stock split for all periods presented.</w:t>
      </w:r>
    </w:p>
    <w:p>
      <w:pPr>
        <w:spacing w:after="0" w:line="15" w:lineRule="exact"/>
        <w:rPr>
          <w:sz w:val="20"/>
          <w:szCs w:val="20"/>
          <w:color w:val="auto"/>
        </w:rPr>
      </w:pPr>
    </w:p>
    <w:p>
      <w:pPr>
        <w:ind w:left="720" w:hanging="712"/>
        <w:spacing w:after="0"/>
        <w:tabs>
          <w:tab w:leader="none" w:pos="720" w:val="left"/>
        </w:tabs>
        <w:numPr>
          <w:ilvl w:val="0"/>
          <w:numId w:val="73"/>
        </w:numPr>
        <w:rPr>
          <w:rFonts w:ascii="Arial" w:cs="Arial" w:eastAsia="Arial" w:hAnsi="Arial"/>
          <w:sz w:val="65"/>
          <w:szCs w:val="65"/>
          <w:b w:val="1"/>
          <w:bCs w:val="1"/>
          <w:color w:val="4673B6"/>
        </w:rPr>
      </w:pPr>
      <w:r>
        <w:rPr>
          <w:rFonts w:ascii="Arial" w:cs="Arial" w:eastAsia="Arial" w:hAnsi="Arial"/>
          <w:sz w:val="22"/>
          <w:szCs w:val="22"/>
          <w:b w:val="1"/>
          <w:bCs w:val="1"/>
          <w:color w:val="4673B6"/>
        </w:rPr>
        <w:t>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2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00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2005</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Statutory federal income tax rate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Increase (reduction) in income taxes</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ind w:left="180"/>
              <w:spacing w:after="0"/>
              <w:rPr>
                <w:sz w:val="20"/>
                <w:szCs w:val="20"/>
                <w:color w:val="auto"/>
              </w:rPr>
            </w:pPr>
            <w:r>
              <w:rPr>
                <w:rFonts w:ascii="Arial" w:cs="Arial" w:eastAsia="Arial" w:hAnsi="Arial"/>
                <w:sz w:val="14"/>
                <w:szCs w:val="14"/>
                <w:b w:val="1"/>
                <w:bCs w:val="1"/>
                <w:color w:val="auto"/>
              </w:rPr>
              <w:t>resulting from:</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Benefits from export incentives</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Domestic manufacturer’s deduction</w:t>
            </w: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(0.5)</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 and local income taxes, net of</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federal income tax benefit</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Effect of foreign source income</w:t>
            </w:r>
          </w:p>
        </w:tc>
        <w:tc>
          <w:tcPr>
            <w:tcW w:w="6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(0.8)</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 net</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(0.8)</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33.0%</w:t>
            </w:r>
          </w:p>
        </w:tc>
        <w:tc>
          <w:tcPr>
            <w:tcW w:w="560" w:type="dxa"/>
            <w:vAlign w:val="bottom"/>
          </w:tcPr>
          <w:p>
            <w:pPr>
              <w:jc w:val="right"/>
              <w:spacing w:after="0"/>
              <w:rPr>
                <w:sz w:val="20"/>
                <w:szCs w:val="20"/>
                <w:color w:val="auto"/>
              </w:rPr>
            </w:pPr>
            <w:r>
              <w:rPr>
                <w:rFonts w:ascii="Arial" w:cs="Arial" w:eastAsia="Arial" w:hAnsi="Arial"/>
                <w:sz w:val="14"/>
                <w:szCs w:val="14"/>
                <w:color w:val="auto"/>
              </w:rPr>
              <w:t>33.0%</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60" w:type="dxa"/>
            <w:vAlign w:val="bottom"/>
            <w:gridSpan w:val="2"/>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(Dollars in thousands)</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6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6"/>
              </w:rPr>
              <w:t>2005</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Federal</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$57,285</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$58,420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b w:val="1"/>
                <w:bCs w:val="1"/>
                <w:color w:val="auto"/>
              </w:rPr>
              <w:t>State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4,115</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3,329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Non-U.S.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3,262</w:t>
            </w:r>
          </w:p>
        </w:tc>
        <w:tc>
          <w:tcPr>
            <w:tcW w:w="96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1,209</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Current provision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$64,662</w:t>
            </w:r>
          </w:p>
        </w:tc>
        <w:tc>
          <w:tcPr>
            <w:tcW w:w="9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$62,958</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$51,582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w:t>
            </w: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b w:val="1"/>
                <w:bCs w:val="1"/>
                <w:color w:val="auto"/>
              </w:rPr>
              <w:t>Federal</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  (523)</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$(5,953)</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  (106)</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State</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w:t>
            </w: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(671)</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4"/>
                <w:szCs w:val="14"/>
                <w:b w:val="1"/>
                <w:bCs w:val="1"/>
                <w:color w:val="auto"/>
              </w:rPr>
              <w:t>Non-U.S.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40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Deferred provision</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(1,053)</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(6,768)</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Total provision for income</w:t>
            </w:r>
          </w:p>
        </w:tc>
        <w:tc>
          <w:tcPr>
            <w:tcW w:w="6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taxes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$63,609</w:t>
            </w:r>
          </w:p>
        </w:tc>
        <w:tc>
          <w:tcPr>
            <w:tcW w:w="9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$56,190</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$50,567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net operating loss carryforwards of approximately $0.6 million in foreign jurisdictions with unlimited expiration.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before income taxes were as follows:</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2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8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before income</w:t>
            </w:r>
          </w:p>
        </w:tc>
        <w:tc>
          <w:tcPr>
            <w:tcW w:w="8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taxes:</w:t>
            </w: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ind w:left="140"/>
              <w:spacing w:after="0"/>
              <w:rPr>
                <w:sz w:val="20"/>
                <w:szCs w:val="20"/>
                <w:color w:val="auto"/>
              </w:rPr>
            </w:pPr>
            <w:r>
              <w:rPr>
                <w:rFonts w:ascii="Arial" w:cs="Arial" w:eastAsia="Arial" w:hAnsi="Arial"/>
                <w:sz w:val="14"/>
                <w:szCs w:val="14"/>
                <w:b w:val="1"/>
                <w:bCs w:val="1"/>
                <w:color w:val="auto"/>
              </w:rPr>
              <w:t>U.S.</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$180,734</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$165,536</w:t>
            </w:r>
          </w:p>
        </w:tc>
        <w:tc>
          <w:tcPr>
            <w:tcW w:w="740" w:type="dxa"/>
            <w:vAlign w:val="bottom"/>
          </w:tcPr>
          <w:p>
            <w:pPr>
              <w:jc w:val="right"/>
              <w:spacing w:after="0"/>
              <w:rPr>
                <w:sz w:val="20"/>
                <w:szCs w:val="20"/>
                <w:color w:val="auto"/>
              </w:rPr>
            </w:pPr>
            <w:r>
              <w:rPr>
                <w:rFonts w:ascii="Arial" w:cs="Arial" w:eastAsia="Arial" w:hAnsi="Arial"/>
                <w:sz w:val="14"/>
                <w:szCs w:val="14"/>
                <w:color w:val="auto"/>
              </w:rPr>
              <w:t>$142,982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Non-U.S.</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12,020</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$192,754</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$170,272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80" w:firstLine="180"/>
        <w:spacing w:after="0" w:line="266" w:lineRule="auto"/>
        <w:rPr>
          <w:sz w:val="20"/>
          <w:szCs w:val="20"/>
          <w:color w:val="auto"/>
        </w:rPr>
      </w:pPr>
      <w:r>
        <w:rPr>
          <w:rFonts w:ascii="Arial" w:cs="Arial" w:eastAsia="Arial" w:hAnsi="Arial"/>
          <w:sz w:val="18"/>
          <w:szCs w:val="18"/>
          <w:color w:val="auto"/>
        </w:rPr>
        <w:t>During the fiscal years ended October 31, 2006, 2005, and 2004, respectively, $13,131,000, $5,989,000, and $9,857,000 was added to stockholders’ equity reflecting the permanent book to tax difference in accounting for tax benefits related to employee stock-based award transactions.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tax effects of temporary differences that give rise to the net deferred income tax assets (liabilities) are presented below:</w:t>
      </w:r>
    </w:p>
    <w:p>
      <w:pPr>
        <w:sectPr>
          <w:pgSz w:w="11900" w:h="16838" w:orient="portrait"/>
          <w:cols w:equalWidth="0" w:num="1">
            <w:col w:w="11400"/>
          </w:cols>
          <w:pgMar w:left="240" w:top="152" w:right="259" w:bottom="0" w:gutter="0" w:footer="0" w:header="0"/>
        </w:sectPr>
      </w:pPr>
    </w:p>
    <w:bookmarkStart w:id="39" w:name="page40"/>
    <w:bookmarkEnd w:id="39"/>
    <w:tbl>
      <w:tblPr>
        <w:tblLayout w:type="fixed"/>
        <w:tblInd w:w="3420" w:type="dxa"/>
        <w:tblCellMar>
          <w:top w:w="0" w:type="dxa"/>
          <w:left w:w="0" w:type="dxa"/>
          <w:bottom w:w="0" w:type="dxa"/>
          <w:right w:w="0" w:type="dxa"/>
        </w:tblCellMar>
      </w:tblPr>
      <w:tr>
        <w:trPr>
          <w:trHeight w:val="204"/>
        </w:trPr>
        <w:tc>
          <w:tcPr>
            <w:tcW w:w="2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3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w:t>
            </w: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Allowance for doubtful accounts</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$ 1,688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$ 2,033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Inventory items</w:t>
            </w: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744</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Warranty reserves and other accruals</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30,053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25,559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Employee benefits</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Depreciation</w:t>
            </w:r>
          </w:p>
        </w:tc>
        <w:tc>
          <w:tcPr>
            <w:tcW w:w="3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1,862</w:t>
            </w:r>
          </w:p>
        </w:tc>
        <w:tc>
          <w:tcPr>
            <w:tcW w:w="28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7,386</w:t>
            </w:r>
          </w:p>
        </w:tc>
        <w:tc>
          <w:tcPr>
            <w:tcW w:w="2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8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$60,618</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$58,558</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Liabilities:</w:t>
            </w: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Depreciation</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deferred tax liabilities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As of October 31, 2006, the company had approximately $16.1 million of accumulated undistributed earnings of subsidiaries outside of the United States that are considered to be reinvested indefinitely. No deferred tax liability has been provided for such earnings.</w:t>
      </w:r>
    </w:p>
    <w:p>
      <w:pPr>
        <w:spacing w:after="0" w:line="260" w:lineRule="exact"/>
        <w:rPr>
          <w:sz w:val="20"/>
          <w:szCs w:val="20"/>
          <w:color w:val="auto"/>
        </w:rPr>
      </w:pPr>
    </w:p>
    <w:p>
      <w:pPr>
        <w:ind w:left="720" w:right="7280" w:hanging="712"/>
        <w:spacing w:after="0" w:line="180" w:lineRule="auto"/>
        <w:tabs>
          <w:tab w:leader="none" w:pos="720" w:val="left"/>
        </w:tabs>
        <w:numPr>
          <w:ilvl w:val="0"/>
          <w:numId w:val="74"/>
        </w:numPr>
        <w:rPr>
          <w:rFonts w:ascii="Arial" w:cs="Arial" w:eastAsia="Arial" w:hAnsi="Arial"/>
          <w:sz w:val="40"/>
          <w:szCs w:val="40"/>
          <w:b w:val="1"/>
          <w:bCs w:val="1"/>
          <w:color w:val="4673B6"/>
        </w:rPr>
      </w:pPr>
      <w:r>
        <w:rPr>
          <w:rFonts w:ascii="Arial" w:cs="Arial" w:eastAsia="Arial" w:hAnsi="Arial"/>
          <w:sz w:val="18"/>
          <w:szCs w:val="18"/>
          <w:b w:val="1"/>
          <w:bCs w:val="1"/>
          <w:color w:val="4673B6"/>
        </w:rPr>
        <w:t>STOCK-BASED COMPENSATION PLANS</w:t>
      </w: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Under the company’s stock option plans, certain employees and non-employee directors have been granted options to purchase shares of common stock at prices equal to the fair market value of the company’s common stock on the date the option was granted. A majority of these awards are non-qualified options, and for certain non-officer employees, the options vest after two years from the date of grant and have a five-year contractual term. Other options granted during the first quarter of fiscal 2006 vest one-third each year over a three-year period and have a ten-year contractual term. Compensation expense is recognized for these awards over the vesting period. The number of unissued shares of common stock available for future grants under the company’s stock-based compensation plans was 949,469 as of October 31, 2006.</w:t>
      </w:r>
    </w:p>
    <w:p>
      <w:pPr>
        <w:spacing w:after="0" w:line="1"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In 1999, the company’s stockholders approved a long-term incentive plan called The Toro Company Performance Share Plan. Under this plan, key employees are granted the right to receive shares of common stock or deferred common stock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Compensation expense is recognized for these awards on a straight-line basis over the vesting period based on the fair value as of the date of grant and the probability of achieving performance goals. The number of unissued shares of common stock available for future grants under the company’s Performance Share Plan was 1,043,885 as of October 31, 2006.</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activity under the plans previously described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143510</wp:posOffset>
            </wp:positionV>
            <wp:extent cx="29673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41" w:lineRule="exact"/>
        <w:rPr>
          <w:sz w:val="20"/>
          <w:szCs w:val="20"/>
          <w:color w:val="auto"/>
        </w:rPr>
      </w:pPr>
    </w:p>
    <w:tbl>
      <w:tblPr>
        <w:tblLayout w:type="fixed"/>
        <w:tblInd w:w="3340" w:type="dxa"/>
        <w:tblCellMar>
          <w:top w:w="0" w:type="dxa"/>
          <w:left w:w="0" w:type="dxa"/>
          <w:bottom w:w="0" w:type="dxa"/>
          <w:right w:w="0" w:type="dxa"/>
        </w:tblCellMar>
      </w:tblPr>
      <w:tr>
        <w:trPr>
          <w:trHeight w:val="152"/>
        </w:trPr>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Performance</w:t>
            </w:r>
          </w:p>
        </w:tc>
      </w:tr>
      <w:tr>
        <w:trPr>
          <w:trHeight w:val="189"/>
        </w:trPr>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Aggregate</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Shares</w:t>
            </w:r>
          </w:p>
        </w:tc>
      </w:tr>
      <w:tr>
        <w:trPr>
          <w:trHeight w:val="189"/>
        </w:trPr>
        <w:tc>
          <w:tcPr>
            <w:tcW w:w="1460" w:type="dxa"/>
            <w:vAlign w:val="bottom"/>
          </w:tcPr>
          <w:p>
            <w:pPr>
              <w:spacing w:after="0"/>
              <w:rPr>
                <w:sz w:val="20"/>
                <w:szCs w:val="20"/>
                <w:color w:val="auto"/>
              </w:rPr>
            </w:pPr>
            <w:r>
              <w:rPr>
                <w:rFonts w:ascii="Arial" w:cs="Arial" w:eastAsia="Arial" w:hAnsi="Arial"/>
                <w:sz w:val="13"/>
                <w:szCs w:val="13"/>
                <w:color w:val="auto"/>
              </w:rPr>
              <w:t>(Dollars in thousands,</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Options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Intrinsic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Potentially</w:t>
            </w:r>
          </w:p>
        </w:tc>
      </w:tr>
      <w:tr>
        <w:trPr>
          <w:trHeight w:val="205"/>
        </w:trPr>
        <w:tc>
          <w:tcPr>
            <w:tcW w:w="1460" w:type="dxa"/>
            <w:vAlign w:val="bottom"/>
          </w:tcPr>
          <w:p>
            <w:pPr>
              <w:ind w:left="40"/>
              <w:spacing w:after="0"/>
              <w:rPr>
                <w:sz w:val="20"/>
                <w:szCs w:val="20"/>
                <w:color w:val="auto"/>
              </w:rPr>
            </w:pPr>
            <w:r>
              <w:rPr>
                <w:rFonts w:ascii="Arial" w:cs="Arial" w:eastAsia="Arial" w:hAnsi="Arial"/>
                <w:sz w:val="13"/>
                <w:szCs w:val="13"/>
                <w:color w:val="auto"/>
              </w:rPr>
              <w:t>except per share data)</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Outstanding</w:t>
            </w:r>
          </w:p>
        </w:tc>
        <w:tc>
          <w:tcPr>
            <w:tcW w:w="460" w:type="dxa"/>
            <w:vAlign w:val="bottom"/>
          </w:tcPr>
          <w:p>
            <w:pPr>
              <w:jc w:val="right"/>
              <w:spacing w:after="0"/>
              <w:rPr>
                <w:sz w:val="20"/>
                <w:szCs w:val="20"/>
                <w:color w:val="auto"/>
              </w:rPr>
            </w:pPr>
            <w:r>
              <w:rPr>
                <w:rFonts w:ascii="Arial" w:cs="Arial" w:eastAsia="Arial" w:hAnsi="Arial"/>
                <w:sz w:val="13"/>
                <w:szCs w:val="13"/>
                <w:color w:val="auto"/>
              </w:rPr>
              <w:t>Price</w:t>
            </w:r>
            <w:r>
              <w:rPr>
                <w:rFonts w:ascii="Arial" w:cs="Arial" w:eastAsia="Arial" w:hAnsi="Arial"/>
                <w:sz w:val="17"/>
                <w:szCs w:val="17"/>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3"/>
                <w:szCs w:val="13"/>
                <w:color w:val="auto"/>
              </w:rPr>
              <w:t>Life</w:t>
            </w:r>
            <w:r>
              <w:rPr>
                <w:rFonts w:ascii="Arial" w:cs="Arial" w:eastAsia="Arial" w:hAnsi="Arial"/>
                <w:sz w:val="17"/>
                <w:szCs w:val="17"/>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Issuable</w:t>
            </w:r>
          </w:p>
        </w:tc>
      </w:tr>
      <w:tr>
        <w:trPr>
          <w:trHeight w:val="183"/>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Fiscal 2004</w:t>
            </w: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73"/>
        </w:trPr>
        <w:tc>
          <w:tcPr>
            <w:tcW w:w="1460" w:type="dxa"/>
            <w:vAlign w:val="bottom"/>
          </w:tcPr>
          <w:p>
            <w:pPr>
              <w:spacing w:after="0"/>
              <w:rPr>
                <w:sz w:val="20"/>
                <w:szCs w:val="20"/>
                <w:color w:val="auto"/>
              </w:rPr>
            </w:pPr>
            <w:r>
              <w:rPr>
                <w:rFonts w:ascii="Arial" w:cs="Arial" w:eastAsia="Arial" w:hAnsi="Arial"/>
                <w:sz w:val="13"/>
                <w:szCs w:val="13"/>
                <w:color w:val="auto"/>
              </w:rPr>
              <w:t>Outstanding as of the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1460" w:type="dxa"/>
            <w:vAlign w:val="bottom"/>
          </w:tcPr>
          <w:p>
            <w:pPr>
              <w:ind w:left="180"/>
              <w:spacing w:after="0"/>
              <w:rPr>
                <w:sz w:val="20"/>
                <w:szCs w:val="20"/>
                <w:color w:val="auto"/>
              </w:rPr>
            </w:pPr>
            <w:r>
              <w:rPr>
                <w:rFonts w:ascii="Arial" w:cs="Arial" w:eastAsia="Arial" w:hAnsi="Arial"/>
                <w:sz w:val="13"/>
                <w:szCs w:val="13"/>
                <w:color w:val="auto"/>
              </w:rPr>
              <w:t>beginning of the year</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4,476,120</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$10.65</w:t>
            </w:r>
          </w:p>
        </w:tc>
        <w:tc>
          <w:tcPr>
            <w:tcW w:w="380" w:type="dxa"/>
            <w:vAlign w:val="bottom"/>
          </w:tcPr>
          <w:p>
            <w:pPr>
              <w:jc w:val="right"/>
              <w:spacing w:after="0"/>
              <w:rPr>
                <w:sz w:val="20"/>
                <w:szCs w:val="20"/>
                <w:color w:val="auto"/>
              </w:rPr>
            </w:pPr>
            <w:r>
              <w:rPr>
                <w:rFonts w:ascii="Arial" w:cs="Arial" w:eastAsia="Arial" w:hAnsi="Arial"/>
                <w:sz w:val="13"/>
                <w:szCs w:val="13"/>
                <w:color w:val="auto"/>
              </w:rPr>
              <w:t>5.1</w:t>
            </w:r>
          </w:p>
        </w:tc>
        <w:tc>
          <w:tcPr>
            <w:tcW w:w="700" w:type="dxa"/>
            <w:vAlign w:val="bottom"/>
          </w:tcPr>
          <w:p>
            <w:pPr>
              <w:jc w:val="right"/>
              <w:spacing w:after="0"/>
              <w:rPr>
                <w:sz w:val="20"/>
                <w:szCs w:val="20"/>
                <w:color w:val="auto"/>
              </w:rPr>
            </w:pPr>
            <w:r>
              <w:rPr>
                <w:rFonts w:ascii="Arial" w:cs="Arial" w:eastAsia="Arial" w:hAnsi="Arial"/>
                <w:sz w:val="13"/>
                <w:szCs w:val="13"/>
                <w:color w:val="auto"/>
              </w:rPr>
              <w:t>$63,561</w:t>
            </w:r>
          </w:p>
        </w:tc>
        <w:tc>
          <w:tcPr>
            <w:tcW w:w="820" w:type="dxa"/>
            <w:vAlign w:val="bottom"/>
          </w:tcPr>
          <w:p>
            <w:pPr>
              <w:jc w:val="right"/>
              <w:spacing w:after="0"/>
              <w:rPr>
                <w:sz w:val="20"/>
                <w:szCs w:val="20"/>
                <w:color w:val="auto"/>
              </w:rPr>
            </w:pPr>
            <w:r>
              <w:rPr>
                <w:rFonts w:ascii="Arial" w:cs="Arial" w:eastAsia="Arial" w:hAnsi="Arial"/>
                <w:sz w:val="13"/>
                <w:szCs w:val="13"/>
                <w:color w:val="auto"/>
              </w:rPr>
              <w:t>1,426,000</w:t>
            </w:r>
          </w:p>
        </w:tc>
        <w:tc>
          <w:tcPr>
            <w:tcW w:w="80" w:type="dxa"/>
            <w:vAlign w:val="bottom"/>
          </w:tcPr>
          <w:p>
            <w:pPr>
              <w:spacing w:after="0"/>
              <w:rPr>
                <w:sz w:val="17"/>
                <w:szCs w:val="17"/>
                <w:color w:val="auto"/>
              </w:rPr>
            </w:pPr>
          </w:p>
        </w:tc>
      </w:tr>
      <w:tr>
        <w:trPr>
          <w:trHeight w:val="197"/>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665,600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281,200</w:t>
            </w:r>
          </w:p>
        </w:tc>
        <w:tc>
          <w:tcPr>
            <w:tcW w:w="80" w:type="dxa"/>
            <w:vAlign w:val="bottom"/>
            <w:shd w:val="clear" w:color="auto" w:fill="CCEEFF"/>
          </w:tcPr>
          <w:p>
            <w:pPr>
              <w:spacing w:after="0"/>
              <w:rPr>
                <w:sz w:val="17"/>
                <w:szCs w:val="17"/>
                <w:color w:val="auto"/>
              </w:rPr>
            </w:pPr>
          </w:p>
        </w:tc>
      </w:tr>
      <w:tr>
        <w:trPr>
          <w:trHeight w:val="181"/>
        </w:trPr>
        <w:tc>
          <w:tcPr>
            <w:tcW w:w="1460" w:type="dxa"/>
            <w:vAlign w:val="bottom"/>
          </w:tcPr>
          <w:p>
            <w:pPr>
              <w:spacing w:after="0"/>
              <w:rPr>
                <w:sz w:val="20"/>
                <w:szCs w:val="20"/>
                <w:color w:val="auto"/>
              </w:rPr>
            </w:pPr>
            <w:r>
              <w:rPr>
                <w:rFonts w:ascii="Arial" w:cs="Arial" w:eastAsia="Arial" w:hAnsi="Arial"/>
                <w:sz w:val="13"/>
                <w:szCs w:val="13"/>
                <w:color w:val="auto"/>
              </w:rPr>
              <w:t>Exercised/earned</w:t>
            </w:r>
          </w:p>
        </w:tc>
        <w:tc>
          <w:tcPr>
            <w:tcW w:w="860" w:type="dxa"/>
            <w:vAlign w:val="bottom"/>
          </w:tcPr>
          <w:p>
            <w:pPr>
              <w:jc w:val="right"/>
              <w:spacing w:after="0"/>
              <w:rPr>
                <w:sz w:val="20"/>
                <w:szCs w:val="20"/>
                <w:color w:val="auto"/>
              </w:rPr>
            </w:pPr>
            <w:r>
              <w:rPr>
                <w:rFonts w:ascii="Arial" w:cs="Arial" w:eastAsia="Arial" w:hAnsi="Arial"/>
                <w:sz w:val="13"/>
                <w:szCs w:val="13"/>
                <w:color w:val="auto"/>
              </w:rPr>
              <w:t>(1,466,906)</w:t>
            </w:r>
          </w:p>
        </w:tc>
        <w:tc>
          <w:tcPr>
            <w:tcW w:w="460" w:type="dxa"/>
            <w:vAlign w:val="bottom"/>
          </w:tcPr>
          <w:p>
            <w:pPr>
              <w:jc w:val="right"/>
              <w:spacing w:after="0"/>
              <w:rPr>
                <w:sz w:val="20"/>
                <w:szCs w:val="20"/>
                <w:color w:val="auto"/>
              </w:rPr>
            </w:pPr>
            <w:r>
              <w:rPr>
                <w:rFonts w:ascii="Arial" w:cs="Arial" w:eastAsia="Arial" w:hAnsi="Arial"/>
                <w:sz w:val="13"/>
                <w:szCs w:val="13"/>
                <w:color w:val="auto"/>
              </w:rPr>
              <w:t>9.63</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(230,404)</w:t>
            </w:r>
          </w:p>
        </w:tc>
      </w:tr>
      <w:tr>
        <w:trPr>
          <w:trHeight w:val="191"/>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Cancelled/forfeited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(275,996)</w:t>
            </w:r>
          </w:p>
        </w:tc>
      </w:tr>
      <w:tr>
        <w:trPr>
          <w:trHeight w:val="173"/>
        </w:trPr>
        <w:tc>
          <w:tcPr>
            <w:tcW w:w="14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Outstanding as of</w:t>
            </w:r>
          </w:p>
        </w:tc>
        <w:tc>
          <w:tcPr>
            <w:tcW w:w="8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October 31, 2004</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3,674,814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$13.52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$75,729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1,200,800</w:t>
            </w:r>
          </w:p>
        </w:tc>
        <w:tc>
          <w:tcPr>
            <w:tcW w:w="80" w:type="dxa"/>
            <w:vAlign w:val="bottom"/>
            <w:tcBorders>
              <w:bottom w:val="single" w:sz="8" w:color="CCEEFF"/>
            </w:tcBorders>
          </w:tcPr>
          <w:p>
            <w:pPr>
              <w:spacing w:after="0"/>
              <w:rPr>
                <w:sz w:val="17"/>
                <w:szCs w:val="17"/>
                <w:color w:val="auto"/>
              </w:rPr>
            </w:pPr>
          </w:p>
        </w:tc>
      </w:tr>
      <w:tr>
        <w:trPr>
          <w:trHeight w:val="173"/>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Exercisable as of</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9"/>
        </w:trPr>
        <w:tc>
          <w:tcPr>
            <w:tcW w:w="1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October 31, 2004</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3,338,414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$12.46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$72,335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r>
      <w:tr>
        <w:trPr>
          <w:trHeight w:val="189"/>
        </w:trPr>
        <w:tc>
          <w:tcPr>
            <w:tcW w:w="1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3"/>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Fiscal 2005</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3"/>
        </w:trPr>
        <w:tc>
          <w:tcPr>
            <w:tcW w:w="1460" w:type="dxa"/>
            <w:vAlign w:val="bottom"/>
          </w:tcPr>
          <w:p>
            <w:pPr>
              <w:spacing w:after="0"/>
              <w:rPr>
                <w:sz w:val="20"/>
                <w:szCs w:val="20"/>
                <w:color w:val="auto"/>
              </w:rPr>
            </w:pPr>
            <w:r>
              <w:rPr>
                <w:rFonts w:ascii="Arial" w:cs="Arial" w:eastAsia="Arial" w:hAnsi="Arial"/>
                <w:sz w:val="13"/>
                <w:szCs w:val="13"/>
                <w:color w:val="auto"/>
              </w:rPr>
              <w:t>Outstanding as of the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1460" w:type="dxa"/>
            <w:vAlign w:val="bottom"/>
          </w:tcPr>
          <w:p>
            <w:pPr>
              <w:ind w:left="180"/>
              <w:spacing w:after="0"/>
              <w:rPr>
                <w:sz w:val="20"/>
                <w:szCs w:val="20"/>
                <w:color w:val="auto"/>
              </w:rPr>
            </w:pPr>
            <w:r>
              <w:rPr>
                <w:rFonts w:ascii="Arial" w:cs="Arial" w:eastAsia="Arial" w:hAnsi="Arial"/>
                <w:sz w:val="13"/>
                <w:szCs w:val="13"/>
                <w:color w:val="auto"/>
              </w:rPr>
              <w:t>beginning of the year</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3,674,814</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$13.52</w:t>
            </w:r>
          </w:p>
        </w:tc>
        <w:tc>
          <w:tcPr>
            <w:tcW w:w="380" w:type="dxa"/>
            <w:vAlign w:val="bottom"/>
          </w:tcPr>
          <w:p>
            <w:pPr>
              <w:jc w:val="right"/>
              <w:spacing w:after="0"/>
              <w:rPr>
                <w:sz w:val="20"/>
                <w:szCs w:val="20"/>
                <w:color w:val="auto"/>
              </w:rPr>
            </w:pPr>
            <w:r>
              <w:rPr>
                <w:rFonts w:ascii="Arial" w:cs="Arial" w:eastAsia="Arial" w:hAnsi="Arial"/>
                <w:sz w:val="13"/>
                <w:szCs w:val="13"/>
                <w:color w:val="auto"/>
              </w:rPr>
              <w:t>5.2</w:t>
            </w:r>
          </w:p>
        </w:tc>
        <w:tc>
          <w:tcPr>
            <w:tcW w:w="700" w:type="dxa"/>
            <w:vAlign w:val="bottom"/>
          </w:tcPr>
          <w:p>
            <w:pPr>
              <w:jc w:val="right"/>
              <w:spacing w:after="0"/>
              <w:rPr>
                <w:sz w:val="20"/>
                <w:szCs w:val="20"/>
                <w:color w:val="auto"/>
              </w:rPr>
            </w:pPr>
            <w:r>
              <w:rPr>
                <w:rFonts w:ascii="Arial" w:cs="Arial" w:eastAsia="Arial" w:hAnsi="Arial"/>
                <w:sz w:val="13"/>
                <w:szCs w:val="13"/>
                <w:color w:val="auto"/>
              </w:rPr>
              <w:t>$75,729</w:t>
            </w:r>
          </w:p>
        </w:tc>
        <w:tc>
          <w:tcPr>
            <w:tcW w:w="820" w:type="dxa"/>
            <w:vAlign w:val="bottom"/>
          </w:tcPr>
          <w:p>
            <w:pPr>
              <w:jc w:val="right"/>
              <w:spacing w:after="0"/>
              <w:rPr>
                <w:sz w:val="20"/>
                <w:szCs w:val="20"/>
                <w:color w:val="auto"/>
              </w:rPr>
            </w:pPr>
            <w:r>
              <w:rPr>
                <w:rFonts w:ascii="Arial" w:cs="Arial" w:eastAsia="Arial" w:hAnsi="Arial"/>
                <w:sz w:val="13"/>
                <w:szCs w:val="13"/>
                <w:color w:val="auto"/>
              </w:rPr>
              <w:t>1,200,800</w:t>
            </w:r>
          </w:p>
        </w:tc>
        <w:tc>
          <w:tcPr>
            <w:tcW w:w="80" w:type="dxa"/>
            <w:vAlign w:val="bottom"/>
          </w:tcPr>
          <w:p>
            <w:pPr>
              <w:spacing w:after="0"/>
              <w:rPr>
                <w:sz w:val="17"/>
                <w:szCs w:val="17"/>
                <w:color w:val="auto"/>
              </w:rPr>
            </w:pPr>
          </w:p>
        </w:tc>
      </w:tr>
      <w:tr>
        <w:trPr>
          <w:trHeight w:val="197"/>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468,880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37.76</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160,800</w:t>
            </w:r>
          </w:p>
        </w:tc>
        <w:tc>
          <w:tcPr>
            <w:tcW w:w="80" w:type="dxa"/>
            <w:vAlign w:val="bottom"/>
            <w:shd w:val="clear" w:color="auto" w:fill="CCEEFF"/>
          </w:tcPr>
          <w:p>
            <w:pPr>
              <w:spacing w:after="0"/>
              <w:rPr>
                <w:sz w:val="17"/>
                <w:szCs w:val="17"/>
                <w:color w:val="auto"/>
              </w:rPr>
            </w:pPr>
          </w:p>
        </w:tc>
      </w:tr>
      <w:tr>
        <w:trPr>
          <w:trHeight w:val="181"/>
        </w:trPr>
        <w:tc>
          <w:tcPr>
            <w:tcW w:w="1460" w:type="dxa"/>
            <w:vAlign w:val="bottom"/>
          </w:tcPr>
          <w:p>
            <w:pPr>
              <w:spacing w:after="0"/>
              <w:rPr>
                <w:sz w:val="20"/>
                <w:szCs w:val="20"/>
                <w:color w:val="auto"/>
              </w:rPr>
            </w:pPr>
            <w:r>
              <w:rPr>
                <w:rFonts w:ascii="Arial" w:cs="Arial" w:eastAsia="Arial" w:hAnsi="Arial"/>
                <w:sz w:val="13"/>
                <w:szCs w:val="13"/>
                <w:color w:val="auto"/>
              </w:rPr>
              <w:t>Exercised/earned</w:t>
            </w:r>
          </w:p>
        </w:tc>
        <w:tc>
          <w:tcPr>
            <w:tcW w:w="860" w:type="dxa"/>
            <w:vAlign w:val="bottom"/>
          </w:tcPr>
          <w:p>
            <w:pPr>
              <w:jc w:val="right"/>
              <w:spacing w:after="0"/>
              <w:rPr>
                <w:sz w:val="20"/>
                <w:szCs w:val="20"/>
                <w:color w:val="auto"/>
              </w:rPr>
            </w:pPr>
            <w:r>
              <w:rPr>
                <w:rFonts w:ascii="Arial" w:cs="Arial" w:eastAsia="Arial" w:hAnsi="Arial"/>
                <w:sz w:val="13"/>
                <w:szCs w:val="13"/>
                <w:color w:val="auto"/>
              </w:rPr>
              <w:t>(688,362)</w:t>
            </w:r>
          </w:p>
        </w:tc>
        <w:tc>
          <w:tcPr>
            <w:tcW w:w="460" w:type="dxa"/>
            <w:vAlign w:val="bottom"/>
          </w:tcPr>
          <w:p>
            <w:pPr>
              <w:jc w:val="right"/>
              <w:spacing w:after="0"/>
              <w:rPr>
                <w:sz w:val="20"/>
                <w:szCs w:val="20"/>
                <w:color w:val="auto"/>
              </w:rPr>
            </w:pPr>
            <w:r>
              <w:rPr>
                <w:rFonts w:ascii="Arial" w:cs="Arial" w:eastAsia="Arial" w:hAnsi="Arial"/>
                <w:sz w:val="13"/>
                <w:szCs w:val="13"/>
                <w:color w:val="auto"/>
              </w:rPr>
              <w:t>11.57</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(357,532)</w:t>
            </w:r>
          </w:p>
        </w:tc>
      </w:tr>
      <w:tr>
        <w:trPr>
          <w:trHeight w:val="191"/>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Cancelled/forfeited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(135,268)</w:t>
            </w:r>
          </w:p>
        </w:tc>
      </w:tr>
      <w:tr>
        <w:trPr>
          <w:trHeight w:val="173"/>
        </w:trPr>
        <w:tc>
          <w:tcPr>
            <w:tcW w:w="14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Outstanding as of</w:t>
            </w:r>
          </w:p>
        </w:tc>
        <w:tc>
          <w:tcPr>
            <w:tcW w:w="8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October 31, 2005</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3,449,012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$17.06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$67,099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868,800</w:t>
            </w:r>
          </w:p>
        </w:tc>
        <w:tc>
          <w:tcPr>
            <w:tcW w:w="80" w:type="dxa"/>
            <w:vAlign w:val="bottom"/>
            <w:tcBorders>
              <w:bottom w:val="single" w:sz="8" w:color="CCEEFF"/>
            </w:tcBorders>
          </w:tcPr>
          <w:p>
            <w:pPr>
              <w:spacing w:after="0"/>
              <w:rPr>
                <w:sz w:val="17"/>
                <w:szCs w:val="17"/>
                <w:color w:val="auto"/>
              </w:rPr>
            </w:pPr>
          </w:p>
        </w:tc>
      </w:tr>
      <w:tr>
        <w:trPr>
          <w:trHeight w:val="173"/>
        </w:trPr>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Exercisable as of</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9"/>
        </w:trPr>
        <w:tc>
          <w:tcPr>
            <w:tcW w:w="1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October 31, 2005</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2,759,927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$13.16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$64,445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r>
      <w:tr>
        <w:trPr>
          <w:trHeight w:val="189"/>
        </w:trPr>
        <w:tc>
          <w:tcPr>
            <w:tcW w:w="1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3"/>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2006</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3"/>
        </w:trPr>
        <w:tc>
          <w:tcPr>
            <w:tcW w:w="1460" w:type="dxa"/>
            <w:vAlign w:val="bottom"/>
          </w:tcPr>
          <w:p>
            <w:pPr>
              <w:spacing w:after="0"/>
              <w:rPr>
                <w:sz w:val="20"/>
                <w:szCs w:val="20"/>
                <w:color w:val="auto"/>
              </w:rPr>
            </w:pPr>
            <w:r>
              <w:rPr>
                <w:rFonts w:ascii="Arial" w:cs="Arial" w:eastAsia="Arial" w:hAnsi="Arial"/>
                <w:sz w:val="13"/>
                <w:szCs w:val="13"/>
                <w:b w:val="1"/>
                <w:bCs w:val="1"/>
                <w:color w:val="auto"/>
              </w:rPr>
              <w:t>Outstanding as of the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460" w:type="dxa"/>
            <w:vAlign w:val="bottom"/>
          </w:tcPr>
          <w:p>
            <w:pPr>
              <w:ind w:left="180"/>
              <w:spacing w:after="0"/>
              <w:rPr>
                <w:sz w:val="20"/>
                <w:szCs w:val="20"/>
                <w:color w:val="auto"/>
              </w:rPr>
            </w:pPr>
            <w:r>
              <w:rPr>
                <w:rFonts w:ascii="Arial" w:cs="Arial" w:eastAsia="Arial" w:hAnsi="Arial"/>
                <w:sz w:val="13"/>
                <w:szCs w:val="13"/>
                <w:b w:val="1"/>
                <w:bCs w:val="1"/>
                <w:color w:val="auto"/>
              </w:rPr>
              <w:t>beginning of the</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1460" w:type="dxa"/>
            <w:vAlign w:val="bottom"/>
          </w:tcPr>
          <w:p>
            <w:pPr>
              <w:ind w:left="180"/>
              <w:spacing w:after="0"/>
              <w:rPr>
                <w:sz w:val="20"/>
                <w:szCs w:val="20"/>
                <w:color w:val="auto"/>
              </w:rPr>
            </w:pPr>
            <w:r>
              <w:rPr>
                <w:rFonts w:ascii="Arial" w:cs="Arial" w:eastAsia="Arial" w:hAnsi="Arial"/>
                <w:sz w:val="13"/>
                <w:szCs w:val="13"/>
                <w:b w:val="1"/>
                <w:bCs w:val="1"/>
                <w:color w:val="auto"/>
              </w:rPr>
              <w:t>year</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3,449,012</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5"/>
              </w:rPr>
              <w:t>$17.06</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4.8</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$67,099</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868,800</w:t>
            </w:r>
          </w:p>
        </w:tc>
        <w:tc>
          <w:tcPr>
            <w:tcW w:w="80" w:type="dxa"/>
            <w:vAlign w:val="bottom"/>
          </w:tcPr>
          <w:p>
            <w:pPr>
              <w:spacing w:after="0"/>
              <w:rPr>
                <w:sz w:val="17"/>
                <w:szCs w:val="17"/>
                <w:color w:val="auto"/>
              </w:rPr>
            </w:pPr>
          </w:p>
        </w:tc>
      </w:tr>
      <w:tr>
        <w:trPr>
          <w:trHeight w:val="197"/>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Granted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453,855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36.87</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138,000</w:t>
            </w:r>
          </w:p>
        </w:tc>
        <w:tc>
          <w:tcPr>
            <w:tcW w:w="80" w:type="dxa"/>
            <w:vAlign w:val="bottom"/>
            <w:shd w:val="clear" w:color="auto" w:fill="CCEEFF"/>
          </w:tcPr>
          <w:p>
            <w:pPr>
              <w:spacing w:after="0"/>
              <w:rPr>
                <w:sz w:val="17"/>
                <w:szCs w:val="17"/>
                <w:color w:val="auto"/>
              </w:rPr>
            </w:pPr>
          </w:p>
        </w:tc>
      </w:tr>
      <w:tr>
        <w:trPr>
          <w:trHeight w:val="181"/>
        </w:trPr>
        <w:tc>
          <w:tcPr>
            <w:tcW w:w="1460" w:type="dxa"/>
            <w:vAlign w:val="bottom"/>
          </w:tcPr>
          <w:p>
            <w:pPr>
              <w:spacing w:after="0"/>
              <w:rPr>
                <w:sz w:val="20"/>
                <w:szCs w:val="20"/>
                <w:color w:val="auto"/>
              </w:rPr>
            </w:pPr>
            <w:r>
              <w:rPr>
                <w:rFonts w:ascii="Arial" w:cs="Arial" w:eastAsia="Arial" w:hAnsi="Arial"/>
                <w:sz w:val="13"/>
                <w:szCs w:val="13"/>
                <w:b w:val="1"/>
                <w:bCs w:val="1"/>
                <w:color w:val="auto"/>
              </w:rPr>
              <w:t>Exercised/earned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(837,759)</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12.37</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(382,625)</w:t>
            </w:r>
          </w:p>
        </w:tc>
      </w:tr>
      <w:tr>
        <w:trPr>
          <w:trHeight w:val="191"/>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Cancelled/forfeited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(52,209)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40.03</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(44,175)</w:t>
            </w:r>
          </w:p>
        </w:tc>
      </w:tr>
      <w:tr>
        <w:trPr>
          <w:trHeight w:val="173"/>
        </w:trPr>
        <w:tc>
          <w:tcPr>
            <w:tcW w:w="14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Outstanding as of</w:t>
            </w:r>
          </w:p>
        </w:tc>
        <w:tc>
          <w:tcPr>
            <w:tcW w:w="8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October 31, 2006</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3,012,899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$21.48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$65,334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580,000</w:t>
            </w:r>
          </w:p>
        </w:tc>
        <w:tc>
          <w:tcPr>
            <w:tcW w:w="80" w:type="dxa"/>
            <w:vAlign w:val="bottom"/>
            <w:tcBorders>
              <w:bottom w:val="single" w:sz="8" w:color="CCEEFF"/>
            </w:tcBorders>
          </w:tcPr>
          <w:p>
            <w:pPr>
              <w:spacing w:after="0"/>
              <w:rPr>
                <w:sz w:val="17"/>
                <w:szCs w:val="17"/>
                <w:color w:val="auto"/>
              </w:rPr>
            </w:pPr>
          </w:p>
        </w:tc>
      </w:tr>
      <w:tr>
        <w:trPr>
          <w:trHeight w:val="173"/>
        </w:trPr>
        <w:tc>
          <w:tcPr>
            <w:tcW w:w="1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Exercisable as of</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5"/>
        </w:trPr>
        <w:tc>
          <w:tcPr>
            <w:tcW w:w="14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October 31, 2006</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2,110,772</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$14.88</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$59,690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0</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120" w:hanging="112"/>
        <w:spacing w:after="0" w:line="218" w:lineRule="auto"/>
        <w:tabs>
          <w:tab w:leader="none" w:pos="1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Weighted-average exercise price</w:t>
      </w:r>
    </w:p>
    <w:p>
      <w:pPr>
        <w:spacing w:after="0" w:line="10"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Weighted-average contractual life in years</w:t>
      </w:r>
    </w:p>
    <w:p>
      <w:pPr>
        <w:sectPr>
          <w:pgSz w:w="11900" w:h="16838" w:orient="portrait"/>
          <w:cols w:equalWidth="0" w:num="1">
            <w:col w:w="11380"/>
          </w:cols>
          <w:pgMar w:left="240" w:top="120" w:right="279" w:bottom="0" w:gutter="0" w:footer="0" w:header="0"/>
        </w:sectPr>
      </w:pPr>
    </w:p>
    <w:bookmarkStart w:id="40" w:name="page41"/>
    <w:bookmarkEnd w:id="40"/>
    <w:p>
      <w:pPr>
        <w:ind w:right="140" w:firstLine="180"/>
        <w:spacing w:after="0" w:line="269" w:lineRule="auto"/>
        <w:rPr>
          <w:sz w:val="20"/>
          <w:szCs w:val="20"/>
          <w:color w:val="auto"/>
        </w:rPr>
      </w:pPr>
      <w:r>
        <w:rPr>
          <w:rFonts w:ascii="Arial" w:cs="Arial" w:eastAsia="Arial" w:hAnsi="Arial"/>
          <w:sz w:val="18"/>
          <w:szCs w:val="18"/>
          <w:color w:val="auto"/>
        </w:rPr>
        <w:t>Total stock-based compensation expense for these plans was $6,269,000 and $9,145,000 for the fiscal years ended October 31, 2006 and 2005, respectively. Prior to fiscal 2005, the company recognized stock-based compensation expense under the provisions of APB No. 25, which totaled $16,027,000 for the fiscal year ended October 31, 2004. The total intrinsic value of options (the amount by which the stock price exceeded the strike price of the option on the date of exercise) that were exercised during the fiscal years ended October 31, 2006, 2005, and 2004 was $37.5 million, $20.7 million, and $30.8 million, respectively.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180"/>
        <w:spacing w:after="0" w:line="262" w:lineRule="auto"/>
        <w:rPr>
          <w:sz w:val="20"/>
          <w:szCs w:val="20"/>
          <w:color w:val="auto"/>
        </w:rPr>
      </w:pPr>
      <w:r>
        <w:rPr>
          <w:rFonts w:ascii="Arial" w:cs="Arial" w:eastAsia="Arial" w:hAnsi="Arial"/>
          <w:sz w:val="18"/>
          <w:szCs w:val="18"/>
          <w:color w:val="auto"/>
        </w:rPr>
        <w:t>The table below presents the nonvested options and performance share awards as of October 31, 2006, and changes during the fiscal year ended October 31, 2006:</w:t>
      </w:r>
    </w:p>
    <w:p>
      <w:pPr>
        <w:spacing w:after="0" w:line="164" w:lineRule="exact"/>
        <w:rPr>
          <w:sz w:val="20"/>
          <w:szCs w:val="20"/>
          <w:color w:val="auto"/>
        </w:rPr>
      </w:pPr>
    </w:p>
    <w:tbl>
      <w:tblPr>
        <w:tblLayout w:type="fixed"/>
        <w:tblInd w:w="3340" w:type="dxa"/>
        <w:tblCellMar>
          <w:top w:w="0" w:type="dxa"/>
          <w:left w:w="0" w:type="dxa"/>
          <w:bottom w:w="0" w:type="dxa"/>
          <w:right w:w="0" w:type="dxa"/>
        </w:tblCellMar>
      </w:tblPr>
      <w:tr>
        <w:trPr>
          <w:trHeight w:val="189"/>
        </w:trPr>
        <w:tc>
          <w:tcPr>
            <w:tcW w:w="14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Weighted-</w:t>
            </w:r>
          </w:p>
        </w:tc>
        <w:tc>
          <w:tcPr>
            <w:tcW w:w="9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6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Average</w:t>
            </w: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Average</w:t>
            </w:r>
          </w:p>
        </w:tc>
      </w:tr>
      <w:tr>
        <w:trPr>
          <w:trHeight w:val="189"/>
        </w:trPr>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Fair Value</w:t>
            </w:r>
          </w:p>
        </w:tc>
        <w:tc>
          <w:tcPr>
            <w:tcW w:w="9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Fair Value</w:t>
            </w:r>
          </w:p>
        </w:tc>
      </w:tr>
      <w:tr>
        <w:trPr>
          <w:trHeight w:val="189"/>
        </w:trPr>
        <w:tc>
          <w:tcPr>
            <w:tcW w:w="148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Stock</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at date</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Performance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at date</w:t>
            </w:r>
          </w:p>
        </w:tc>
      </w:tr>
      <w:tr>
        <w:trPr>
          <w:trHeight w:val="197"/>
        </w:trPr>
        <w:tc>
          <w:tcPr>
            <w:tcW w:w="1480" w:type="dxa"/>
            <w:vAlign w:val="bottom"/>
          </w:tcPr>
          <w:p>
            <w:pPr>
              <w:spacing w:after="0"/>
              <w:rPr>
                <w:sz w:val="20"/>
                <w:szCs w:val="20"/>
                <w:color w:val="auto"/>
              </w:rPr>
            </w:pPr>
            <w:r>
              <w:rPr>
                <w:rFonts w:ascii="Arial" w:cs="Arial" w:eastAsia="Arial" w:hAnsi="Arial"/>
                <w:sz w:val="14"/>
                <w:szCs w:val="14"/>
                <w:color w:val="auto"/>
              </w:rPr>
              <w:t>Options and shares</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Options</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of grant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of grant</w:t>
            </w:r>
          </w:p>
        </w:tc>
      </w:tr>
      <w:tr>
        <w:trPr>
          <w:trHeight w:val="175"/>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Nonvested as of</w:t>
            </w:r>
          </w:p>
        </w:tc>
        <w:tc>
          <w:tcPr>
            <w:tcW w:w="8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November 1, 2005</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689,085</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$10.86</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868,800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60" w:type="dxa"/>
            <w:vAlign w:val="bottom"/>
            <w:shd w:val="clear" w:color="auto" w:fill="CCEEFF"/>
          </w:tcPr>
          <w:p>
            <w:pPr>
              <w:spacing w:after="0"/>
              <w:rPr>
                <w:sz w:val="17"/>
                <w:szCs w:val="17"/>
                <w:color w:val="auto"/>
              </w:rPr>
            </w:pPr>
          </w:p>
        </w:tc>
      </w:t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Granted</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453,855</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10.97</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138,000</w:t>
            </w:r>
          </w:p>
        </w:tc>
        <w:tc>
          <w:tcPr>
            <w:tcW w:w="680" w:type="dxa"/>
            <w:vAlign w:val="bottom"/>
          </w:tcPr>
          <w:p>
            <w:pPr>
              <w:jc w:val="right"/>
              <w:spacing w:after="0"/>
              <w:rPr>
                <w:sz w:val="20"/>
                <w:szCs w:val="20"/>
                <w:color w:val="auto"/>
              </w:rPr>
            </w:pPr>
            <w:r>
              <w:rPr>
                <w:rFonts w:ascii="Arial" w:cs="Arial" w:eastAsia="Arial" w:hAnsi="Arial"/>
                <w:sz w:val="14"/>
                <w:szCs w:val="14"/>
                <w:color w:val="auto"/>
              </w:rPr>
              <w:t>41.44</w:t>
            </w:r>
          </w:p>
        </w:tc>
        <w:tc>
          <w:tcPr>
            <w:tcW w:w="60" w:type="dxa"/>
            <w:vAlign w:val="bottom"/>
          </w:tcPr>
          <w:p>
            <w:pPr>
              <w:spacing w:after="0"/>
              <w:rPr>
                <w:sz w:val="15"/>
                <w:szCs w:val="15"/>
                <w:color w:val="auto"/>
              </w:rPr>
            </w:pPr>
          </w:p>
        </w:tc>
      </w:tr>
      <w:tr>
        <w:trPr>
          <w:trHeight w:val="196"/>
        </w:trPr>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Vested/earned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(188,604)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11.90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(382,625)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60" w:type="dxa"/>
            <w:vAlign w:val="bottom"/>
            <w:shd w:val="clear" w:color="auto" w:fill="CCEEFF"/>
          </w:tcPr>
          <w:p>
            <w:pPr>
              <w:spacing w:after="0"/>
              <w:rPr>
                <w:sz w:val="17"/>
                <w:szCs w:val="17"/>
                <w:color w:val="auto"/>
              </w:rPr>
            </w:pPr>
          </w:p>
        </w:tc>
      </w:tr>
      <w:tr>
        <w:trPr>
          <w:trHeight w:val="183"/>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Forfeited/cancelled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(52,209)</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11.90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w:t>
            </w:r>
          </w:p>
        </w:tc>
        <w:tc>
          <w:tcPr>
            <w:tcW w:w="60" w:type="dxa"/>
            <w:vAlign w:val="bottom"/>
            <w:tcBorders>
              <w:bottom w:val="single" w:sz="8" w:color="CCEEFF"/>
            </w:tcBorders>
          </w:tcPr>
          <w:p>
            <w:pPr>
              <w:spacing w:after="0"/>
              <w:rPr>
                <w:sz w:val="15"/>
                <w:szCs w:val="15"/>
                <w:color w:val="auto"/>
              </w:rPr>
            </w:pPr>
          </w:p>
        </w:tc>
      </w:tr>
      <w:tr>
        <w:trPr>
          <w:trHeight w:val="178"/>
        </w:trPr>
        <w:tc>
          <w:tcPr>
            <w:tcW w:w="1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Nonvested as of</w:t>
            </w: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3"/>
        </w:trPr>
        <w:tc>
          <w:tcPr>
            <w:tcW w:w="1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October 31, 2006</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902,127</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$10.64</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580,000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$31.84</w:t>
            </w:r>
          </w:p>
        </w:tc>
        <w:tc>
          <w:tcPr>
            <w:tcW w:w="6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firstLine="180"/>
        <w:spacing w:after="0" w:line="250" w:lineRule="auto"/>
        <w:rPr>
          <w:sz w:val="20"/>
          <w:szCs w:val="20"/>
          <w:color w:val="auto"/>
        </w:rPr>
      </w:pPr>
      <w:r>
        <w:rPr>
          <w:rFonts w:ascii="Arial" w:cs="Arial" w:eastAsia="Arial" w:hAnsi="Arial"/>
          <w:sz w:val="18"/>
          <w:szCs w:val="18"/>
          <w:color w:val="auto"/>
        </w:rPr>
        <w:t>As of October 31, 2006, there was $1,678,000 of total unrecognized compensation expense related to non-vested stock option compensation arrangements granted under the company’s plans. That cost is expected to be recognized over a weighted-average period of 1.3 years. As of October 31, 2006, there was $2,339,000 of total unrecognized compensation expense related to non-vested performance share compensation arrangements granted under the company’s plan. That cost is expected to be recognized over a weighted-average period of 1.6 years.</w:t>
      </w:r>
    </w:p>
    <w:p>
      <w:pPr>
        <w:spacing w:after="0" w:line="2" w:lineRule="exact"/>
        <w:rPr>
          <w:sz w:val="20"/>
          <w:szCs w:val="20"/>
          <w:color w:val="auto"/>
        </w:rPr>
      </w:pPr>
    </w:p>
    <w:p>
      <w:pPr>
        <w:ind w:right="40" w:firstLine="180"/>
        <w:spacing w:after="0" w:line="250" w:lineRule="auto"/>
        <w:rPr>
          <w:sz w:val="20"/>
          <w:szCs w:val="20"/>
          <w:color w:val="auto"/>
        </w:rPr>
      </w:pPr>
      <w:r>
        <w:rPr>
          <w:rFonts w:ascii="Arial" w:cs="Arial" w:eastAsia="Arial" w:hAnsi="Arial"/>
          <w:sz w:val="18"/>
          <w:szCs w:val="18"/>
          <w:color w:val="auto"/>
        </w:rPr>
        <w:t>The fair value of each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price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valuation of stock-based compensation in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126365</wp:posOffset>
            </wp:positionV>
            <wp:extent cx="2838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4" w:lineRule="exact"/>
        <w:rPr>
          <w:sz w:val="20"/>
          <w:szCs w:val="20"/>
          <w:color w:val="auto"/>
        </w:rPr>
      </w:pPr>
    </w:p>
    <w:tbl>
      <w:tblPr>
        <w:tblLayout w:type="fixed"/>
        <w:tblInd w:w="3400" w:type="dxa"/>
        <w:tblCellMar>
          <w:top w:w="0" w:type="dxa"/>
          <w:left w:w="0" w:type="dxa"/>
          <w:bottom w:w="0" w:type="dxa"/>
          <w:right w:w="0" w:type="dxa"/>
        </w:tblCellMar>
      </w:tblPr>
      <w:tr>
        <w:trPr>
          <w:trHeight w:val="152"/>
        </w:trPr>
        <w:tc>
          <w:tcPr>
            <w:tcW w:w="1560" w:type="dxa"/>
            <w:vAlign w:val="bottom"/>
            <w:gridSpan w:val="2"/>
          </w:tcPr>
          <w:p>
            <w:pPr>
              <w:spacing w:after="0"/>
              <w:rPr>
                <w:sz w:val="20"/>
                <w:szCs w:val="20"/>
                <w:color w:val="auto"/>
              </w:rPr>
            </w:pPr>
            <w:r>
              <w:rPr>
                <w:rFonts w:ascii="Arial" w:cs="Arial" w:eastAsia="Arial" w:hAnsi="Arial"/>
                <w:sz w:val="13"/>
                <w:szCs w:val="13"/>
                <w:color w:val="auto"/>
              </w:rPr>
              <w:t>Fiscal years ended</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9"/>
        </w:trPr>
        <w:tc>
          <w:tcPr>
            <w:tcW w:w="1560" w:type="dxa"/>
            <w:vAlign w:val="bottom"/>
            <w:gridSpan w:val="2"/>
          </w:tcPr>
          <w:p>
            <w:pPr>
              <w:spacing w:after="0"/>
              <w:rPr>
                <w:sz w:val="20"/>
                <w:szCs w:val="20"/>
                <w:color w:val="auto"/>
              </w:rPr>
            </w:pPr>
            <w:r>
              <w:rPr>
                <w:rFonts w:ascii="Arial" w:cs="Arial" w:eastAsia="Arial" w:hAnsi="Arial"/>
                <w:sz w:val="13"/>
                <w:szCs w:val="13"/>
                <w:color w:val="auto"/>
              </w:rPr>
              <w:t>October 31</w:t>
            </w:r>
          </w:p>
        </w:tc>
        <w:tc>
          <w:tcPr>
            <w:tcW w:w="340" w:type="dxa"/>
            <w:vAlign w:val="bottom"/>
          </w:tcPr>
          <w:p>
            <w:pPr>
              <w:spacing w:after="0"/>
              <w:rPr>
                <w:sz w:val="17"/>
                <w:szCs w:val="17"/>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2006</w:t>
            </w:r>
          </w:p>
        </w:tc>
        <w:tc>
          <w:tcPr>
            <w:tcW w:w="3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color w:val="auto"/>
              </w:rPr>
              <w:t>2005</w:t>
            </w:r>
          </w:p>
        </w:tc>
        <w:tc>
          <w:tcPr>
            <w:tcW w:w="3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2004</w:t>
            </w:r>
          </w:p>
        </w:tc>
        <w:tc>
          <w:tcPr>
            <w:tcW w:w="16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Stock option valuation</w:t>
            </w:r>
          </w:p>
        </w:tc>
        <w:tc>
          <w:tcPr>
            <w:tcW w:w="3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assumptions:</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3"/>
        </w:trPr>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Expected life of option</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3"/>
                <w:szCs w:val="13"/>
                <w:b w:val="1"/>
                <w:bCs w:val="1"/>
                <w:color w:val="auto"/>
              </w:rPr>
              <w:t>in years</w:t>
            </w:r>
          </w:p>
        </w:tc>
        <w:tc>
          <w:tcPr>
            <w:tcW w:w="340" w:type="dxa"/>
            <w:vAlign w:val="bottom"/>
          </w:tcPr>
          <w:p>
            <w:pPr>
              <w:spacing w:after="0"/>
              <w:rPr>
                <w:sz w:val="17"/>
                <w:szCs w:val="17"/>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2.5-6.5</w:t>
            </w:r>
          </w:p>
        </w:tc>
        <w:tc>
          <w:tcPr>
            <w:tcW w:w="3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color w:val="auto"/>
              </w:rPr>
              <w:t>3-7</w:t>
            </w:r>
          </w:p>
        </w:tc>
        <w:tc>
          <w:tcPr>
            <w:tcW w:w="3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volatility</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25.3% – 27.0%</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25.9% – 30.4%</w:t>
            </w: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27.6% – 27.8%</w:t>
            </w:r>
          </w:p>
        </w:tc>
      </w:tr>
      <w:tr>
        <w:trPr>
          <w:trHeight w:val="173"/>
        </w:trPr>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Weighted-average</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3"/>
                <w:szCs w:val="13"/>
                <w:b w:val="1"/>
                <w:bCs w:val="1"/>
                <w:color w:val="auto"/>
              </w:rPr>
              <w:t>volatility</w:t>
            </w:r>
          </w:p>
        </w:tc>
        <w:tc>
          <w:tcPr>
            <w:tcW w:w="340" w:type="dxa"/>
            <w:vAlign w:val="bottom"/>
          </w:tcPr>
          <w:p>
            <w:pPr>
              <w:spacing w:after="0"/>
              <w:rPr>
                <w:sz w:val="17"/>
                <w:szCs w:val="17"/>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26.13%</w:t>
            </w:r>
          </w:p>
        </w:tc>
        <w:tc>
          <w:tcPr>
            <w:tcW w:w="320" w:type="dxa"/>
            <w:vAlign w:val="bottom"/>
          </w:tcPr>
          <w:p>
            <w:pPr>
              <w:spacing w:after="0"/>
              <w:rPr>
                <w:sz w:val="17"/>
                <w:szCs w:val="17"/>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28.04%</w:t>
            </w:r>
          </w:p>
        </w:tc>
        <w:tc>
          <w:tcPr>
            <w:tcW w:w="3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27.72%</w:t>
            </w:r>
          </w:p>
        </w:tc>
      </w:tr>
      <w:tr>
        <w:trPr>
          <w:trHeight w:val="197"/>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Risk-free rate</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4.40% – 4.53%</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3.22% – 4.04%</w:t>
            </w: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2.04% – 4.10%</w:t>
            </w:r>
          </w:p>
        </w:tc>
      </w:tr>
      <w:tr>
        <w:trPr>
          <w:trHeight w:val="181"/>
        </w:trPr>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Expected dividend yield</w:t>
            </w: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0.65% – 0.70%</w:t>
            </w:r>
          </w:p>
        </w:tc>
        <w:tc>
          <w:tcPr>
            <w:tcW w:w="1020" w:type="dxa"/>
            <w:vAlign w:val="bottom"/>
            <w:gridSpan w:val="2"/>
          </w:tcPr>
          <w:p>
            <w:pPr>
              <w:ind w:left="80"/>
              <w:spacing w:after="0"/>
              <w:rPr>
                <w:sz w:val="20"/>
                <w:szCs w:val="20"/>
                <w:color w:val="auto"/>
              </w:rPr>
            </w:pPr>
            <w:r>
              <w:rPr>
                <w:rFonts w:ascii="Arial" w:cs="Arial" w:eastAsia="Arial" w:hAnsi="Arial"/>
                <w:sz w:val="13"/>
                <w:szCs w:val="13"/>
                <w:color w:val="auto"/>
              </w:rPr>
              <w:t>0.18% – 0.25%</w:t>
            </w: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0.26% – 0.39%</w:t>
            </w:r>
          </w:p>
        </w:tc>
      </w:tr>
      <w:tr>
        <w:trPr>
          <w:trHeight w:val="181"/>
        </w:trPr>
        <w:tc>
          <w:tcPr>
            <w:tcW w:w="20" w:type="dxa"/>
            <w:vAlign w:val="bottom"/>
          </w:tcPr>
          <w:p>
            <w:pPr>
              <w:spacing w:after="0"/>
              <w:rPr>
                <w:sz w:val="15"/>
                <w:szCs w:val="15"/>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Weighted-average</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dividend yield</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0.67%</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0.22%</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0.32%</w:t>
            </w:r>
          </w:p>
        </w:tc>
      </w:tr>
      <w:tr>
        <w:trPr>
          <w:trHeight w:val="22"/>
        </w:trPr>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3"/>
        </w:trPr>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Grant date weighted-</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3"/>
                <w:szCs w:val="13"/>
                <w:b w:val="1"/>
                <w:bCs w:val="1"/>
                <w:color w:val="auto"/>
              </w:rPr>
              <w:t>average fair value of</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3"/>
                <w:szCs w:val="13"/>
                <w:b w:val="1"/>
                <w:bCs w:val="1"/>
                <w:color w:val="auto"/>
              </w:rPr>
              <w:t>stock options</w:t>
            </w:r>
          </w:p>
        </w:tc>
        <w:tc>
          <w:tcPr>
            <w:tcW w:w="34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10.94</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7"/>
              <w:spacing w:after="0"/>
              <w:rPr>
                <w:sz w:val="20"/>
                <w:szCs w:val="20"/>
                <w:color w:val="auto"/>
              </w:rPr>
            </w:pPr>
            <w:r>
              <w:rPr>
                <w:rFonts w:ascii="Arial" w:cs="Arial" w:eastAsia="Arial" w:hAnsi="Arial"/>
                <w:sz w:val="13"/>
                <w:szCs w:val="13"/>
                <w:color w:val="auto"/>
              </w:rPr>
              <w:t>11.14</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7.69</w:t>
            </w:r>
          </w:p>
        </w:tc>
        <w:tc>
          <w:tcPr>
            <w:tcW w:w="16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Performance share</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1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grant date fair value</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41.44</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37.02</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24.16</w:t>
            </w:r>
          </w:p>
        </w:tc>
        <w:tc>
          <w:tcPr>
            <w:tcW w:w="160" w:type="dxa"/>
            <w:vAlign w:val="bottom"/>
            <w:shd w:val="clear" w:color="auto" w:fill="CCEEFF"/>
          </w:tcPr>
          <w:p>
            <w:pPr>
              <w:spacing w:after="0"/>
              <w:rPr>
                <w:sz w:val="17"/>
                <w:szCs w:val="17"/>
                <w:color w:val="auto"/>
              </w:rPr>
            </w:pPr>
          </w:p>
        </w:tc>
      </w:tr>
    </w:tbl>
    <w:p>
      <w:pPr>
        <w:spacing w:after="0" w:line="161" w:lineRule="exact"/>
        <w:rPr>
          <w:sz w:val="20"/>
          <w:szCs w:val="20"/>
          <w:color w:val="auto"/>
        </w:rPr>
      </w:pPr>
    </w:p>
    <w:p>
      <w:pPr>
        <w:ind w:right="180" w:firstLine="180"/>
        <w:spacing w:after="0" w:line="252" w:lineRule="auto"/>
        <w:rPr>
          <w:sz w:val="20"/>
          <w:szCs w:val="20"/>
          <w:color w:val="auto"/>
        </w:rPr>
      </w:pPr>
      <w:r>
        <w:rPr>
          <w:rFonts w:ascii="Arial" w:cs="Arial" w:eastAsia="Arial" w:hAnsi="Arial"/>
          <w:sz w:val="18"/>
          <w:szCs w:val="18"/>
          <w:color w:val="auto"/>
        </w:rPr>
        <w:t>On July 31, 1995, the company issued 68,968 shares of restricted stock and 68,968 performance units to the Chief Executive Officer under the terms of The Toro Company Chief Executive Officer Succession Incentive Award Agreement, which was approved by the company’s stockholders in 1994. The value of each performance unit is equal to the fair market value of a share of common stock. The restricted stock and performance units vest based upon achievement of specified succession planning goals. For each of the fiscal years ended October 31, 2000 and 1999, 10,480 shares and 10,480 performance units vested. During fiscal 2005, the remaining 48,908 restricted shares and 48,908 performance units vested due to the completion of the succession planning goals. Compensation expense related to this plan was $372,000, $167,000, and $1,102,000 for the fiscal years ended October 31, 2006, 2005, and 2004,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10</w:t>
      </w:r>
      <w:r>
        <w:rPr>
          <w:rFonts w:ascii="Arial" w:cs="Arial" w:eastAsia="Arial" w:hAnsi="Arial"/>
          <w:sz w:val="21"/>
          <w:szCs w:val="21"/>
          <w:b w:val="1"/>
          <w:bCs w:val="1"/>
          <w:color w:val="4673B6"/>
        </w:rPr>
        <w:t>EMPLOYEE RETIREMENT PLANS</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$15,150,000, $14,780,000, and $14,200,000 for the fiscal years ended October 31, 2006, 2005, and 2004, respectively.</w:t>
      </w:r>
    </w:p>
    <w:p>
      <w:pPr>
        <w:spacing w:after="0" w:line="1" w:lineRule="exact"/>
        <w:rPr>
          <w:sz w:val="20"/>
          <w:szCs w:val="20"/>
          <w:color w:val="auto"/>
        </w:rPr>
      </w:pPr>
    </w:p>
    <w:p>
      <w:pPr>
        <w:ind w:right="220" w:firstLine="180"/>
        <w:spacing w:after="0" w:line="256" w:lineRule="auto"/>
        <w:rPr>
          <w:sz w:val="20"/>
          <w:szCs w:val="20"/>
          <w:color w:val="auto"/>
        </w:rPr>
      </w:pPr>
      <w:r>
        <w:rPr>
          <w:rFonts w:ascii="Arial" w:cs="Arial" w:eastAsia="Arial" w:hAnsi="Arial"/>
          <w:sz w:val="18"/>
          <w:szCs w:val="18"/>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The company uses fiscal year end as the measurement date for this plan.</w:t>
      </w:r>
    </w:p>
    <w:p>
      <w:pPr>
        <w:sectPr>
          <w:pgSz w:w="11900" w:h="16838" w:orient="portrait"/>
          <w:cols w:equalWidth="0" w:num="1">
            <w:col w:w="11420"/>
          </w:cols>
          <w:pgMar w:left="240" w:top="152"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7"/>
        </w:trPr>
        <w:tc>
          <w:tcPr>
            <w:tcW w:w="6240" w:type="dxa"/>
            <w:vAlign w:val="bottom"/>
            <w:gridSpan w:val="2"/>
          </w:tcPr>
          <w:p>
            <w:pPr>
              <w:jc w:val="right"/>
              <w:ind w:right="348"/>
              <w:spacing w:after="0"/>
              <w:rPr>
                <w:sz w:val="20"/>
                <w:szCs w:val="20"/>
                <w:color w:val="auto"/>
              </w:rPr>
            </w:pPr>
            <w:r>
              <w:rPr>
                <w:rFonts w:ascii="Arial" w:cs="Arial" w:eastAsia="Arial" w:hAnsi="Arial"/>
                <w:sz w:val="18"/>
                <w:szCs w:val="18"/>
                <w:color w:val="auto"/>
              </w:rPr>
              <w:t>49</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342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240" w:type="dxa"/>
            <w:vAlign w:val="bottom"/>
            <w:gridSpan w:val="2"/>
          </w:tcPr>
          <w:p>
            <w:pPr>
              <w:jc w:val="right"/>
              <w:ind w:right="1228"/>
              <w:spacing w:after="0"/>
              <w:rPr>
                <w:sz w:val="20"/>
                <w:szCs w:val="20"/>
                <w:color w:val="auto"/>
              </w:rPr>
            </w:pPr>
            <w:r>
              <w:rPr>
                <w:rFonts w:ascii="Arial" w:cs="Arial" w:eastAsia="Arial" w:hAnsi="Arial"/>
                <w:sz w:val="18"/>
                <w:szCs w:val="18"/>
                <w:color w:val="auto"/>
              </w:rPr>
              <w:t>Reconciliation of the funded status of this plan is as follows:</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(Dollars in thousands)</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0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Borders>
              <w:bottom w:val="single" w:sz="8" w:color="CCEEFF"/>
            </w:tcBorders>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Projected Benefit Obligation</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Beginning obligations</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$9,172</w:t>
            </w:r>
          </w:p>
        </w:tc>
        <w:tc>
          <w:tcPr>
            <w:tcW w:w="620" w:type="dxa"/>
            <w:vAlign w:val="bottom"/>
          </w:tcPr>
          <w:p>
            <w:pPr>
              <w:jc w:val="right"/>
              <w:spacing w:after="0"/>
              <w:rPr>
                <w:sz w:val="20"/>
                <w:szCs w:val="20"/>
                <w:color w:val="auto"/>
              </w:rPr>
            </w:pPr>
            <w:r>
              <w:rPr>
                <w:rFonts w:ascii="Arial" w:cs="Arial" w:eastAsia="Arial" w:hAnsi="Arial"/>
                <w:sz w:val="14"/>
                <w:szCs w:val="14"/>
                <w:color w:val="auto"/>
              </w:rPr>
              <w:t>$9,160</w:t>
            </w: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Service cost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Interest cost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510</w:t>
            </w:r>
          </w:p>
        </w:tc>
        <w:tc>
          <w:tcPr>
            <w:tcW w:w="620" w:type="dxa"/>
            <w:vAlign w:val="bottom"/>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Actuarial gain</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(633)</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tcPr>
          <w:p>
            <w:pPr>
              <w:ind w:left="140"/>
              <w:spacing w:after="0"/>
              <w:rPr>
                <w:sz w:val="20"/>
                <w:szCs w:val="20"/>
                <w:color w:val="auto"/>
              </w:rPr>
            </w:pPr>
            <w:r>
              <w:rPr>
                <w:rFonts w:ascii="Arial" w:cs="Arial" w:eastAsia="Arial" w:hAnsi="Arial"/>
                <w:sz w:val="14"/>
                <w:szCs w:val="14"/>
                <w:b w:val="1"/>
                <w:bCs w:val="1"/>
                <w:color w:val="auto"/>
              </w:rPr>
              <w:t>Benefits paid</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(523)</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(391)</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Ending Obligations</w:t>
            </w: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$8,914</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$9,172</w:t>
            </w:r>
          </w:p>
        </w:tc>
        <w:tc>
          <w:tcPr>
            <w:tcW w:w="80" w:type="dxa"/>
            <w:vAlign w:val="bottom"/>
            <w:tcBorders>
              <w:top w:val="single" w:sz="8" w:color="CCEEFF"/>
            </w:tcBorders>
            <w:shd w:val="clear" w:color="auto" w:fill="CCEEFF"/>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Funded Status of Plan</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$(8,914)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$(9,172)</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Unrecognized prior service cost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(1,788)</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Unrecognized actuarial loss</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4,247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5,148</w:t>
            </w:r>
          </w:p>
        </w:tc>
        <w:tc>
          <w:tcPr>
            <w:tcW w:w="80" w:type="dxa"/>
            <w:vAlign w:val="bottom"/>
            <w:tcBorders>
              <w:bottom w:val="single" w:sz="8" w:color="CCEEFF"/>
            </w:tcBorders>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Amount Recognized</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$(6,261)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$(5,812)</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-2128520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-2128520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1" w:lineRule="exact"/>
        <w:rPr>
          <w:sz w:val="20"/>
          <w:szCs w:val="20"/>
          <w:color w:val="auto"/>
        </w:rPr>
      </w:pPr>
    </w:p>
    <w:p>
      <w:pPr>
        <w:ind w:right="60" w:firstLine="180"/>
        <w:spacing w:after="0" w:line="250" w:lineRule="auto"/>
        <w:rPr>
          <w:sz w:val="20"/>
          <w:szCs w:val="20"/>
          <w:color w:val="auto"/>
        </w:rPr>
      </w:pPr>
      <w:r>
        <w:rPr>
          <w:rFonts w:ascii="Arial" w:cs="Arial" w:eastAsia="Arial" w:hAnsi="Arial"/>
          <w:sz w:val="18"/>
          <w:szCs w:val="18"/>
          <w:color w:val="auto"/>
        </w:rPr>
        <w:t>The company amended its health-care benefit plan as of the end of fiscal 2004 to reduce benefits offered to certain eligible employees over a transition period.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Assumptions used in calculations are:</w:t>
      </w: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203"/>
        </w:trPr>
        <w:tc>
          <w:tcPr>
            <w:tcW w:w="3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CCEEFF"/>
            </w:tcBorders>
          </w:tcPr>
          <w:p>
            <w:pPr>
              <w:spacing w:after="0"/>
              <w:rPr>
                <w:sz w:val="17"/>
                <w:szCs w:val="17"/>
                <w:color w:val="auto"/>
              </w:rPr>
            </w:pPr>
          </w:p>
        </w:tc>
      </w:tr>
      <w:tr>
        <w:trPr>
          <w:trHeight w:val="183"/>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Discount rate used to determine year end</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obligation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5.75%</w:t>
            </w:r>
          </w:p>
        </w:tc>
      </w:tr>
      <w:tr>
        <w:trPr>
          <w:trHeight w:val="189"/>
        </w:trPr>
        <w:tc>
          <w:tcPr>
            <w:tcW w:w="3220" w:type="dxa"/>
            <w:vAlign w:val="bottom"/>
          </w:tcPr>
          <w:p>
            <w:pPr>
              <w:spacing w:after="0"/>
              <w:rPr>
                <w:sz w:val="20"/>
                <w:szCs w:val="20"/>
                <w:color w:val="auto"/>
              </w:rPr>
            </w:pPr>
            <w:r>
              <w:rPr>
                <w:rFonts w:ascii="Arial" w:cs="Arial" w:eastAsia="Arial" w:hAnsi="Arial"/>
                <w:sz w:val="14"/>
                <w:szCs w:val="14"/>
                <w:b w:val="1"/>
                <w:bCs w:val="1"/>
                <w:color w:val="auto"/>
              </w:rPr>
              <w:t>Discount rate used to determine fiscal year</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3220" w:type="dxa"/>
            <w:vAlign w:val="bottom"/>
          </w:tcPr>
          <w:p>
            <w:pPr>
              <w:ind w:left="180"/>
              <w:spacing w:after="0"/>
              <w:rPr>
                <w:sz w:val="20"/>
                <w:szCs w:val="20"/>
                <w:color w:val="auto"/>
              </w:rPr>
            </w:pPr>
            <w:r>
              <w:rPr>
                <w:rFonts w:ascii="Arial" w:cs="Arial" w:eastAsia="Arial" w:hAnsi="Arial"/>
                <w:sz w:val="14"/>
                <w:szCs w:val="14"/>
                <w:b w:val="1"/>
                <w:bCs w:val="1"/>
                <w:color w:val="auto"/>
              </w:rPr>
              <w:t>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5.75%</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increase in cost of benefits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r>
      <w:tr>
        <w:trPr>
          <w:trHeight w:val="20"/>
        </w:trPr>
        <w:tc>
          <w:tcPr>
            <w:tcW w:w="3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40" w:firstLine="180"/>
        <w:spacing w:after="0" w:line="250" w:lineRule="auto"/>
        <w:rPr>
          <w:sz w:val="20"/>
          <w:szCs w:val="20"/>
          <w:color w:val="auto"/>
        </w:rPr>
      </w:pPr>
      <w:r>
        <w:rPr>
          <w:rFonts w:ascii="Arial" w:cs="Arial" w:eastAsia="Arial" w:hAnsi="Arial"/>
          <w:sz w:val="18"/>
          <w:szCs w:val="18"/>
          <w:color w:val="auto"/>
        </w:rPr>
        <w:t>The annual increase in cost of postretirement benefits is assumed to decrease gradually in future years, reaching an ultimate rate of 5 percent in fiscal 2012.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Components of net benefit cost each fiscal year are as follows:</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24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9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Service cost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$381</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$ 525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20"/>
                <w:szCs w:val="20"/>
                <w:color w:val="auto"/>
              </w:rPr>
            </w:pPr>
            <w:r>
              <w:rPr>
                <w:rFonts w:ascii="Arial" w:cs="Arial" w:eastAsia="Arial" w:hAnsi="Arial"/>
                <w:sz w:val="14"/>
                <w:szCs w:val="14"/>
                <w:b w:val="1"/>
                <w:bCs w:val="1"/>
                <w:color w:val="auto"/>
              </w:rPr>
              <w:t>Interest cost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510</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511</w:t>
            </w:r>
          </w:p>
        </w:tc>
        <w:tc>
          <w:tcPr>
            <w:tcW w:w="560" w:type="dxa"/>
            <w:vAlign w:val="bottom"/>
          </w:tcPr>
          <w:p>
            <w:pPr>
              <w:jc w:val="right"/>
              <w:spacing w:after="0"/>
              <w:rPr>
                <w:sz w:val="20"/>
                <w:szCs w:val="20"/>
                <w:color w:val="auto"/>
              </w:rPr>
            </w:pPr>
            <w:r>
              <w:rPr>
                <w:rFonts w:ascii="Arial" w:cs="Arial" w:eastAsia="Arial" w:hAnsi="Arial"/>
                <w:sz w:val="14"/>
                <w:szCs w:val="14"/>
                <w:color w:val="auto"/>
              </w:rPr>
              <w:t>871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service cost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 of losses</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275</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expense</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$972</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$1,176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180"/>
        <w:spacing w:after="0" w:line="250" w:lineRule="auto"/>
        <w:rPr>
          <w:sz w:val="20"/>
          <w:szCs w:val="20"/>
          <w:color w:val="auto"/>
        </w:rPr>
      </w:pPr>
      <w:r>
        <w:rPr>
          <w:rFonts w:ascii="Arial" w:cs="Arial" w:eastAsia="Arial" w:hAnsi="Arial"/>
          <w:sz w:val="18"/>
          <w:szCs w:val="18"/>
          <w:color w:val="auto"/>
        </w:rPr>
        <w:t>Assumed trend rates for health-care costs have an important effect on the amounts reported for postretirement benefit plans. If the health-care cost trend rate increased by 1 percentage point, the postretirement benefit obligation as of October 31, 2006 would increase by $743,000. If the health-care cost trend rate decreased by 1 percentage point, the postretirement benefit obligation as of October 31, 2006 would decrease by $664,000.</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benefits expected to be paid by the company in each fiscal year from fiscal years 2007-2011 are $628,000, $641,000, $535,000,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$633,000, and $807,000, respectively. The aggregate benefits expected to be paid by the company in the five fiscal years from 2012-2016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$4,863,000. The expected benefits to be paid are based on the same assumptions used to measure the company’s benefit obligation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U.S. and the United Kingdom. The projected benefit obligation of these plans as of October 31, 2006 and 2005 was $31,127,000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$27,036,000, respectively, and the net liability amount recognized in the consolidated balance sheets as of October 31, 2006 and 2005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$3,144,000 and $2,707,000, respectively. The fair value of the plan assets as of October 31, 2006 and 2005 was $24,586,000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$21,066,000, respectively. The net expense recognized in the consolidated financial statements for these plans was $846,000, $606,000,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$290,000 for the fiscal years ended October 31, 2006, 2005, and 2004,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11</w:t>
      </w:r>
      <w:r>
        <w:rPr>
          <w:rFonts w:ascii="Arial" w:cs="Arial" w:eastAsia="Arial" w:hAnsi="Arial"/>
          <w:sz w:val="21"/>
          <w:szCs w:val="21"/>
          <w:b w:val="1"/>
          <w:bCs w:val="1"/>
          <w:color w:val="4673B6"/>
        </w:rPr>
        <w:t>SEGMENT DATA</w:t>
      </w:r>
    </w:p>
    <w:p>
      <w:pPr>
        <w:spacing w:after="0" w:line="1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Reportable Segments</w:t>
      </w:r>
    </w:p>
    <w:p>
      <w:pPr>
        <w:spacing w:after="0" w:line="2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micro-irrigation drip tape and hose products. These products are sold mainly through a network of distributors and dealers to professional users engaged in maintaining golf courses, sports fields, municipal and industrial properties, agricultural grounds, and residential and commercial landscapes.</w:t>
      </w:r>
    </w:p>
    <w:p>
      <w:pPr>
        <w:spacing w:after="0" w:line="6" w:lineRule="exact"/>
        <w:rPr>
          <w:sz w:val="20"/>
          <w:szCs w:val="20"/>
          <w:color w:val="auto"/>
        </w:rPr>
      </w:pPr>
    </w:p>
    <w:p>
      <w:pPr>
        <w:ind w:right="80" w:firstLine="180"/>
        <w:spacing w:after="0" w:line="254" w:lineRule="auto"/>
        <w:rPr>
          <w:sz w:val="20"/>
          <w:szCs w:val="20"/>
          <w:color w:val="auto"/>
        </w:rPr>
      </w:pPr>
      <w:r>
        <w:rPr>
          <w:rFonts w:ascii="Arial" w:cs="Arial" w:eastAsia="Arial" w:hAnsi="Arial"/>
          <w:sz w:val="18"/>
          <w:szCs w:val="18"/>
          <w:color w:val="auto"/>
        </w:rPr>
        <w:t>The residential segment consists of walk power mowers, riding mowers and tractors, snow throwers, homeowner-installed irrigation systems, replacement parts, and electrical home solutions products, including trimmers, blowers, and blower-vacuums. These products are sold to homeowners through a network of distributors and dealers, and through a broad array of hardware retailers, home centers, and mass retailers, as well as over the Internet.</w:t>
      </w:r>
    </w:p>
    <w:p>
      <w:pPr>
        <w:sectPr>
          <w:pgSz w:w="11900" w:h="16838" w:orient="portrait"/>
          <w:cols w:equalWidth="0" w:num="1">
            <w:col w:w="11460"/>
          </w:cols>
          <w:pgMar w:left="240" w:top="152" w:right="199" w:bottom="0" w:gutter="0" w:footer="0" w:header="0"/>
        </w:sectPr>
      </w:pPr>
    </w:p>
    <w:bookmarkStart w:id="42" w:name="page43"/>
    <w:bookmarkEnd w:id="42"/>
    <w:p>
      <w:pPr>
        <w:ind w:firstLine="180"/>
        <w:spacing w:after="0" w:line="255" w:lineRule="auto"/>
        <w:rPr>
          <w:sz w:val="20"/>
          <w:szCs w:val="20"/>
          <w:color w:val="auto"/>
        </w:rPr>
      </w:pPr>
      <w:r>
        <w:rPr>
          <w:rFonts w:ascii="Arial" w:cs="Arial" w:eastAsia="Arial" w:hAnsi="Arial"/>
          <w:sz w:val="18"/>
          <w:szCs w:val="18"/>
          <w:color w:val="auto"/>
        </w:rPr>
        <w:t>Effective the beginning of fiscal 2005, the company combined the distribution segment with the other segment because the net sales and total assets of the company-owned distributorships that comprised the former distribution segment no longer met the quantitative thresholds for separate reporting as an operating segment for all periods presented.</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The other segment consists of company-owned domestic distributor operations,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The other segment operating loss includes earnings (loss) from domestic wholly owned distribution company operations,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189"/>
        </w:trPr>
        <w:tc>
          <w:tcPr>
            <w:tcW w:w="1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w:t>
            </w: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4"/>
                <w:szCs w:val="14"/>
                <w:color w:val="auto"/>
              </w:rPr>
              <w:t>thousands)</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4"/>
                <w:szCs w:val="14"/>
                <w:color w:val="auto"/>
              </w:rPr>
              <w:t>Fiscal years ended</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1280" w:type="dxa"/>
            <w:vAlign w:val="bottom"/>
          </w:tcPr>
          <w:p>
            <w:pPr>
              <w:spacing w:after="0"/>
              <w:rPr>
                <w:sz w:val="20"/>
                <w:szCs w:val="20"/>
                <w:color w:val="auto"/>
              </w:rPr>
            </w:pPr>
            <w:r>
              <w:rPr>
                <w:rFonts w:ascii="Arial" w:cs="Arial" w:eastAsia="Arial" w:hAnsi="Arial"/>
                <w:sz w:val="14"/>
                <w:szCs w:val="14"/>
                <w:color w:val="auto"/>
              </w:rPr>
              <w:t>October 31</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Professional</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7"/>
                <w:szCs w:val="17"/>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Total</w:t>
            </w:r>
          </w:p>
        </w:tc>
      </w:tr>
      <w:tr>
        <w:trPr>
          <w:trHeight w:val="189"/>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2006</w:t>
            </w: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78"/>
        </w:trPr>
        <w:tc>
          <w:tcPr>
            <w:tcW w:w="128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rPr>
              <w:t>$ 1,224,775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566,641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44,575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1,835,991</w:t>
            </w:r>
          </w:p>
        </w:tc>
        <w:tc>
          <w:tcPr>
            <w:tcW w:w="60" w:type="dxa"/>
            <w:vAlign w:val="bottom"/>
          </w:tcPr>
          <w:p>
            <w:pPr>
              <w:spacing w:after="0"/>
              <w:rPr>
                <w:sz w:val="15"/>
                <w:szCs w:val="15"/>
                <w:color w:val="auto"/>
              </w:rPr>
            </w:pPr>
          </w:p>
        </w:tc>
      </w:tr>
      <w:tr>
        <w:trPr>
          <w:trHeight w:val="189"/>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Intersegment</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0"/>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gross sales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48,439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7,835</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(56,274)</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r>
      <w:tr>
        <w:trPr>
          <w:trHeight w:val="178"/>
        </w:trPr>
        <w:tc>
          <w:tcPr>
            <w:tcW w:w="1280" w:type="dxa"/>
            <w:vAlign w:val="bottom"/>
          </w:tcPr>
          <w:p>
            <w:pPr>
              <w:spacing w:after="0"/>
              <w:rPr>
                <w:sz w:val="20"/>
                <w:szCs w:val="20"/>
                <w:color w:val="auto"/>
              </w:rPr>
            </w:pPr>
            <w:r>
              <w:rPr>
                <w:rFonts w:ascii="Arial" w:cs="Arial" w:eastAsia="Arial" w:hAnsi="Arial"/>
                <w:sz w:val="14"/>
                <w:szCs w:val="14"/>
                <w:b w:val="1"/>
                <w:bCs w:val="1"/>
                <w:color w:val="auto"/>
              </w:rPr>
              <w:t>Earnings (loss)</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before income</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taxes</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rPr>
              <w:t>227,692</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34,094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(69,032)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192,754</w:t>
            </w:r>
          </w:p>
        </w:tc>
        <w:tc>
          <w:tcPr>
            <w:tcW w:w="60" w:type="dxa"/>
            <w:vAlign w:val="bottom"/>
          </w:tcPr>
          <w:p>
            <w:pPr>
              <w:spacing w:after="0"/>
              <w:rPr>
                <w:sz w:val="16"/>
                <w:szCs w:val="16"/>
                <w:color w:val="auto"/>
              </w:rPr>
            </w:pPr>
          </w:p>
        </w:tc>
      </w:tr>
      <w:tr>
        <w:trPr>
          <w:trHeight w:val="203"/>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457,861</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177,959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98"/>
              </w:rPr>
              <w:t>286,163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921,983</w:t>
            </w:r>
          </w:p>
        </w:tc>
        <w:tc>
          <w:tcPr>
            <w:tcW w:w="60" w:type="dxa"/>
            <w:vAlign w:val="bottom"/>
            <w:shd w:val="clear" w:color="auto" w:fill="CCEEFF"/>
          </w:tcPr>
          <w:p>
            <w:pPr>
              <w:spacing w:after="0"/>
              <w:rPr>
                <w:sz w:val="17"/>
                <w:szCs w:val="17"/>
                <w:color w:val="auto"/>
              </w:rPr>
            </w:pPr>
          </w:p>
        </w:tc>
      </w:tr>
      <w:tr>
        <w:trPr>
          <w:trHeight w:val="178"/>
        </w:trPr>
        <w:tc>
          <w:tcPr>
            <w:tcW w:w="128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expenditures</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rPr>
              <w:t>18,556</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14,399</w:t>
            </w:r>
          </w:p>
        </w:tc>
        <w:tc>
          <w:tcPr>
            <w:tcW w:w="160" w:type="dxa"/>
            <w:vAlign w:val="bottom"/>
          </w:tcPr>
          <w:p>
            <w:pPr>
              <w:spacing w:after="0"/>
              <w:rPr>
                <w:sz w:val="16"/>
                <w:szCs w:val="16"/>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6,930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39,885</w:t>
            </w:r>
          </w:p>
        </w:tc>
        <w:tc>
          <w:tcPr>
            <w:tcW w:w="60" w:type="dxa"/>
            <w:vAlign w:val="bottom"/>
          </w:tcPr>
          <w:p>
            <w:pPr>
              <w:spacing w:after="0"/>
              <w:rPr>
                <w:sz w:val="16"/>
                <w:szCs w:val="16"/>
                <w:color w:val="auto"/>
              </w:rPr>
            </w:pPr>
          </w:p>
        </w:tc>
      </w:tr>
      <w:tr>
        <w:trPr>
          <w:trHeight w:val="192"/>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Depreciation and</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3"/>
        </w:trPr>
        <w:tc>
          <w:tcPr>
            <w:tcW w:w="1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amortization</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19,701</w:t>
            </w: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12,078</w:t>
            </w: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10,785</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42,564</w:t>
            </w:r>
          </w:p>
        </w:tc>
        <w:tc>
          <w:tcPr>
            <w:tcW w:w="60" w:type="dxa"/>
            <w:vAlign w:val="bottom"/>
            <w:shd w:val="clear" w:color="auto" w:fill="CCEEFF"/>
          </w:tcPr>
          <w:p>
            <w:pPr>
              <w:spacing w:after="0"/>
              <w:rPr>
                <w:sz w:val="16"/>
                <w:szCs w:val="16"/>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2005</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$ 1,145,361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583,291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50,735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1,779,387</w:t>
            </w:r>
          </w:p>
        </w:tc>
        <w:tc>
          <w:tcPr>
            <w:tcW w:w="60" w:type="dxa"/>
            <w:vAlign w:val="bottom"/>
            <w:shd w:val="clear" w:color="auto" w:fill="CCEEFF"/>
          </w:tcPr>
          <w:p>
            <w:pPr>
              <w:spacing w:after="0"/>
              <w:rPr>
                <w:sz w:val="17"/>
                <w:szCs w:val="17"/>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4"/>
                <w:szCs w:val="14"/>
                <w:color w:val="auto"/>
              </w:rPr>
              <w:t>Intersegment gross</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280" w:type="dxa"/>
            <w:vAlign w:val="bottom"/>
          </w:tcPr>
          <w:p>
            <w:pPr>
              <w:ind w:left="180"/>
              <w:spacing w:after="0"/>
              <w:rPr>
                <w:sz w:val="20"/>
                <w:szCs w:val="20"/>
                <w:color w:val="auto"/>
              </w:rPr>
            </w:pPr>
            <w:r>
              <w:rPr>
                <w:rFonts w:ascii="Arial" w:cs="Arial" w:eastAsia="Arial" w:hAnsi="Arial"/>
                <w:sz w:val="14"/>
                <w:szCs w:val="14"/>
                <w:color w:val="auto"/>
              </w:rPr>
              <w:t>sales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50,709</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8,043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(58,752)</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Earnings (loss)</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before income</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207,398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(87,286)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170,272</w:t>
            </w:r>
          </w:p>
        </w:tc>
        <w:tc>
          <w:tcPr>
            <w:tcW w:w="60" w:type="dxa"/>
            <w:vAlign w:val="bottom"/>
            <w:shd w:val="clear" w:color="auto" w:fill="CCEEFF"/>
          </w:tcPr>
          <w:p>
            <w:pPr>
              <w:spacing w:after="0"/>
              <w:rPr>
                <w:sz w:val="17"/>
                <w:szCs w:val="17"/>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Total assets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452,274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190,902</w:t>
            </w:r>
          </w:p>
        </w:tc>
        <w:tc>
          <w:tcPr>
            <w:tcW w:w="16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w w:val="98"/>
              </w:rPr>
              <w:t>273,561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916,737</w:t>
            </w:r>
          </w:p>
        </w:tc>
        <w:tc>
          <w:tcPr>
            <w:tcW w:w="60" w:type="dxa"/>
            <w:vAlign w:val="bottom"/>
          </w:tcPr>
          <w:p>
            <w:pPr>
              <w:spacing w:after="0"/>
              <w:rPr>
                <w:sz w:val="15"/>
                <w:szCs w:val="15"/>
                <w:color w:val="auto"/>
              </w:rPr>
            </w:pPr>
          </w:p>
        </w:tc>
      </w:tr>
      <w:tr>
        <w:trPr>
          <w:trHeight w:val="18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Capital</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24,259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7,106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37,432</w:t>
            </w:r>
          </w:p>
        </w:tc>
        <w:tc>
          <w:tcPr>
            <w:tcW w:w="60" w:type="dxa"/>
            <w:vAlign w:val="bottom"/>
            <w:shd w:val="clear" w:color="auto" w:fill="CCEEFF"/>
          </w:tcPr>
          <w:p>
            <w:pPr>
              <w:spacing w:after="0"/>
              <w:rPr>
                <w:sz w:val="17"/>
                <w:szCs w:val="17"/>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4"/>
                <w:szCs w:val="14"/>
                <w:color w:val="auto"/>
              </w:rPr>
              <w:t>Depreciation and</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amortization</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21,272</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10,103</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42,829</w:t>
            </w:r>
          </w:p>
        </w:tc>
        <w:tc>
          <w:tcPr>
            <w:tcW w:w="60" w:type="dxa"/>
            <w:vAlign w:val="bottom"/>
            <w:tcBorders>
              <w:bottom w:val="single" w:sz="8" w:color="CCEEFF"/>
            </w:tcBorders>
          </w:tcPr>
          <w:p>
            <w:pPr>
              <w:spacing w:after="0"/>
              <w:rPr>
                <w:sz w:val="17"/>
                <w:szCs w:val="17"/>
                <w:color w:val="auto"/>
              </w:rPr>
            </w:pPr>
          </w:p>
        </w:tc>
      </w:tr>
      <w:tr>
        <w:trPr>
          <w:trHeight w:val="189"/>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2004</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Net sales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$ 1,028,941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554,334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69,233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1,652,508</w:t>
            </w:r>
          </w:p>
        </w:tc>
        <w:tc>
          <w:tcPr>
            <w:tcW w:w="60" w:type="dxa"/>
            <w:vAlign w:val="bottom"/>
          </w:tcPr>
          <w:p>
            <w:pPr>
              <w:spacing w:after="0"/>
              <w:rPr>
                <w:sz w:val="15"/>
                <w:szCs w:val="15"/>
                <w:color w:val="auto"/>
              </w:rPr>
            </w:pPr>
          </w:p>
        </w:tc>
      </w:tr>
      <w:tr>
        <w:trPr>
          <w:trHeight w:val="18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Intersegment gross</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89,893</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(98,892)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1280" w:type="dxa"/>
            <w:vAlign w:val="bottom"/>
          </w:tcPr>
          <w:p>
            <w:pPr>
              <w:spacing w:after="0"/>
              <w:rPr>
                <w:sz w:val="20"/>
                <w:szCs w:val="20"/>
                <w:color w:val="auto"/>
              </w:rPr>
            </w:pPr>
            <w:r>
              <w:rPr>
                <w:rFonts w:ascii="Arial" w:cs="Arial" w:eastAsia="Arial" w:hAnsi="Arial"/>
                <w:sz w:val="14"/>
                <w:szCs w:val="14"/>
                <w:color w:val="auto"/>
              </w:rPr>
              <w:t>Earnings (loss)</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280" w:type="dxa"/>
            <w:vAlign w:val="bottom"/>
          </w:tcPr>
          <w:p>
            <w:pPr>
              <w:ind w:left="180"/>
              <w:spacing w:after="0"/>
              <w:rPr>
                <w:sz w:val="20"/>
                <w:szCs w:val="20"/>
                <w:color w:val="auto"/>
              </w:rPr>
            </w:pPr>
            <w:r>
              <w:rPr>
                <w:rFonts w:ascii="Arial" w:cs="Arial" w:eastAsia="Arial" w:hAnsi="Arial"/>
                <w:sz w:val="14"/>
                <w:szCs w:val="14"/>
                <w:color w:val="auto"/>
              </w:rPr>
              <w:t>before income</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280" w:type="dxa"/>
            <w:vAlign w:val="bottom"/>
          </w:tcPr>
          <w:p>
            <w:pPr>
              <w:ind w:left="180"/>
              <w:spacing w:after="0"/>
              <w:rPr>
                <w:sz w:val="20"/>
                <w:szCs w:val="20"/>
                <w:color w:val="auto"/>
              </w:rPr>
            </w:pPr>
            <w:r>
              <w:rPr>
                <w:rFonts w:ascii="Arial" w:cs="Arial" w:eastAsia="Arial" w:hAnsi="Arial"/>
                <w:sz w:val="14"/>
                <w:szCs w:val="14"/>
                <w:color w:val="auto"/>
              </w:rPr>
              <w:t>taxes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173,111</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61,777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(81,655)</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153,233</w:t>
            </w:r>
          </w:p>
        </w:tc>
        <w:tc>
          <w:tcPr>
            <w:tcW w:w="6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413,841</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187,860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8"/>
              </w:rPr>
              <w:t>330,399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932,100</w:t>
            </w:r>
          </w:p>
        </w:tc>
        <w:tc>
          <w:tcPr>
            <w:tcW w:w="60" w:type="dxa"/>
            <w:vAlign w:val="bottom"/>
            <w:shd w:val="clear" w:color="auto" w:fill="CCEEFF"/>
          </w:tcPr>
          <w:p>
            <w:pPr>
              <w:spacing w:after="0"/>
              <w:rPr>
                <w:sz w:val="17"/>
                <w:szCs w:val="17"/>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4"/>
                <w:szCs w:val="14"/>
                <w:color w:val="auto"/>
              </w:rPr>
              <w:t>Capital</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280" w:type="dxa"/>
            <w:vAlign w:val="bottom"/>
          </w:tcPr>
          <w:p>
            <w:pPr>
              <w:ind w:left="180"/>
              <w:spacing w:after="0"/>
              <w:rPr>
                <w:sz w:val="20"/>
                <w:szCs w:val="20"/>
                <w:color w:val="auto"/>
              </w:rPr>
            </w:pPr>
            <w:r>
              <w:rPr>
                <w:rFonts w:ascii="Arial" w:cs="Arial" w:eastAsia="Arial" w:hAnsi="Arial"/>
                <w:sz w:val="14"/>
                <w:szCs w:val="14"/>
                <w:color w:val="auto"/>
              </w:rPr>
              <w:t>expenditures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25,772</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5,802</w:t>
            </w:r>
          </w:p>
        </w:tc>
        <w:tc>
          <w:tcPr>
            <w:tcW w:w="160" w:type="dxa"/>
            <w:vAlign w:val="bottom"/>
          </w:tcPr>
          <w:p>
            <w:pPr>
              <w:spacing w:after="0"/>
              <w:rPr>
                <w:sz w:val="17"/>
                <w:szCs w:val="17"/>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9,238</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40,812</w:t>
            </w:r>
          </w:p>
        </w:tc>
        <w:tc>
          <w:tcPr>
            <w:tcW w:w="60" w:type="dxa"/>
            <w:vAlign w:val="bottom"/>
          </w:tcPr>
          <w:p>
            <w:pPr>
              <w:spacing w:after="0"/>
              <w:rPr>
                <w:sz w:val="17"/>
                <w:szCs w:val="17"/>
                <w:color w:val="auto"/>
              </w:rPr>
            </w:pPr>
          </w:p>
        </w:tc>
      </w:tr>
      <w:tr>
        <w:trPr>
          <w:trHeight w:val="18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17,641</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8,027</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10,425</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36,093</w:t>
            </w:r>
          </w:p>
        </w:tc>
        <w:tc>
          <w:tcPr>
            <w:tcW w:w="6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8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2006</w:t>
            </w: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Corporate expenses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(78,247)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(90,713)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 (96,062)</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(17,672)</w:t>
            </w:r>
          </w:p>
        </w:tc>
        <w:tc>
          <w:tcPr>
            <w:tcW w:w="800" w:type="dxa"/>
            <w:vAlign w:val="bottom"/>
          </w:tcPr>
          <w:p>
            <w:pPr>
              <w:jc w:val="right"/>
              <w:spacing w:after="0"/>
              <w:rPr>
                <w:sz w:val="20"/>
                <w:szCs w:val="20"/>
                <w:color w:val="auto"/>
              </w:rPr>
            </w:pPr>
            <w:r>
              <w:rPr>
                <w:rFonts w:ascii="Arial" w:cs="Arial" w:eastAsia="Arial" w:hAnsi="Arial"/>
                <w:sz w:val="14"/>
                <w:szCs w:val="14"/>
                <w:color w:val="auto"/>
              </w:rPr>
              <w:t>(17,733)</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(15,523)</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2,557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4"/>
                <w:szCs w:val="14"/>
                <w:b w:val="1"/>
                <w:bCs w:val="1"/>
                <w:color w:val="auto"/>
              </w:rPr>
              <w:t>Elimination of corporate</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180"/>
              <w:spacing w:after="0"/>
              <w:rPr>
                <w:sz w:val="20"/>
                <w:szCs w:val="20"/>
                <w:color w:val="auto"/>
              </w:rPr>
            </w:pPr>
            <w:r>
              <w:rPr>
                <w:rFonts w:ascii="Arial" w:cs="Arial" w:eastAsia="Arial" w:hAnsi="Arial"/>
                <w:sz w:val="14"/>
                <w:szCs w:val="14"/>
                <w:b w:val="1"/>
                <w:bCs w:val="1"/>
                <w:color w:val="auto"/>
              </w:rPr>
              <w:t>financing expense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17,657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17,998</w:t>
            </w:r>
          </w:p>
        </w:tc>
        <w:tc>
          <w:tcPr>
            <w:tcW w:w="700" w:type="dxa"/>
            <w:vAlign w:val="bottom"/>
          </w:tcPr>
          <w:p>
            <w:pPr>
              <w:jc w:val="right"/>
              <w:spacing w:after="0"/>
              <w:rPr>
                <w:sz w:val="20"/>
                <w:szCs w:val="20"/>
                <w:color w:val="auto"/>
              </w:rPr>
            </w:pPr>
            <w:r>
              <w:rPr>
                <w:rFonts w:ascii="Arial" w:cs="Arial" w:eastAsia="Arial" w:hAnsi="Arial"/>
                <w:sz w:val="14"/>
                <w:szCs w:val="14"/>
                <w:color w:val="auto"/>
              </w:rPr>
              <w:t>16,005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6,673</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 (69,032)</w:t>
            </w:r>
          </w:p>
        </w:tc>
        <w:tc>
          <w:tcPr>
            <w:tcW w:w="800" w:type="dxa"/>
            <w:vAlign w:val="bottom"/>
          </w:tcPr>
          <w:p>
            <w:pPr>
              <w:jc w:val="right"/>
              <w:spacing w:after="0"/>
              <w:rPr>
                <w:sz w:val="20"/>
                <w:szCs w:val="20"/>
                <w:color w:val="auto"/>
              </w:rPr>
            </w:pPr>
            <w:r>
              <w:rPr>
                <w:rFonts w:ascii="Arial" w:cs="Arial" w:eastAsia="Arial" w:hAnsi="Arial"/>
                <w:sz w:val="14"/>
                <w:szCs w:val="14"/>
                <w:color w:val="auto"/>
              </w:rPr>
              <w:t>$ (87,286)</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 (81,655)</w:t>
            </w:r>
          </w:p>
        </w:tc>
        <w:tc>
          <w:tcPr>
            <w:tcW w:w="0" w:type="dxa"/>
            <w:vAlign w:val="bottom"/>
          </w:tcPr>
          <w:p>
            <w:pPr>
              <w:spacing w:after="0"/>
              <w:rPr>
                <w:sz w:val="1"/>
                <w:szCs w:val="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422" w:gutter="0" w:footer="0" w:header="0"/>
        </w:sect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0" w:right="279" w:bottom="422" w:gutter="0" w:footer="0" w:header="0"/>
          <w:type w:val="continuous"/>
        </w:sectPr>
      </w:pPr>
    </w:p>
    <w:bookmarkStart w:id="43" w:name="page44"/>
    <w:bookmarkEnd w:id="43"/>
    <w:p>
      <w:pPr>
        <w:ind w:left="180"/>
        <w:spacing w:after="0"/>
        <w:rPr>
          <w:sz w:val="20"/>
          <w:szCs w:val="20"/>
          <w:color w:val="auto"/>
        </w:rPr>
      </w:pPr>
      <w:r>
        <w:rPr>
          <w:rFonts w:ascii="Arial" w:cs="Arial" w:eastAsia="Arial" w:hAnsi="Arial"/>
          <w:sz w:val="18"/>
          <w:szCs w:val="18"/>
          <w:color w:val="auto"/>
        </w:rPr>
        <w:t>The following table presents net sales for groups of similar products and services:</w:t>
      </w:r>
    </w:p>
    <w:p>
      <w:pPr>
        <w:spacing w:after="0" w:line="193"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15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20"/>
                <w:szCs w:val="20"/>
                <w:color w:val="auto"/>
              </w:rPr>
            </w:pPr>
            <w:r>
              <w:rPr>
                <w:rFonts w:ascii="Arial" w:cs="Arial" w:eastAsia="Arial" w:hAnsi="Arial"/>
                <w:sz w:val="14"/>
                <w:szCs w:val="14"/>
                <w:color w:val="auto"/>
              </w:rPr>
              <w:t>Fiscal years ended</w:t>
            </w:r>
          </w:p>
        </w:tc>
        <w:tc>
          <w:tcPr>
            <w:tcW w:w="2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Irrigation</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373,823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365,322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Equipment</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1,462,168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1,414,065</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1,296,038</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1,835,991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1,779,387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1,652,508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to one customer accounted for 13 percent of consolidated net sales in fiscal 2006, 2005, and 2004.</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Geographic Data</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consists of goodwill, intangible assets, and net property, plant, and equipment, which is determined based on physical location in addition to allocated capital tooling from United States plant facilities.</w:t>
      </w:r>
    </w:p>
    <w:p>
      <w:pPr>
        <w:spacing w:after="0" w:line="158" w:lineRule="exact"/>
        <w:rPr>
          <w:sz w:val="20"/>
          <w:szCs w:val="20"/>
          <w:color w:val="auto"/>
        </w:rPr>
      </w:pPr>
    </w:p>
    <w:tbl>
      <w:tblPr>
        <w:tblLayout w:type="fixed"/>
        <w:tblInd w:w="3460" w:type="dxa"/>
        <w:tblCellMar>
          <w:top w:w="0" w:type="dxa"/>
          <w:left w:w="0" w:type="dxa"/>
          <w:bottom w:w="0" w:type="dxa"/>
          <w:right w:w="0" w:type="dxa"/>
        </w:tblCellMar>
      </w:tblPr>
      <w:tr>
        <w:trPr>
          <w:trHeight w:val="204"/>
        </w:trPr>
        <w:tc>
          <w:tcPr>
            <w:tcW w:w="1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0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Fiscal years ended</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United</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Foreign</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580" w:type="dxa"/>
            <w:vAlign w:val="bottom"/>
          </w:tcPr>
          <w:p>
            <w:pPr>
              <w:spacing w:after="0"/>
              <w:rPr>
                <w:sz w:val="20"/>
                <w:szCs w:val="20"/>
                <w:color w:val="auto"/>
              </w:rPr>
            </w:pPr>
            <w:r>
              <w:rPr>
                <w:rFonts w:ascii="Arial" w:cs="Arial" w:eastAsia="Arial" w:hAnsi="Arial"/>
                <w:sz w:val="14"/>
                <w:szCs w:val="14"/>
                <w:color w:val="auto"/>
              </w:rPr>
              <w:t>October 31</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States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Countries</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Total</w:t>
            </w:r>
          </w:p>
        </w:tc>
      </w:tr>
      <w:tr>
        <w:trPr>
          <w:trHeight w:val="183"/>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$ 1,339,998</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$ 495,993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$ 1,835,991</w:t>
            </w:r>
          </w:p>
        </w:tc>
        <w:tc>
          <w:tcPr>
            <w:tcW w:w="60" w:type="dxa"/>
            <w:vAlign w:val="bottom"/>
          </w:tcPr>
          <w:p>
            <w:pPr>
              <w:spacing w:after="0"/>
              <w:rPr>
                <w:sz w:val="16"/>
                <w:szCs w:val="16"/>
                <w:color w:val="auto"/>
              </w:rPr>
            </w:pPr>
          </w:p>
        </w:tc>
      </w:tr>
      <w:tr>
        <w:trPr>
          <w:trHeight w:val="189"/>
        </w:trPr>
        <w:tc>
          <w:tcPr>
            <w:tcW w:w="1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213,896</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39,121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253,017</w:t>
            </w:r>
          </w:p>
        </w:tc>
        <w:tc>
          <w:tcPr>
            <w:tcW w:w="60" w:type="dxa"/>
            <w:vAlign w:val="bottom"/>
            <w:shd w:val="clear" w:color="auto" w:fill="CCEEFF"/>
          </w:tcPr>
          <w:p>
            <w:pPr>
              <w:spacing w:after="0"/>
              <w:rPr>
                <w:sz w:val="16"/>
                <w:szCs w:val="16"/>
                <w:color w:val="auto"/>
              </w:rPr>
            </w:pPr>
          </w:p>
        </w:tc>
      </w:tr>
      <w:tr>
        <w:trPr>
          <w:trHeight w:val="183"/>
        </w:trPr>
        <w:tc>
          <w:tcPr>
            <w:tcW w:w="1580" w:type="dxa"/>
            <w:vAlign w:val="bottom"/>
          </w:tcPr>
          <w:p>
            <w:pPr>
              <w:spacing w:after="0"/>
              <w:rPr>
                <w:sz w:val="20"/>
                <w:szCs w:val="20"/>
                <w:color w:val="auto"/>
              </w:rPr>
            </w:pPr>
            <w:r>
              <w:rPr>
                <w:rFonts w:ascii="Arial" w:cs="Arial" w:eastAsia="Arial" w:hAnsi="Arial"/>
                <w:sz w:val="14"/>
                <w:szCs w:val="14"/>
                <w:color w:val="auto"/>
              </w:rPr>
              <w:t>2005</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$ 1,338,743</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$ 440,644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$ 1,779,387</w:t>
            </w:r>
          </w:p>
        </w:tc>
        <w:tc>
          <w:tcPr>
            <w:tcW w:w="60" w:type="dxa"/>
            <w:vAlign w:val="bottom"/>
            <w:shd w:val="clear" w:color="auto" w:fill="CCEEFF"/>
          </w:tcPr>
          <w:p>
            <w:pPr>
              <w:spacing w:after="0"/>
              <w:rPr>
                <w:sz w:val="16"/>
                <w:szCs w:val="16"/>
                <w:color w:val="auto"/>
              </w:rPr>
            </w:pPr>
          </w:p>
        </w:tc>
      </w:tr>
      <w:tr>
        <w:trPr>
          <w:trHeight w:val="189"/>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214,726</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253,926</w:t>
            </w:r>
          </w:p>
        </w:tc>
        <w:tc>
          <w:tcPr>
            <w:tcW w:w="60" w:type="dxa"/>
            <w:vAlign w:val="bottom"/>
            <w:tcBorders>
              <w:bottom w:val="single" w:sz="8" w:color="CCEEFF"/>
            </w:tcBorders>
          </w:tcPr>
          <w:p>
            <w:pPr>
              <w:spacing w:after="0"/>
              <w:rPr>
                <w:sz w:val="16"/>
                <w:szCs w:val="16"/>
                <w:color w:val="auto"/>
              </w:rPr>
            </w:pPr>
          </w:p>
        </w:tc>
      </w:tr>
      <w:tr>
        <w:trPr>
          <w:trHeight w:val="183"/>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2004</w:t>
            </w:r>
          </w:p>
        </w:tc>
        <w:tc>
          <w:tcPr>
            <w:tcW w:w="1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Net sales</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$ 1,311,148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$ 341,360</w:t>
            </w:r>
          </w:p>
        </w:tc>
        <w:tc>
          <w:tcPr>
            <w:tcW w:w="900" w:type="dxa"/>
            <w:vAlign w:val="bottom"/>
          </w:tcPr>
          <w:p>
            <w:pPr>
              <w:jc w:val="right"/>
              <w:spacing w:after="0"/>
              <w:rPr>
                <w:sz w:val="20"/>
                <w:szCs w:val="20"/>
                <w:color w:val="auto"/>
              </w:rPr>
            </w:pPr>
            <w:r>
              <w:rPr>
                <w:rFonts w:ascii="Arial" w:cs="Arial" w:eastAsia="Arial" w:hAnsi="Arial"/>
                <w:sz w:val="14"/>
                <w:szCs w:val="14"/>
                <w:color w:val="auto"/>
              </w:rPr>
              <w:t>$ 1,652,508</w:t>
            </w:r>
          </w:p>
        </w:tc>
        <w:tc>
          <w:tcPr>
            <w:tcW w:w="60" w:type="dxa"/>
            <w:vAlign w:val="bottom"/>
          </w:tcPr>
          <w:p>
            <w:pPr>
              <w:spacing w:after="0"/>
              <w:rPr>
                <w:sz w:val="16"/>
                <w:szCs w:val="16"/>
                <w:color w:val="auto"/>
              </w:rPr>
            </w:pPr>
          </w:p>
        </w:tc>
      </w:tr>
      <w:tr>
        <w:trPr>
          <w:trHeight w:val="189"/>
        </w:trPr>
        <w:tc>
          <w:tcPr>
            <w:tcW w:w="1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219,313</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244,920</w:t>
            </w:r>
          </w:p>
        </w:tc>
        <w:tc>
          <w:tcPr>
            <w:tcW w:w="60" w:type="dxa"/>
            <w:vAlign w:val="bottom"/>
            <w:shd w:val="clear" w:color="auto" w:fill="CCEEFF"/>
          </w:tcPr>
          <w:p>
            <w:pPr>
              <w:spacing w:after="0"/>
              <w:rPr>
                <w:sz w:val="16"/>
                <w:szCs w:val="16"/>
                <w:color w:val="auto"/>
              </w:rPr>
            </w:pPr>
          </w:p>
        </w:tc>
      </w:tr>
    </w:tbl>
    <w:p>
      <w:pPr>
        <w:spacing w:after="0" w:line="188" w:lineRule="auto"/>
        <w:rPr>
          <w:sz w:val="20"/>
          <w:szCs w:val="20"/>
          <w:color w:val="auto"/>
        </w:rPr>
      </w:pPr>
      <w:r>
        <w:rPr>
          <w:rFonts w:ascii="Arial" w:cs="Arial" w:eastAsia="Arial" w:hAnsi="Arial"/>
          <w:sz w:val="65"/>
          <w:szCs w:val="65"/>
          <w:b w:val="1"/>
          <w:bCs w:val="1"/>
          <w:color w:val="4673B6"/>
        </w:rPr>
        <w:t xml:space="preserve">12 </w:t>
      </w:r>
      <w:r>
        <w:rPr>
          <w:rFonts w:ascii="Arial" w:cs="Arial" w:eastAsia="Arial" w:hAnsi="Arial"/>
          <w:sz w:val="21"/>
          <w:szCs w:val="21"/>
          <w:b w:val="1"/>
          <w:bCs w:val="1"/>
          <w:color w:val="4673B6"/>
        </w:rPr>
        <w:t>COMMITMENTS AND</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673B6"/>
        </w:rPr>
        <w:t>CONTINGENT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Leases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for operating leases was $19,448,000, $19,698,000, and $19,446,000 for the fiscal years ended October 31, 2006,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2004, respectively. As of October 31, 2006, future minimum lease payments under noncancelable operating leases amounted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$30,700,000 as follows: 2007, $11,879,000; 2008, $9,290,000; 2009, $5,053,000; 2010, $2,482,000; 2011, $1,207,000; and after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$789,000.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 Financing</w:t>
      </w:r>
    </w:p>
    <w:p>
      <w:pPr>
        <w:spacing w:after="0" w:line="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Independent Toro dealers that do not finance through Toro Credit Company finance their inventories with third party</w:t>
      </w:r>
      <w:r>
        <w:rPr>
          <w:rFonts w:ascii="Arial" w:cs="Arial" w:eastAsia="Arial" w:hAnsi="Arial"/>
          <w:sz w:val="18"/>
          <w:szCs w:val="18"/>
          <w:b w:val="1"/>
          <w:bCs w:val="1"/>
          <w:color w:val="4673B6"/>
        </w:rPr>
        <w:t xml:space="preserve"> </w:t>
      </w:r>
      <w:r>
        <w:rPr>
          <w:rFonts w:ascii="Arial" w:cs="Arial" w:eastAsia="Arial" w:hAnsi="Arial"/>
          <w:sz w:val="18"/>
          <w:szCs w:val="18"/>
          <w:color w:val="000000"/>
        </w:rPr>
        <w:t>financing sources. Exmark and international products sold to dealers are financed primarily with third party financing sources or by the distributor. Third party financing companies purchased $451,019,000 of receivables of the company’s financed products during fiscal 2006. The outstanding receivable balance owed from the company’s distributors and dealers to third party financing companies was $189,055,000 on October 31, 2006. The company’s maximum exposure for credit recourse with a third party financing company related to receivables under these financing arrangements was $550,000 as of October 31, 2006. Toro also enters into limited inventory repurchase agreements with third party financing companies. As of October 31, 2006, the company was contingently liable to repurchase up to $3,500,000 of inventory related to receivables under these financing arrangements. Toro has repurchased only immaterial amounts of inventory from third party financing companies over the last three years.</w:t>
      </w:r>
    </w:p>
    <w:p>
      <w:pPr>
        <w:spacing w:after="0" w:line="8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The company has agreements with a third party financing company to provide lease-financing options to golf course</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sports fields and grounds equipment customers in North America and Europe. Under the terms of the agreements, the company could be contingently liable for a portion of the credit collection and residual realization risk on the underlying equipment for leasing transactions. The company’s maximum exposure for credit collection and residual value as of October 31, 2006 was $15,202,000. The company has established a reserve for the estimated exposure related to the programs, which was $2,310,000 and $2,901,000 as of October 31, 2006 and 2005, respectively.</w:t>
      </w:r>
    </w:p>
    <w:p>
      <w:pPr>
        <w:ind w:right="160" w:firstLine="180"/>
        <w:spacing w:after="0" w:line="271" w:lineRule="auto"/>
        <w:rPr>
          <w:sz w:val="20"/>
          <w:szCs w:val="20"/>
          <w:color w:val="auto"/>
        </w:rPr>
      </w:pPr>
      <w:r>
        <w:rPr>
          <w:rFonts w:ascii="Arial" w:cs="Arial" w:eastAsia="Arial" w:hAnsi="Arial"/>
          <w:sz w:val="18"/>
          <w:szCs w:val="18"/>
          <w:color w:val="auto"/>
        </w:rPr>
        <w:t>In fiscal 2005, the company entered into an agreement to sell certain accounts receivable and notes to a third party. The total amount of receivables and notes outstanding under this agreement may not exceed $10.0 million at any time. As of October 31, 2006, the company sold $1.3 million of receivables and notes under the terms of this agreement.</w:t>
      </w:r>
    </w:p>
    <w:p>
      <w:pPr>
        <w:spacing w:after="0" w:line="1" w:lineRule="exact"/>
        <w:rPr>
          <w:sz w:val="20"/>
          <w:szCs w:val="20"/>
          <w:color w:val="auto"/>
        </w:rPr>
      </w:pPr>
    </w:p>
    <w:p>
      <w:pPr>
        <w:ind w:right="80" w:firstLine="180"/>
        <w:spacing w:after="0" w:line="270" w:lineRule="auto"/>
        <w:rPr>
          <w:sz w:val="20"/>
          <w:szCs w:val="20"/>
          <w:color w:val="auto"/>
        </w:rPr>
      </w:pPr>
      <w:r>
        <w:rPr>
          <w:rFonts w:ascii="Arial" w:cs="Arial" w:eastAsia="Arial" w:hAnsi="Arial"/>
          <w:sz w:val="18"/>
          <w:szCs w:val="18"/>
          <w:color w:val="auto"/>
        </w:rPr>
        <w:t>In the normal course of business, the company has arrangements with other financial institutions to provide various forms of financing options to end-user customers. From time to time, Toro’s wholly-owned subsidiaries also guarantee the residual value at the end of leases with third party financing companies for product sold to customers. The amount of this potential contingent liability as of October 31, 2006 and 2005 was $3,962,000 and $2,990,000,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Purchase Commitments</w:t>
      </w:r>
    </w:p>
    <w:p>
      <w:pPr>
        <w:spacing w:after="0" w:line="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October 31, 2006, the company had $3,586,000 of purchase commitments with some suppliers for materials and supplies as part of the normal course of business.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Letters of Credit</w:t>
      </w:r>
    </w:p>
    <w:p>
      <w:pPr>
        <w:spacing w:after="0" w:line="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2006 and 2005, the company had $11,655,000 and $10,080,000, respectively, in outstanding letters of credit.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Customs Duties</w:t>
      </w:r>
    </w:p>
    <w:p>
      <w:pPr>
        <w:sectPr>
          <w:pgSz w:w="11900" w:h="16838" w:orient="portrait"/>
          <w:cols w:equalWidth="0" w:num="1">
            <w:col w:w="11420"/>
          </w:cols>
          <w:pgMar w:left="240" w:top="152" w:right="239" w:bottom="73"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liable for customs duties for certain products that are imported and exported between countries. The company has</w:t>
      </w:r>
    </w:p>
    <w:p>
      <w:pPr>
        <w:sectPr>
          <w:pgSz w:w="11900" w:h="16838" w:orient="portrait"/>
          <w:cols w:equalWidth="0" w:num="1">
            <w:col w:w="11420"/>
          </w:cols>
          <w:pgMar w:left="240" w:top="152" w:right="239" w:bottom="73"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determined that it has a potential liability for unpaid customs duties on certain products. The company accrued an estimate of this liability during the fourth quarter of fiscal 2006, which was when it became aware of the issue, and the company is currently working to resolve the matter with the appropriate governmental officials. Although the ultimate resolution of this matter could potentially be different than the original estimate, the matter is not expected to have a material impact on the consolidated operating results or financial position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Litigation</w:t>
      </w:r>
    </w:p>
    <w:p>
      <w:pPr>
        <w:spacing w:after="0" w:line="5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operating results or financial position of the company.</w:t>
      </w:r>
    </w:p>
    <w:p>
      <w:pPr>
        <w:spacing w:after="0" w:line="1" w:lineRule="exact"/>
        <w:rPr>
          <w:sz w:val="20"/>
          <w:szCs w:val="20"/>
          <w:color w:val="auto"/>
        </w:rPr>
      </w:pPr>
    </w:p>
    <w:p>
      <w:pPr>
        <w:ind w:right="100" w:firstLine="180"/>
        <w:spacing w:after="0" w:line="268" w:lineRule="auto"/>
        <w:rPr>
          <w:sz w:val="20"/>
          <w:szCs w:val="20"/>
          <w:color w:val="auto"/>
        </w:rPr>
      </w:pPr>
      <w:r>
        <w:rPr>
          <w:rFonts w:ascii="Arial" w:cs="Arial" w:eastAsia="Arial" w:hAnsi="Arial"/>
          <w:sz w:val="18"/>
          <w:szCs w:val="18"/>
          <w:color w:val="auto"/>
        </w:rPr>
        <w:t>To prevent possible infringement of its patents by others, the company periodically reviews competitors’ products. To avoid potential liability with respect to others’ patents, the company regularly reviews patents issued by the U.S. Patent and Trademark Office and foreign patent offices as needed. This patent program, consisting of both types of activities, helps the company minimize risk of patent infringement litigation. The company is currently involved in commercial disputes and patent litigation cases, both where it is asserting patents and where it is defending against charges of infringement. While the ultimate results of the current cases are unknown at this time, management believes that the outcome of these cases is unlikely to have a material adverse effect on the consolidated financial results of the company.</w:t>
      </w:r>
    </w:p>
    <w:p>
      <w:pPr>
        <w:spacing w:after="0" w:line="4"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 stroke or four 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A court hearing on the defendants’ motions to dismiss and the plaintiffs’ motion for preliminary approval of the settlement agreement and certification of a settlement class was held on August 29, 2006. As of December 22, 2006, the court has not yet ruled on these motions. On December 21, 2006, one of the defendants, American Honda Motor Company, notified us that it had reached an agreement of settlement with the plaintiffs. Management continues to evaluate this lawsuit and is unable to reasonably estimate the likelihood of loss or the amount or range of potential loss that could result from this litigation. Therefore, no accrual has been established for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consolidated operating results for a particular period.</w:t>
      </w:r>
    </w:p>
    <w:p>
      <w:pPr>
        <w:spacing w:after="0" w:line="78"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13 </w:t>
      </w:r>
      <w:r>
        <w:rPr>
          <w:rFonts w:ascii="Arial" w:cs="Arial" w:eastAsia="Arial" w:hAnsi="Arial"/>
          <w:sz w:val="21"/>
          <w:szCs w:val="21"/>
          <w:b w:val="1"/>
          <w:bCs w:val="1"/>
          <w:color w:val="4673B6"/>
        </w:rPr>
        <w:t>FINANCIAL INSTRUMENTS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Concentrations of Credit Risk</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two business segments: professional and residential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Derivative Instruments and Hedging Activities</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company uses derivative instruments to manage exposure to foreign currency exchange rates. Toro uses derivative instruments only in an attempt to limit underlying exposure from currency rate fluctuations, and not for trading purposes. The company documents all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highly effective in offsetting changes in cash flows of the hedged item.</w:t>
      </w:r>
    </w:p>
    <w:p>
      <w:pPr>
        <w:spacing w:after="0" w:line="1"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The company enters into foreign currency exchange contracts to hedge the risk from forecasted settlement in local currencies of trade sales and purchases. These contracts are designated as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sales or cost of sales. During fiscal 2006, 2005, and 2004, the amount of losses treated as a reduction of net sales for contracts to hedge sales were $0.4 million, $3.0 million, and $7.1 million, respectively. The gain treated as a reduction to cost of sales for contracts to hedge inventory purchases was $0.1 million for fiscal 2006 and $1.3 million for fiscal 2005. The unrecognized after-tax gain portion</w:t>
      </w:r>
    </w:p>
    <w:p>
      <w:pPr>
        <w:sectPr>
          <w:pgSz w:w="11900" w:h="16838" w:orient="portrait"/>
          <w:cols w:equalWidth="0" w:num="1">
            <w:col w:w="11420"/>
          </w:cols>
          <w:pgMar w:left="240" w:top="152" w:right="239" w:bottom="0" w:gutter="0" w:footer="0" w:header="0"/>
        </w:sectPr>
      </w:pPr>
    </w:p>
    <w:bookmarkStart w:id="45" w:name="page46"/>
    <w:bookmarkEnd w:id="45"/>
    <w:p>
      <w:pPr>
        <w:spacing w:after="0" w:line="3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of the fair value of the contracts recorded in accumulated other comprehensive loss as of October 31, 2006 and 2005 was $420,000 and $563,000, respectively.</w:t>
      </w:r>
    </w:p>
    <w:p>
      <w:pPr>
        <w:ind w:right="160" w:firstLine="180"/>
        <w:spacing w:after="0" w:line="271" w:lineRule="auto"/>
        <w:rPr>
          <w:sz w:val="20"/>
          <w:szCs w:val="20"/>
          <w:color w:val="auto"/>
        </w:rPr>
      </w:pPr>
      <w:r>
        <w:rPr>
          <w:rFonts w:ascii="Arial" w:cs="Arial" w:eastAsia="Arial" w:hAnsi="Arial"/>
          <w:sz w:val="18"/>
          <w:szCs w:val="18"/>
          <w:color w:val="auto"/>
        </w:rPr>
        <w:t>The company also enters into other foreign currency exchange contracts to hedge intercompany financing transactions and other activities, which do not meet the hedge accounting criteria of SFAS No. 133, “Accounting for Derivative Instruments and Hedging Activities;” therefore, changes in fair value of these instruments are recorded in 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Fair Value</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 The estimate of fair value for the company’s foreign currency contracts as of October 31, 2006 was a net liability of $361,000 and a net asset of $1,579,000 as of October 31, 2005.</w:t>
      </w:r>
    </w:p>
    <w:p>
      <w:pPr>
        <w:spacing w:after="0" w:line="1" w:lineRule="exact"/>
        <w:rPr>
          <w:sz w:val="20"/>
          <w:szCs w:val="20"/>
          <w:color w:val="auto"/>
        </w:rPr>
      </w:pPr>
    </w:p>
    <w:p>
      <w:pPr>
        <w:ind w:right="80" w:firstLine="180"/>
        <w:spacing w:after="0" w:line="270" w:lineRule="auto"/>
        <w:rPr>
          <w:sz w:val="20"/>
          <w:szCs w:val="20"/>
          <w:color w:val="auto"/>
        </w:rPr>
      </w:pPr>
      <w:r>
        <w:rPr>
          <w:rFonts w:ascii="Arial" w:cs="Arial" w:eastAsia="Arial" w:hAnsi="Arial"/>
          <w:sz w:val="18"/>
          <w:szCs w:val="18"/>
          <w:color w:val="auto"/>
        </w:rPr>
        <w:t>As of October 31, 2006, the estimated fair value of long-term debt with fixed interest rates was $184,910,000 compared to its carrying value of $175,000,000. As of October 31, 2005, the estimated fair value of long-term debt with fixed interest rates was $191,503,000 compared to its carrying value of $175,046,000. The fair value is estimated by discounting the projected cash flows using the rate at which similar amounts of debt could currently be borrowed.</w:t>
      </w:r>
    </w:p>
    <w:p>
      <w:pPr>
        <w:spacing w:after="0" w:line="17"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14</w:t>
      </w:r>
      <w:r>
        <w:rPr>
          <w:rFonts w:ascii="Arial" w:cs="Arial" w:eastAsia="Arial" w:hAnsi="Arial"/>
          <w:sz w:val="21"/>
          <w:szCs w:val="21"/>
          <w:b w:val="1"/>
          <w:bCs w:val="1"/>
          <w:color w:val="4673B6"/>
        </w:rPr>
        <w:t>QUARTERLY FINANCIAL DATA</w:t>
      </w:r>
    </w:p>
    <w:p>
      <w:pPr>
        <w:ind w:left="760"/>
        <w:spacing w:after="0"/>
        <w:rPr>
          <w:sz w:val="20"/>
          <w:szCs w:val="20"/>
          <w:color w:val="auto"/>
        </w:rPr>
      </w:pPr>
      <w:r>
        <w:rPr>
          <w:rFonts w:ascii="Arial" w:cs="Arial" w:eastAsia="Arial" w:hAnsi="Arial"/>
          <w:sz w:val="22"/>
          <w:szCs w:val="22"/>
          <w:b w:val="1"/>
          <w:bCs w:val="1"/>
          <w:color w:val="4673B6"/>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fiscal 2006 and 2005 are as follows:</w:t>
      </w:r>
    </w:p>
    <w:p>
      <w:pPr>
        <w:spacing w:after="0" w:line="98" w:lineRule="exact"/>
        <w:rPr>
          <w:sz w:val="20"/>
          <w:szCs w:val="20"/>
          <w:color w:val="auto"/>
        </w:rPr>
      </w:pPr>
    </w:p>
    <w:tbl>
      <w:tblPr>
        <w:tblLayout w:type="fixed"/>
        <w:tblInd w:w="3420" w:type="dxa"/>
        <w:tblCellMar>
          <w:top w:w="0" w:type="dxa"/>
          <w:left w:w="0" w:type="dxa"/>
          <w:bottom w:w="0" w:type="dxa"/>
          <w:right w:w="0" w:type="dxa"/>
        </w:tblCellMar>
      </w:tblPr>
      <w:tr>
        <w:trPr>
          <w:trHeight w:val="204"/>
        </w:trPr>
        <w:tc>
          <w:tcPr>
            <w:tcW w:w="1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Fiscal year ended</w:t>
            </w:r>
          </w:p>
        </w:tc>
        <w:tc>
          <w:tcPr>
            <w:tcW w:w="7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October 31, 2006</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except per share data)</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First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Second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Third</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4"/>
                <w:szCs w:val="14"/>
                <w:color w:val="auto"/>
              </w:rPr>
              <w:t>Quarter</w:t>
            </w:r>
          </w:p>
        </w:tc>
        <w:tc>
          <w:tcPr>
            <w:tcW w:w="7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$ 369,640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$ 659,004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$ 477,861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$ 329,486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131,874</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230,256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170,336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110,850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14,279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70,082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auto"/>
              </w:rPr>
              <w:t>Basic net earnings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0.33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0.94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net earnings</w:t>
            </w: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20"/>
                <w:szCs w:val="20"/>
                <w:color w:val="auto"/>
              </w:rPr>
            </w:pPr>
            <w:r>
              <w:rPr>
                <w:rFonts w:ascii="Arial" w:cs="Arial" w:eastAsia="Arial" w:hAnsi="Arial"/>
                <w:sz w:val="14"/>
                <w:szCs w:val="14"/>
                <w:color w:val="auto"/>
              </w:rPr>
              <w:t>Fiscal year ended</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October 31, 2005</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except per share data)</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4"/>
                <w:szCs w:val="14"/>
                <w:color w:val="auto"/>
              </w:rPr>
              <w:t>Quarter</w:t>
            </w:r>
          </w:p>
        </w:tc>
        <w:tc>
          <w:tcPr>
            <w:tcW w:w="780" w:type="dxa"/>
            <w:vAlign w:val="bottom"/>
          </w:tcPr>
          <w:p>
            <w:pPr>
              <w:jc w:val="right"/>
              <w:spacing w:after="0"/>
              <w:rPr>
                <w:sz w:val="20"/>
                <w:szCs w:val="20"/>
                <w:color w:val="auto"/>
              </w:rPr>
            </w:pPr>
            <w:r>
              <w:rPr>
                <w:rFonts w:ascii="Arial" w:cs="Arial" w:eastAsia="Arial" w:hAnsi="Arial"/>
                <w:sz w:val="14"/>
                <w:szCs w:val="14"/>
                <w:color w:val="auto"/>
              </w:rPr>
              <w:t>First</w:t>
            </w:r>
          </w:p>
        </w:tc>
        <w:tc>
          <w:tcPr>
            <w:tcW w:w="760" w:type="dxa"/>
            <w:vAlign w:val="bottom"/>
          </w:tcPr>
          <w:p>
            <w:pPr>
              <w:jc w:val="right"/>
              <w:spacing w:after="0"/>
              <w:rPr>
                <w:sz w:val="20"/>
                <w:szCs w:val="20"/>
                <w:color w:val="auto"/>
              </w:rPr>
            </w:pPr>
            <w:r>
              <w:rPr>
                <w:rFonts w:ascii="Arial" w:cs="Arial" w:eastAsia="Arial" w:hAnsi="Arial"/>
                <w:sz w:val="14"/>
                <w:szCs w:val="14"/>
                <w:color w:val="auto"/>
              </w:rPr>
              <w:t>Second</w:t>
            </w:r>
          </w:p>
        </w:tc>
        <w:tc>
          <w:tcPr>
            <w:tcW w:w="780" w:type="dxa"/>
            <w:vAlign w:val="bottom"/>
          </w:tcPr>
          <w:p>
            <w:pPr>
              <w:jc w:val="right"/>
              <w:spacing w:after="0"/>
              <w:rPr>
                <w:sz w:val="20"/>
                <w:szCs w:val="20"/>
                <w:color w:val="auto"/>
              </w:rPr>
            </w:pPr>
            <w:r>
              <w:rPr>
                <w:rFonts w:ascii="Arial" w:cs="Arial" w:eastAsia="Arial" w:hAnsi="Arial"/>
                <w:sz w:val="14"/>
                <w:szCs w:val="14"/>
                <w:color w:val="auto"/>
              </w:rPr>
              <w:t>Third</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183"/>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sales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$ 346,913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$ 628,441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$ 466,942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$ 337,091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Gross profit</w:t>
            </w:r>
          </w:p>
        </w:tc>
        <w:tc>
          <w:tcPr>
            <w:tcW w:w="780" w:type="dxa"/>
            <w:vAlign w:val="bottom"/>
          </w:tcPr>
          <w:p>
            <w:pPr>
              <w:jc w:val="right"/>
              <w:spacing w:after="0"/>
              <w:rPr>
                <w:sz w:val="20"/>
                <w:szCs w:val="20"/>
                <w:color w:val="auto"/>
              </w:rPr>
            </w:pPr>
            <w:r>
              <w:rPr>
                <w:rFonts w:ascii="Arial" w:cs="Arial" w:eastAsia="Arial" w:hAnsi="Arial"/>
                <w:sz w:val="14"/>
                <w:szCs w:val="14"/>
                <w:color w:val="auto"/>
              </w:rPr>
              <w:t>121,663</w:t>
            </w:r>
          </w:p>
        </w:tc>
        <w:tc>
          <w:tcPr>
            <w:tcW w:w="760" w:type="dxa"/>
            <w:vAlign w:val="bottom"/>
          </w:tcPr>
          <w:p>
            <w:pPr>
              <w:jc w:val="right"/>
              <w:spacing w:after="0"/>
              <w:rPr>
                <w:sz w:val="20"/>
                <w:szCs w:val="20"/>
                <w:color w:val="auto"/>
              </w:rPr>
            </w:pPr>
            <w:r>
              <w:rPr>
                <w:rFonts w:ascii="Arial" w:cs="Arial" w:eastAsia="Arial" w:hAnsi="Arial"/>
                <w:sz w:val="14"/>
                <w:szCs w:val="14"/>
                <w:color w:val="auto"/>
              </w:rPr>
              <w:t>216,643</w:t>
            </w:r>
          </w:p>
        </w:tc>
        <w:tc>
          <w:tcPr>
            <w:tcW w:w="780" w:type="dxa"/>
            <w:vAlign w:val="bottom"/>
          </w:tcPr>
          <w:p>
            <w:pPr>
              <w:jc w:val="right"/>
              <w:spacing w:after="0"/>
              <w:rPr>
                <w:sz w:val="20"/>
                <w:szCs w:val="20"/>
                <w:color w:val="auto"/>
              </w:rPr>
            </w:pPr>
            <w:r>
              <w:rPr>
                <w:rFonts w:ascii="Arial" w:cs="Arial" w:eastAsia="Arial" w:hAnsi="Arial"/>
                <w:sz w:val="14"/>
                <w:szCs w:val="14"/>
                <w:color w:val="auto"/>
              </w:rPr>
              <w:t>163,261</w:t>
            </w:r>
          </w:p>
        </w:tc>
        <w:tc>
          <w:tcPr>
            <w:tcW w:w="720" w:type="dxa"/>
            <w:vAlign w:val="bottom"/>
          </w:tcPr>
          <w:p>
            <w:pPr>
              <w:jc w:val="right"/>
              <w:spacing w:after="0"/>
              <w:rPr>
                <w:sz w:val="20"/>
                <w:szCs w:val="20"/>
                <w:color w:val="auto"/>
              </w:rPr>
            </w:pPr>
            <w:r>
              <w:rPr>
                <w:rFonts w:ascii="Arial" w:cs="Arial" w:eastAsia="Arial" w:hAnsi="Arial"/>
                <w:sz w:val="14"/>
                <w:szCs w:val="14"/>
                <w:color w:val="auto"/>
              </w:rPr>
              <w:t>113,799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61,958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Arial" w:cs="Arial" w:eastAsia="Arial" w:hAnsi="Arial"/>
                <w:sz w:val="14"/>
                <w:szCs w:val="14"/>
                <w:color w:val="auto"/>
              </w:rPr>
              <w:t>Basic net earnings per</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ind w:left="180"/>
              <w:spacing w:after="0"/>
              <w:rPr>
                <w:sz w:val="20"/>
                <w:szCs w:val="20"/>
                <w:color w:val="auto"/>
              </w:rPr>
            </w:pPr>
            <w:r>
              <w:rPr>
                <w:rFonts w:ascii="Arial" w:cs="Arial" w:eastAsia="Arial" w:hAnsi="Arial"/>
                <w:sz w:val="14"/>
                <w:szCs w:val="14"/>
                <w:color w:val="auto"/>
              </w:rPr>
              <w:t>share</w:t>
            </w:r>
            <w:r>
              <w:rPr>
                <w:rFonts w:ascii="Arial" w:cs="Arial" w:eastAsia="Arial" w:hAnsi="Arial"/>
                <w:sz w:val="17"/>
                <w:szCs w:val="17"/>
                <w:color w:val="auto"/>
                <w:vertAlign w:val="superscript"/>
              </w:rPr>
              <w:t>1,2</w:t>
            </w:r>
          </w:p>
        </w:tc>
        <w:tc>
          <w:tcPr>
            <w:tcW w:w="780" w:type="dxa"/>
            <w:vAlign w:val="bottom"/>
          </w:tcPr>
          <w:p>
            <w:pPr>
              <w:jc w:val="right"/>
              <w:spacing w:after="0"/>
              <w:rPr>
                <w:sz w:val="20"/>
                <w:szCs w:val="20"/>
                <w:color w:val="auto"/>
              </w:rPr>
            </w:pPr>
            <w:r>
              <w:rPr>
                <w:rFonts w:ascii="Arial" w:cs="Arial" w:eastAsia="Arial" w:hAnsi="Arial"/>
                <w:sz w:val="14"/>
                <w:szCs w:val="14"/>
                <w:color w:val="auto"/>
              </w:rPr>
              <w:t>0.24</w:t>
            </w:r>
          </w:p>
        </w:tc>
        <w:tc>
          <w:tcPr>
            <w:tcW w:w="760" w:type="dxa"/>
            <w:vAlign w:val="bottom"/>
          </w:tcPr>
          <w:p>
            <w:pPr>
              <w:jc w:val="right"/>
              <w:spacing w:after="0"/>
              <w:rPr>
                <w:sz w:val="20"/>
                <w:szCs w:val="20"/>
                <w:color w:val="auto"/>
              </w:rPr>
            </w:pPr>
            <w:r>
              <w:rPr>
                <w:rFonts w:ascii="Arial" w:cs="Arial" w:eastAsia="Arial" w:hAnsi="Arial"/>
                <w:sz w:val="14"/>
                <w:szCs w:val="14"/>
                <w:color w:val="auto"/>
              </w:rPr>
              <w:t>1.38</w:t>
            </w:r>
          </w:p>
        </w:tc>
        <w:tc>
          <w:tcPr>
            <w:tcW w:w="780" w:type="dxa"/>
            <w:vAlign w:val="bottom"/>
          </w:tcPr>
          <w:p>
            <w:pPr>
              <w:jc w:val="right"/>
              <w:spacing w:after="0"/>
              <w:rPr>
                <w:sz w:val="20"/>
                <w:szCs w:val="20"/>
                <w:color w:val="auto"/>
              </w:rPr>
            </w:pPr>
            <w:r>
              <w:rPr>
                <w:rFonts w:ascii="Arial" w:cs="Arial" w:eastAsia="Arial" w:hAnsi="Arial"/>
                <w:sz w:val="14"/>
                <w:szCs w:val="14"/>
                <w:color w:val="auto"/>
              </w:rPr>
              <w:t>0.77</w:t>
            </w:r>
          </w:p>
        </w:tc>
        <w:tc>
          <w:tcPr>
            <w:tcW w:w="720" w:type="dxa"/>
            <w:vAlign w:val="bottom"/>
          </w:tcPr>
          <w:p>
            <w:pPr>
              <w:jc w:val="right"/>
              <w:spacing w:after="0"/>
              <w:rPr>
                <w:sz w:val="20"/>
                <w:szCs w:val="20"/>
                <w:color w:val="auto"/>
              </w:rPr>
            </w:pPr>
            <w:r>
              <w:rPr>
                <w:rFonts w:ascii="Arial" w:cs="Arial" w:eastAsia="Arial" w:hAnsi="Arial"/>
                <w:sz w:val="14"/>
                <w:szCs w:val="14"/>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Diluted net earnings</w:t>
            </w: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per share</w:t>
            </w:r>
            <w:r>
              <w:rPr>
                <w:rFonts w:ascii="Arial" w:cs="Arial" w:eastAsia="Arial" w:hAnsi="Arial"/>
                <w:sz w:val="17"/>
                <w:szCs w:val="17"/>
                <w:color w:val="auto"/>
                <w:vertAlign w:val="superscript"/>
              </w:rPr>
              <w:t>1,2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20" w:hanging="112"/>
        <w:spacing w:after="0" w:line="220" w:lineRule="auto"/>
        <w:tabs>
          <w:tab w:leader="none" w:pos="1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5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Per share data has been adjusted for all periods presented to reflect a two-for-one stock split effective March 28, 2005.</w:t>
      </w:r>
    </w:p>
    <w:p>
      <w:pPr>
        <w:spacing w:after="0" w:line="218" w:lineRule="exact"/>
        <w:rPr>
          <w:sz w:val="20"/>
          <w:szCs w:val="20"/>
          <w:color w:val="auto"/>
        </w:rPr>
      </w:pPr>
    </w:p>
    <w:p>
      <w:pPr>
        <w:ind w:left="800" w:right="640" w:hanging="791"/>
        <w:spacing w:after="0" w:line="299" w:lineRule="auto"/>
        <w:rPr>
          <w:sz w:val="20"/>
          <w:szCs w:val="20"/>
          <w:color w:val="auto"/>
        </w:rPr>
      </w:pPr>
      <w:r>
        <w:rPr>
          <w:rFonts w:ascii="Arial" w:cs="Arial" w:eastAsia="Arial" w:hAnsi="Arial"/>
          <w:sz w:val="22"/>
          <w:szCs w:val="22"/>
          <w:b w:val="1"/>
          <w:bCs w:val="1"/>
          <w:color w:val="4673B6"/>
        </w:rPr>
        <w:t>ITEM 9. CHANGES IN AND DISAGREEMENTS WITH ACCOUNTANTS ON ACCOUNTING AND FINANCIAL DISCLOSURE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9A. CONTROLS AND PROCEDURES</w:t>
      </w:r>
    </w:p>
    <w:p>
      <w:pPr>
        <w:spacing w:after="0" w:line="2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assurance of achieving the desired control objectives, and we are required to apply our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in this Annual Report on Form 10-K. Based on that evaluation, the company’s Chief Executive Officer and Chief Financial Officer</w:t>
      </w:r>
    </w:p>
    <w:p>
      <w:pPr>
        <w:sectPr>
          <w:pgSz w:w="11900" w:h="16869" w:orient="portrait"/>
          <w:cols w:equalWidth="0" w:num="1">
            <w:col w:w="11400"/>
          </w:cols>
          <w:pgMar w:left="240" w:top="152" w:right="259" w:bottom="0" w:gutter="0" w:footer="0" w:header="0"/>
        </w:sectPr>
      </w:pPr>
    </w:p>
    <w:bookmarkStart w:id="46" w:name="page47"/>
    <w:bookmarkEnd w:id="46"/>
    <w:p>
      <w:pPr>
        <w:spacing w:after="0" w:line="267" w:lineRule="auto"/>
        <w:rPr>
          <w:sz w:val="20"/>
          <w:szCs w:val="20"/>
          <w:color w:val="auto"/>
        </w:rPr>
      </w:pPr>
      <w:r>
        <w:rPr>
          <w:rFonts w:ascii="Arial" w:cs="Arial" w:eastAsia="Arial" w:hAnsi="Arial"/>
          <w:sz w:val="18"/>
          <w:szCs w:val="18"/>
          <w:color w:val="auto"/>
        </w:rPr>
        <w:t>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Toro and its consolidated subsidiaries is made known to management, including the Chief Executive Officer and Chief Financial Officer, particularly during the period when our periodic reports are being prepared. The company’s management report on internal control over financial reporting is included in this report in Item 8, under the caption “Management’s Report on Internal Control over Financial Reporting.” The report of KPMG LLP, the company’s independent registered public accounting firm, regarding management’s assessment of the company’s internal control over financial reporting and the effectiveness of the company’s internal control over financial reporting is included in this report in Item 8, under the caption “Report of Independent Registered Public Accounting Firm on Internal Control over Financial Reporting.” There was no change in the company’s internal control over financial reporting that occurred during the company’s fourth fiscal quarter ended October 31, 2006 that has materially affected, or is reasonably likely to materially affect, the company’s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9B.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PART III</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10. DIRECTORS AND EXECUTIVE OFFICERS OF THE REGISTRANT</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“Election of Directors – Nominees for Election to Board of Directors”, “Election of Directors – Members of Board of Directors Continuing in Office”, and “Corporate Governance – Code of Conduct and Code of Ethics for the CEO and Senior Financial Officers”, in the company’s 2007 proxy statement to be filed with the Securities and Exchange Commission.</w:t>
      </w:r>
    </w:p>
    <w:p>
      <w:pPr>
        <w:spacing w:after="0" w:line="1" w:lineRule="exact"/>
        <w:rPr>
          <w:sz w:val="20"/>
          <w:szCs w:val="20"/>
          <w:color w:val="auto"/>
        </w:rPr>
      </w:pPr>
    </w:p>
    <w:p>
      <w:pPr>
        <w:ind w:right="180" w:firstLine="180"/>
        <w:spacing w:after="0" w:line="270" w:lineRule="auto"/>
        <w:rPr>
          <w:sz w:val="20"/>
          <w:szCs w:val="20"/>
          <w:color w:val="auto"/>
        </w:rPr>
      </w:pPr>
      <w:r>
        <w:rPr>
          <w:rFonts w:ascii="Arial" w:cs="Arial" w:eastAsia="Arial" w:hAnsi="Arial"/>
          <w:sz w:val="18"/>
          <w:szCs w:val="18"/>
          <w:color w:val="auto"/>
        </w:rPr>
        <w:t>During the fourth quarter of fiscal 2006, the company made no material changes to the procedures by which stockholders may recommend nominees to the board of directors, as described in the company’s most recent proxy statement. The company intends to satisfy disclosure requirements regarding its code of ethics, including amendments to or waivers from the code, by posting such information on the company’s web site at www.thetorocompany.com/corporategovernance.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11. EXECUTIVE COMPENSATION</w:t>
      </w:r>
    </w:p>
    <w:p>
      <w:pPr>
        <w:spacing w:after="0" w:line="18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“Election of Directors – Board Compensation” and “Executive Compensation” in the company’s 2007 proxy statement to be filed with the Securities and Exchange Commission.</w:t>
      </w:r>
    </w:p>
    <w:p>
      <w:pPr>
        <w:spacing w:after="0" w:line="105" w:lineRule="exact"/>
        <w:rPr>
          <w:sz w:val="20"/>
          <w:szCs w:val="20"/>
          <w:color w:val="auto"/>
        </w:rPr>
      </w:pPr>
    </w:p>
    <w:p>
      <w:pPr>
        <w:ind w:left="800" w:right="460" w:hanging="791"/>
        <w:spacing w:after="0" w:line="299" w:lineRule="auto"/>
        <w:rPr>
          <w:sz w:val="20"/>
          <w:szCs w:val="20"/>
          <w:color w:val="auto"/>
        </w:rPr>
      </w:pPr>
      <w:r>
        <w:rPr>
          <w:rFonts w:ascii="Arial" w:cs="Arial" w:eastAsia="Arial" w:hAnsi="Arial"/>
          <w:sz w:val="22"/>
          <w:szCs w:val="22"/>
          <w:b w:val="1"/>
          <w:bCs w:val="1"/>
          <w:color w:val="4673B6"/>
        </w:rPr>
        <w:t>ITEM 12. SECURITY OWNERSHIP OF CERTAIN BENEFICIAL OWNERS AND MANAGEMENT AND RELATED STOCKHOLDER MATTERS</w:t>
      </w:r>
    </w:p>
    <w:p>
      <w:pPr>
        <w:spacing w:after="0" w:line="3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“Executive Compensation – Equity Compensation Plan Information” in the company’s 2007 proxy statement to be filed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13. CERTAIN RELATIONSHIPS AND RELATED TRANSACTIONS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“Election of Directors – Certain Relationships and Related Transactions”, in the company’s 2007 proxy statement to be filed with the Securities and Exchange Commission.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14. PRINCIPAL ACCOUNTANT FEES AND SERVICES</w:t>
      </w:r>
    </w:p>
    <w:p>
      <w:pPr>
        <w:spacing w:after="0" w:line="18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“Ratify Selection of Independent Registered Public Accounting Firm – Audit, Audit-Related, Tax and Other Fees” and “Ratify Selection of Independent Registered Public Accounting Firm – Auditor Fees Pre-approval Policy” in the company’s 2007 proxy statement to be filed with the Securities and Exchange Commission.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PART IV</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15.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1.  List of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Toro Company and its subsidiaries are included in Item 8 of Part II:</w:t>
      </w:r>
    </w:p>
    <w:p>
      <w:pPr>
        <w:spacing w:after="0" w:line="9" w:lineRule="exact"/>
        <w:rPr>
          <w:sz w:val="20"/>
          <w:szCs w:val="20"/>
          <w:color w:val="auto"/>
        </w:rPr>
      </w:pPr>
    </w:p>
    <w:p>
      <w:pPr>
        <w:ind w:left="160" w:hanging="152"/>
        <w:spacing w:after="0"/>
        <w:tabs>
          <w:tab w:leader="none" w:pos="160" w:val="left"/>
        </w:tabs>
        <w:numPr>
          <w:ilvl w:val="0"/>
          <w:numId w:val="78"/>
        </w:numPr>
        <w:rPr>
          <w:rFonts w:ascii="Arial" w:cs="Arial" w:eastAsia="Arial" w:hAnsi="Arial"/>
          <w:sz w:val="14"/>
          <w:szCs w:val="14"/>
          <w:color w:val="auto"/>
        </w:rPr>
      </w:pPr>
      <w:r>
        <w:rPr>
          <w:rFonts w:ascii="Arial" w:cs="Arial" w:eastAsia="Arial" w:hAnsi="Arial"/>
          <w:sz w:val="18"/>
          <w:szCs w:val="18"/>
          <w:color w:val="auto"/>
        </w:rPr>
        <w:t>Management’s Report on Internal Control over Financial Reporting.</w:t>
      </w:r>
    </w:p>
    <w:p>
      <w:pPr>
        <w:spacing w:after="0" w:line="49" w:lineRule="exact"/>
        <w:rPr>
          <w:rFonts w:ascii="Arial" w:cs="Arial" w:eastAsia="Arial" w:hAnsi="Arial"/>
          <w:sz w:val="14"/>
          <w:szCs w:val="14"/>
          <w:color w:val="auto"/>
        </w:rPr>
      </w:pPr>
    </w:p>
    <w:p>
      <w:pPr>
        <w:ind w:left="160" w:hanging="152"/>
        <w:spacing w:after="0"/>
        <w:tabs>
          <w:tab w:leader="none" w:pos="160" w:val="left"/>
        </w:tabs>
        <w:numPr>
          <w:ilvl w:val="0"/>
          <w:numId w:val="78"/>
        </w:numPr>
        <w:rPr>
          <w:rFonts w:ascii="Arial" w:cs="Arial" w:eastAsia="Arial" w:hAnsi="Arial"/>
          <w:sz w:val="14"/>
          <w:szCs w:val="14"/>
          <w:color w:val="auto"/>
        </w:rPr>
      </w:pPr>
      <w:r>
        <w:rPr>
          <w:rFonts w:ascii="Arial" w:cs="Arial" w:eastAsia="Arial" w:hAnsi="Arial"/>
          <w:sz w:val="18"/>
          <w:szCs w:val="18"/>
          <w:color w:val="auto"/>
        </w:rPr>
        <w:t>Report of Independent Registered Public Accounting Firm on Internal Control over Financial Reporting.</w:t>
      </w:r>
    </w:p>
    <w:p>
      <w:pPr>
        <w:sectPr>
          <w:pgSz w:w="11900" w:h="16838" w:orient="portrait"/>
          <w:cols w:equalWidth="0" w:num="1">
            <w:col w:w="11400"/>
          </w:cols>
          <w:pgMar w:left="240" w:top="152" w:right="259" w:bottom="0" w:gutter="0" w:footer="0" w:header="0"/>
        </w:sectPr>
      </w:pPr>
    </w:p>
    <w:bookmarkStart w:id="47" w:name="page48"/>
    <w:bookmarkEnd w:id="47"/>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Report of Independent Registered Public Accounting Firm.</w:t>
      </w:r>
    </w:p>
    <w:p>
      <w:pPr>
        <w:spacing w:after="0" w:line="48" w:lineRule="exact"/>
        <w:rPr>
          <w:rFonts w:ascii="Arial" w:cs="Arial" w:eastAsia="Arial" w:hAnsi="Arial"/>
          <w:sz w:val="14"/>
          <w:szCs w:val="14"/>
          <w:color w:val="auto"/>
        </w:rPr>
      </w:pPr>
    </w:p>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Consolidated Statements of Earnings for the fiscal years ended October 31, 2006, 2005, and 2004.</w:t>
      </w:r>
    </w:p>
    <w:p>
      <w:pPr>
        <w:spacing w:after="0" w:line="49" w:lineRule="exact"/>
        <w:rPr>
          <w:rFonts w:ascii="Arial" w:cs="Arial" w:eastAsia="Arial" w:hAnsi="Arial"/>
          <w:sz w:val="14"/>
          <w:szCs w:val="14"/>
          <w:color w:val="auto"/>
        </w:rPr>
      </w:pPr>
    </w:p>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Consolidated Balance Sheets as of October 31, 2006 and 2005.</w:t>
      </w:r>
    </w:p>
    <w:p>
      <w:pPr>
        <w:spacing w:after="0" w:line="49" w:lineRule="exact"/>
        <w:rPr>
          <w:rFonts w:ascii="Arial" w:cs="Arial" w:eastAsia="Arial" w:hAnsi="Arial"/>
          <w:sz w:val="14"/>
          <w:szCs w:val="14"/>
          <w:color w:val="auto"/>
        </w:rPr>
      </w:pPr>
    </w:p>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Consolidated Statements of Cash Flows for the fiscal years ended October 31, 2006, 2005, and 2004.</w:t>
      </w:r>
    </w:p>
    <w:p>
      <w:pPr>
        <w:spacing w:after="0" w:line="49" w:lineRule="exact"/>
        <w:rPr>
          <w:rFonts w:ascii="Arial" w:cs="Arial" w:eastAsia="Arial" w:hAnsi="Arial"/>
          <w:sz w:val="14"/>
          <w:szCs w:val="14"/>
          <w:color w:val="auto"/>
        </w:rPr>
      </w:pPr>
    </w:p>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Consolidated Statements of Stockholders’ Equity for the fiscal years ended October 31, 2006, 2005, and 2004.</w:t>
      </w:r>
    </w:p>
    <w:p>
      <w:pPr>
        <w:spacing w:after="0" w:line="49" w:lineRule="exact"/>
        <w:rPr>
          <w:rFonts w:ascii="Arial" w:cs="Arial" w:eastAsia="Arial" w:hAnsi="Arial"/>
          <w:sz w:val="14"/>
          <w:szCs w:val="14"/>
          <w:color w:val="auto"/>
        </w:rPr>
      </w:pPr>
    </w:p>
    <w:p>
      <w:pPr>
        <w:ind w:left="160" w:hanging="152"/>
        <w:spacing w:after="0"/>
        <w:tabs>
          <w:tab w:leader="none" w:pos="160" w:val="left"/>
        </w:tabs>
        <w:numPr>
          <w:ilvl w:val="0"/>
          <w:numId w:val="79"/>
        </w:numPr>
        <w:rPr>
          <w:rFonts w:ascii="Arial" w:cs="Arial" w:eastAsia="Arial" w:hAnsi="Arial"/>
          <w:sz w:val="14"/>
          <w:szCs w:val="14"/>
          <w:color w:val="auto"/>
        </w:rPr>
      </w:pPr>
      <w:r>
        <w:rPr>
          <w:rFonts w:ascii="Arial" w:cs="Arial" w:eastAsia="Arial" w:hAnsi="Arial"/>
          <w:sz w:val="18"/>
          <w:szCs w:val="18"/>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2.  List of Financial Statement Schedules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9" w:lineRule="exact"/>
        <w:rPr>
          <w:sz w:val="20"/>
          <w:szCs w:val="20"/>
          <w:color w:val="auto"/>
        </w:rPr>
      </w:pPr>
    </w:p>
    <w:p>
      <w:pPr>
        <w:ind w:left="160" w:hanging="152"/>
        <w:spacing w:after="0"/>
        <w:tabs>
          <w:tab w:leader="none" w:pos="160" w:val="left"/>
        </w:tabs>
        <w:numPr>
          <w:ilvl w:val="0"/>
          <w:numId w:val="80"/>
        </w:numPr>
        <w:rPr>
          <w:rFonts w:ascii="Arial" w:cs="Arial" w:eastAsia="Arial" w:hAnsi="Arial"/>
          <w:sz w:val="14"/>
          <w:szCs w:val="14"/>
          <w:color w:val="auto"/>
        </w:rPr>
      </w:pPr>
      <w:r>
        <w:rPr>
          <w:rFonts w:ascii="Arial" w:cs="Arial" w:eastAsia="Arial" w:hAnsi="Arial"/>
          <w:sz w:val="18"/>
          <w:szCs w:val="18"/>
          <w:color w:val="auto"/>
        </w:rPr>
        <w:t>Schedule II – Valuation and Qualifying Accounts</w:t>
      </w:r>
    </w:p>
    <w:p>
      <w:pPr>
        <w:spacing w:after="0" w:line="1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w:t>
      </w:r>
      <w:r>
        <w:rPr>
          <w:rFonts w:ascii="Arial" w:cs="Arial" w:eastAsia="Arial" w:hAnsi="Arial"/>
          <w:sz w:val="17"/>
          <w:szCs w:val="17"/>
          <w:b w:val="1"/>
          <w:bCs w:val="1"/>
          <w:color w:val="4673B6"/>
        </w:rPr>
        <w:t>) 3.  List of Exhibits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26" w:lineRule="exact"/>
        <w:rPr>
          <w:sz w:val="20"/>
          <w:szCs w:val="20"/>
          <w:color w:val="auto"/>
        </w:rPr>
      </w:pPr>
    </w:p>
    <w:p>
      <w:pPr>
        <w:spacing w:after="0"/>
        <w:tabs>
          <w:tab w:leader="none" w:pos="66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3(i) and 4(a) </w:t>
      </w:r>
      <w:r>
        <w:rPr>
          <w:rFonts w:ascii="Arial" w:cs="Arial" w:eastAsia="Arial" w:hAnsi="Arial"/>
          <w:sz w:val="18"/>
          <w:szCs w:val="18"/>
          <w:color w:val="auto"/>
        </w:rPr>
        <w:t>The Toro Company Amended and Restated Certificate of Incorporation of Registrant (incorporated by reference to Exhibit 3(i)</w:t>
      </w:r>
      <w:r>
        <w:rPr>
          <w:rFonts w:ascii="Arial" w:cs="Arial" w:eastAsia="Arial" w:hAnsi="Arial"/>
          <w:sz w:val="18"/>
          <w:szCs w:val="18"/>
          <w:b w:val="1"/>
          <w:bCs w:val="1"/>
          <w:color w:val="auto"/>
        </w:rPr>
        <w:t xml:space="preserve"> </w:t>
      </w:r>
      <w:r>
        <w:rPr>
          <w:rFonts w:ascii="Arial" w:cs="Arial" w:eastAsia="Arial" w:hAnsi="Arial"/>
          <w:sz w:val="18"/>
          <w:szCs w:val="18"/>
          <w:color w:val="auto"/>
        </w:rPr>
        <w:t>(a) and 4(a) to Registrant’s Current Report on Form 8-K dated March 15, 2005, Commission File No. 1-8649).</w:t>
      </w:r>
    </w:p>
    <w:p>
      <w:pPr>
        <w:spacing w:after="0" w:line="5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color w:val="auto"/>
        </w:rPr>
        <w:t xml:space="preserve">3(ii) and 4(b) </w:t>
      </w:r>
      <w:r>
        <w:rPr>
          <w:rFonts w:ascii="Arial" w:cs="Arial" w:eastAsia="Arial" w:hAnsi="Arial"/>
          <w:sz w:val="18"/>
          <w:szCs w:val="18"/>
          <w:color w:val="auto"/>
        </w:rPr>
        <w:t>Bylaws of The Toro Company (incorporated by reference to Exhibit 3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4(c)  </w:t>
      </w:r>
      <w:r>
        <w:rPr>
          <w:rFonts w:ascii="Arial" w:cs="Arial" w:eastAsia="Arial" w:hAnsi="Arial"/>
          <w:sz w:val="18"/>
          <w:szCs w:val="18"/>
          <w:color w:val="auto"/>
        </w:rPr>
        <w:t>Specimen form of The Toro Company Common Stock certificate.</w:t>
      </w:r>
    </w:p>
    <w:p>
      <w:pPr>
        <w:spacing w:after="0" w:line="117"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b w:val="1"/>
          <w:bCs w:val="1"/>
          <w:color w:val="auto"/>
        </w:rPr>
        <w:t xml:space="preserve">4(d) </w:t>
      </w:r>
      <w:r>
        <w:rPr>
          <w:rFonts w:ascii="Arial" w:cs="Arial" w:eastAsia="Arial" w:hAnsi="Arial"/>
          <w:sz w:val="18"/>
          <w:szCs w:val="18"/>
          <w:color w:val="auto"/>
        </w:rPr>
        <w:t>Rights Agreement dated as of May 20, 1998, between Registrant and Wells Fargo Bank, National Association relating to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Series B Junior Participating Voting Preferred Stock, as amended (incorporated by reference to Exhibit 1 to Registrant’s Current Report on Form 8-K dated May 27, 1998, Commission File No. 1-8649).</w:t>
      </w:r>
    </w:p>
    <w:p>
      <w:pPr>
        <w:spacing w:after="0" w:line="60"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b w:val="1"/>
          <w:bCs w:val="1"/>
          <w:color w:val="auto"/>
        </w:rPr>
        <w:t>4(e</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Adjusted Purchase Price or Number of Shares dated April 14, 2003 filed by Registrant with Wells Fargo Bank, N.A., as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Agent, in connection with Rights Agreement dated as of May 20, 1998 (incorporated by reference to Exhibit 2 to Registrant’s Amendment No. 1 to Registration Statement on Form 8-A/A dated April 14, 2003, Commission File No. 1-8649).</w:t>
      </w:r>
    </w:p>
    <w:p>
      <w:pPr>
        <w:spacing w:after="0" w:line="60"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b w:val="1"/>
          <w:bCs w:val="1"/>
          <w:color w:val="auto"/>
        </w:rPr>
        <w:t>4(f</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Adjusted Purchase Price or Number of Shares dated April 12, 2005 filed by Registrant with Wells Fargo Bank, N.A., as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Agent, in connection with Rights Agreement dated as of May 20, 1998 (incorporated by reference to Exhibit 2 to Registrant’s Amendment No. 2 to Registration Statement on Form 8-A/A dated March 21, 2005, Commission File No. 1-8649).</w:t>
      </w:r>
    </w:p>
    <w:p>
      <w:pPr>
        <w:spacing w:after="0" w:line="60"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color w:val="auto"/>
        </w:rPr>
        <w:t xml:space="preserve">4(g) </w:t>
      </w:r>
      <w:r>
        <w:rPr>
          <w:rFonts w:ascii="Arial" w:cs="Arial" w:eastAsia="Arial" w:hAnsi="Arial"/>
          <w:sz w:val="18"/>
          <w:szCs w:val="18"/>
          <w:color w:val="auto"/>
        </w:rPr>
        <w:t>Indenture dated as of January 31, 1997, between Registrant and First National Trust Association, as Trustee, relating to the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7.125% Notes due June 15, 2007 and its 7.80% Debentures due June 15, 2027 (incorporated by reference to Exhibit 4(a) to Registrant’s Current Report on Form 8-K for June 24, 1997, Commission File No. 1-8649).</w:t>
      </w:r>
    </w:p>
    <w:p>
      <w:pPr>
        <w:spacing w:after="0" w:line="6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10(a) </w:t>
      </w:r>
      <w:r>
        <w:rPr>
          <w:rFonts w:ascii="Arial" w:cs="Arial" w:eastAsia="Arial" w:hAnsi="Arial"/>
          <w:sz w:val="18"/>
          <w:szCs w:val="18"/>
          <w:color w:val="auto"/>
        </w:rPr>
        <w:t>Form of Employment Agreement in effect for executive officers of Registrant (incorporated by reference to Exhibit 10(a)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July 30, 1999).*</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10(b) </w:t>
      </w:r>
      <w:r>
        <w:rPr>
          <w:rFonts w:ascii="Arial" w:cs="Arial" w:eastAsia="Arial" w:hAnsi="Arial"/>
          <w:sz w:val="18"/>
          <w:szCs w:val="18"/>
          <w:color w:val="auto"/>
        </w:rPr>
        <w:t>The Toro Company Annual Management Incentive Plan II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April 29, 2005).*</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10(c) </w:t>
      </w:r>
      <w:r>
        <w:rPr>
          <w:rFonts w:ascii="Arial" w:cs="Arial" w:eastAsia="Arial" w:hAnsi="Arial"/>
          <w:sz w:val="18"/>
          <w:szCs w:val="18"/>
          <w:color w:val="auto"/>
        </w:rPr>
        <w:t>The Toro Company 1993 Stock Option Plan (incorporated by reference to Exhibit 10(f) to Registrant’s Quarterly Report on Form 10-Q</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quarter ended July 30, 1999).*</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10(d) </w:t>
      </w:r>
      <w:r>
        <w:rPr>
          <w:rFonts w:ascii="Arial" w:cs="Arial" w:eastAsia="Arial" w:hAnsi="Arial"/>
          <w:sz w:val="18"/>
          <w:szCs w:val="18"/>
          <w:color w:val="auto"/>
        </w:rPr>
        <w:t>The Toro Company Performance Share Plan (incorporated by reference to Exhibit 1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16, 2006, Commission File No. 1-8649).*</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10(e) </w:t>
      </w:r>
      <w:r>
        <w:rPr>
          <w:rFonts w:ascii="Arial" w:cs="Arial" w:eastAsia="Arial" w:hAnsi="Arial"/>
          <w:sz w:val="18"/>
          <w:szCs w:val="18"/>
          <w:color w:val="auto"/>
        </w:rPr>
        <w:t>The Toro Company 2000 Stock Option Plan, as amended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May 5, 2006).*</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 xml:space="preserve">10(f) </w:t>
      </w:r>
      <w:r>
        <w:rPr>
          <w:rFonts w:ascii="Arial" w:cs="Arial" w:eastAsia="Arial" w:hAnsi="Arial"/>
          <w:sz w:val="18"/>
          <w:szCs w:val="18"/>
          <w:color w:val="auto"/>
        </w:rPr>
        <w:t>The Toro Company Supplemental Benefit Plan (formerly The Toro Company Supplement Management Retirement Plan)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to Exhibit 10(i) to Registrant’s Quarterly Report on Form 10-Q for the quarter ended July 30, 1999).*</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10(g) </w:t>
      </w:r>
      <w:r>
        <w:rPr>
          <w:rFonts w:ascii="Arial" w:cs="Arial" w:eastAsia="Arial" w:hAnsi="Arial"/>
          <w:sz w:val="18"/>
          <w:szCs w:val="18"/>
          <w:color w:val="auto"/>
        </w:rPr>
        <w:t>Amendment to The Toro Company Supplemental Benefit Plan (formerly The Toro Company Supplement Management Retirement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Registrant’s Quarterly Report on Form 10-Q for the quarter ended July 30, 2004).*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10(h)  </w:t>
      </w:r>
      <w:r>
        <w:rPr>
          <w:rFonts w:ascii="Arial" w:cs="Arial" w:eastAsia="Arial" w:hAnsi="Arial"/>
          <w:sz w:val="18"/>
          <w:szCs w:val="18"/>
          <w:color w:val="auto"/>
        </w:rPr>
        <w:t>Amendment No. 2 to The Toro Company Supplemental Benefit Plan effective as of October 16, 2006.*</w:t>
      </w:r>
    </w:p>
    <w:p>
      <w:pPr>
        <w:spacing w:after="0" w:line="11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color w:val="auto"/>
        </w:rPr>
        <w:t xml:space="preserve">10(i) </w:t>
      </w:r>
      <w:r>
        <w:rPr>
          <w:rFonts w:ascii="Arial" w:cs="Arial" w:eastAsia="Arial" w:hAnsi="Arial"/>
          <w:sz w:val="18"/>
          <w:szCs w:val="18"/>
          <w:color w:val="auto"/>
        </w:rPr>
        <w:t>The Toro Company Deferred Compensation Plan (formerly The Toro Company Supplemental Retirement Plan)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10(j) to Registrant’s Quarterly Report on Form 10-Q for the quarter ended July 30, 1999).*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10(j)  </w:t>
      </w:r>
      <w:r>
        <w:rPr>
          <w:rFonts w:ascii="Arial" w:cs="Arial" w:eastAsia="Arial" w:hAnsi="Arial"/>
          <w:sz w:val="18"/>
          <w:szCs w:val="18"/>
          <w:color w:val="auto"/>
        </w:rPr>
        <w:t>Amendment No. 1 to The Toro Company Deferred Compensation Plan effective as of October 16, 2006.*</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 xml:space="preserve">10(k) </w:t>
      </w:r>
      <w:r>
        <w:rPr>
          <w:rFonts w:ascii="Arial" w:cs="Arial" w:eastAsia="Arial" w:hAnsi="Arial"/>
          <w:sz w:val="18"/>
          <w:szCs w:val="18"/>
          <w:color w:val="auto"/>
        </w:rPr>
        <w:t>Post-Retirement Consulting and Noncompetition Agreement dated as of December 31, 2005 between The Toro Company and Kendrick</w:t>
      </w:r>
      <w:r>
        <w:rPr>
          <w:rFonts w:ascii="Arial" w:cs="Arial" w:eastAsia="Arial" w:hAnsi="Arial"/>
          <w:sz w:val="18"/>
          <w:szCs w:val="18"/>
          <w:b w:val="1"/>
          <w:bCs w:val="1"/>
          <w:color w:val="auto"/>
        </w:rPr>
        <w:t xml:space="preserve"> </w:t>
      </w:r>
      <w:r>
        <w:rPr>
          <w:rFonts w:ascii="Arial" w:cs="Arial" w:eastAsia="Arial" w:hAnsi="Arial"/>
          <w:sz w:val="18"/>
          <w:szCs w:val="18"/>
          <w:color w:val="auto"/>
        </w:rPr>
        <w:t>B. Melrose (incorporated by reference to Exhibit 1 to Registrant’s Current Report on Form 8-K dated December 31, 2005, Commission File No. 1-8649).*</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10(l) </w:t>
      </w:r>
      <w:r>
        <w:rPr>
          <w:rFonts w:ascii="Arial" w:cs="Arial" w:eastAsia="Arial" w:hAnsi="Arial"/>
          <w:sz w:val="18"/>
          <w:szCs w:val="18"/>
          <w:color w:val="auto"/>
        </w:rPr>
        <w:t>The Toro Company Deferred Compensation Plan for Officers (incorporated by reference to Exhibit 10(k)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2002).*</w:t>
      </w:r>
    </w:p>
    <w:p>
      <w:pPr>
        <w:sectPr>
          <w:pgSz w:w="11900" w:h="16838" w:orient="portrait"/>
          <w:cols w:equalWidth="0" w:num="1">
            <w:col w:w="11420"/>
          </w:cols>
          <w:pgMar w:left="240" w:top="140" w:right="239" w:bottom="0" w:gutter="0" w:footer="0" w:header="0"/>
        </w:sectPr>
      </w:pPr>
    </w:p>
    <w:bookmarkStart w:id="48" w:name="page49"/>
    <w:bookmarkEnd w:id="48"/>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10(m)  </w:t>
      </w:r>
      <w:r>
        <w:rPr>
          <w:rFonts w:ascii="Arial" w:cs="Arial" w:eastAsia="Arial" w:hAnsi="Arial"/>
          <w:sz w:val="18"/>
          <w:szCs w:val="18"/>
          <w:color w:val="auto"/>
        </w:rPr>
        <w:t>Amendment No. 1 to The Toro Company Deferred Compensation Plan for Officers effective as of October 16, 2006.*</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10(n) </w:t>
      </w:r>
      <w:r>
        <w:rPr>
          <w:rFonts w:ascii="Arial" w:cs="Arial" w:eastAsia="Arial" w:hAnsi="Arial"/>
          <w:sz w:val="18"/>
          <w:szCs w:val="18"/>
          <w:color w:val="auto"/>
        </w:rPr>
        <w:t>The Toro Company Deferred Compensation Plan for Non-Employee Directors (incorporated by reference to Exhibit 10(l)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July 28, 2000).*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10(o)  </w:t>
      </w:r>
      <w:r>
        <w:rPr>
          <w:rFonts w:ascii="Arial" w:cs="Arial" w:eastAsia="Arial" w:hAnsi="Arial"/>
          <w:sz w:val="18"/>
          <w:szCs w:val="18"/>
          <w:color w:val="auto"/>
        </w:rPr>
        <w:t>Amendment No. 1 to The Toro Company Deferred Compensation Plan for Non-Employee Directors effective as of October 16, 2006.*</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10(p) </w:t>
      </w:r>
      <w:r>
        <w:rPr>
          <w:rFonts w:ascii="Arial" w:cs="Arial" w:eastAsia="Arial" w:hAnsi="Arial"/>
          <w:sz w:val="18"/>
          <w:szCs w:val="18"/>
          <w:color w:val="auto"/>
        </w:rPr>
        <w:t>The Toro Company 2000 Directors Stock Plan (incorporated by reference to Exhibit 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 2005, Commission File No. 1-8649).*</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10(q) </w:t>
      </w:r>
      <w:r>
        <w:rPr>
          <w:rFonts w:ascii="Arial" w:cs="Arial" w:eastAsia="Arial" w:hAnsi="Arial"/>
          <w:sz w:val="18"/>
          <w:szCs w:val="18"/>
          <w:color w:val="auto"/>
        </w:rPr>
        <w:t>Form of Nonqualified Stock Option Agreement between The Toro Company and its Non-Employee Directors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 to Registrant’s Current Report on Form 8-K dated September 20, 2005, Commission File No. 1-8649).*</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 xml:space="preserve">10(r) </w:t>
      </w:r>
      <w:r>
        <w:rPr>
          <w:rFonts w:ascii="Arial" w:cs="Arial" w:eastAsia="Arial" w:hAnsi="Arial"/>
          <w:sz w:val="18"/>
          <w:szCs w:val="18"/>
          <w:color w:val="auto"/>
        </w:rPr>
        <w:t>Form of Nonqualified Stock Option Agreement between The Toro Company and its Officers (incorporated by reference to Exhibit 2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December 2, 2004, Commission File No. 1-8649).*</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10(s) </w:t>
      </w:r>
      <w:r>
        <w:rPr>
          <w:rFonts w:ascii="Arial" w:cs="Arial" w:eastAsia="Arial" w:hAnsi="Arial"/>
          <w:sz w:val="18"/>
          <w:szCs w:val="18"/>
          <w:color w:val="auto"/>
        </w:rPr>
        <w:t>Form of Nonqualified Stock Option Agreement (incorporated by reference to Exhibit 1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10(t) </w:t>
      </w:r>
      <w:r>
        <w:rPr>
          <w:rFonts w:ascii="Arial" w:cs="Arial" w:eastAsia="Arial" w:hAnsi="Arial"/>
          <w:sz w:val="18"/>
          <w:szCs w:val="18"/>
          <w:color w:val="auto"/>
        </w:rPr>
        <w:t>Form of Performance Share Award Agreement (incorporated by reference to Exhibit 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10(u)  </w:t>
      </w:r>
      <w:r>
        <w:rPr>
          <w:rFonts w:ascii="Arial" w:cs="Arial" w:eastAsia="Arial" w:hAnsi="Arial"/>
          <w:sz w:val="18"/>
          <w:szCs w:val="18"/>
          <w:color w:val="auto"/>
        </w:rPr>
        <w:t>Indemnification Agreement with the members of the Board of Directors.*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10(v) </w:t>
      </w:r>
      <w:r>
        <w:rPr>
          <w:rFonts w:ascii="Arial" w:cs="Arial" w:eastAsia="Arial" w:hAnsi="Arial"/>
          <w:sz w:val="18"/>
          <w:szCs w:val="18"/>
          <w:color w:val="auto"/>
        </w:rPr>
        <w:t>Credit Agreement dated as of September 8, 2004, among The Toro Company, Toro Credit Company, Toro Manufacturing LLC, Exmark</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and Banc of America Securities LLC (incorporated by reference to Exhibit 10(a) to Registrant’s Current Report on Form 8-K dated September 8, 2004, Commission File No. 1-8649).</w:t>
      </w:r>
    </w:p>
    <w:p>
      <w:pPr>
        <w:spacing w:after="0" w:line="6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 xml:space="preserve">10(w) </w:t>
      </w:r>
      <w:r>
        <w:rPr>
          <w:rFonts w:ascii="Arial" w:cs="Arial" w:eastAsia="Arial" w:hAnsi="Arial"/>
          <w:sz w:val="18"/>
          <w:szCs w:val="18"/>
          <w:color w:val="auto"/>
        </w:rPr>
        <w:t>Amendment No. 1 to Credit Agreement dated as of September 8, 2004,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 xml:space="preserve">10(x) </w:t>
      </w:r>
      <w:r>
        <w:rPr>
          <w:rFonts w:ascii="Arial" w:cs="Arial" w:eastAsia="Arial" w:hAnsi="Arial"/>
          <w:sz w:val="18"/>
          <w:szCs w:val="18"/>
          <w:color w:val="auto"/>
        </w:rPr>
        <w:t>Asset Purchase Agreement, dated as of February 8, 2005, by and among Editland Limited, Toro Hayter (Guernsey) Limited, Hayter</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and The Toro Company (incorporated by reference to Exhibit 99.1 to Registrant’s Current Report on Form 8-K dated February 8, 2005, Commission File No. 1-8649).</w:t>
      </w:r>
    </w:p>
    <w:p>
      <w:pPr>
        <w:spacing w:after="0" w:line="82"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w:t>
      </w:r>
    </w:p>
    <w:p>
      <w:pPr>
        <w:spacing w:after="0" w:line="117" w:lineRule="exact"/>
        <w:rPr>
          <w:rFonts w:ascii="Arial" w:cs="Arial" w:eastAsia="Arial" w:hAnsi="Arial"/>
          <w:sz w:val="18"/>
          <w:szCs w:val="18"/>
          <w:b w:val="1"/>
          <w:bCs w:val="1"/>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Subsidiaries of Registrant</w:t>
      </w:r>
    </w:p>
    <w:p>
      <w:pPr>
        <w:spacing w:after="0" w:line="117" w:lineRule="exact"/>
        <w:rPr>
          <w:rFonts w:ascii="Arial" w:cs="Arial" w:eastAsia="Arial" w:hAnsi="Arial"/>
          <w:sz w:val="18"/>
          <w:szCs w:val="18"/>
          <w:b w:val="1"/>
          <w:bCs w:val="1"/>
          <w:color w:val="auto"/>
        </w:rPr>
      </w:pPr>
    </w:p>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w:t>
      </w:r>
    </w:p>
    <w:p>
      <w:pPr>
        <w:spacing w:after="0" w:line="95" w:lineRule="exact"/>
        <w:rPr>
          <w:rFonts w:ascii="Arial" w:cs="Arial" w:eastAsia="Arial" w:hAnsi="Arial"/>
          <w:sz w:val="18"/>
          <w:szCs w:val="18"/>
          <w:b w:val="1"/>
          <w:bCs w:val="1"/>
          <w:color w:val="auto"/>
        </w:rPr>
      </w:pPr>
    </w:p>
    <w:p>
      <w:pPr>
        <w:jc w:val="both"/>
        <w:ind w:right="3660"/>
        <w:spacing w:after="0" w:line="3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31(a) </w:t>
      </w:r>
      <w:r>
        <w:rPr>
          <w:rFonts w:ascii="Arial" w:cs="Arial" w:eastAsia="Arial" w:hAnsi="Arial"/>
          <w:sz w:val="18"/>
          <w:szCs w:val="18"/>
          <w:color w:val="auto"/>
        </w:rPr>
        <w:t>Certification Pursuant to Rule 13a-14(a) (Section 302 of the Sarbanes-Oxley Act of 2002).</w:t>
      </w:r>
      <w:r>
        <w:rPr>
          <w:rFonts w:ascii="Arial" w:cs="Arial" w:eastAsia="Arial" w:hAnsi="Arial"/>
          <w:sz w:val="18"/>
          <w:szCs w:val="18"/>
          <w:b w:val="1"/>
          <w:bCs w:val="1"/>
          <w:color w:val="auto"/>
        </w:rPr>
        <w:t xml:space="preserve"> 31(b) </w:t>
      </w:r>
      <w:r>
        <w:rPr>
          <w:rFonts w:ascii="Arial" w:cs="Arial" w:eastAsia="Arial" w:hAnsi="Arial"/>
          <w:sz w:val="18"/>
          <w:szCs w:val="18"/>
          <w:color w:val="auto"/>
        </w:rPr>
        <w:t>Certification Pursuant to Rule 13a-14(a) (Section 302 of the Sarbanes-Oxley Act of 2002).</w:t>
      </w:r>
    </w:p>
    <w:p>
      <w:pPr>
        <w:spacing w:after="0" w:line="23" w:lineRule="exact"/>
        <w:rPr>
          <w:rFonts w:ascii="Arial" w:cs="Arial" w:eastAsia="Arial" w:hAnsi="Arial"/>
          <w:sz w:val="18"/>
          <w:szCs w:val="18"/>
          <w:b w:val="1"/>
          <w:bCs w:val="1"/>
          <w:color w:val="auto"/>
        </w:rPr>
      </w:pPr>
    </w:p>
    <w:p>
      <w:pPr>
        <w:ind w:left="360" w:hanging="352"/>
        <w:spacing w:after="0"/>
        <w:tabs>
          <w:tab w:leader="none" w:pos="3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 required to be filed as an exhibit to this Annual Report on Form 10-K pursuant to Item 15(b).</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w:t>
      </w:r>
      <w:r>
        <w:rPr>
          <w:rFonts w:ascii="Arial" w:cs="Arial" w:eastAsia="Arial" w:hAnsi="Arial"/>
          <w:sz w:val="17"/>
          <w:szCs w:val="17"/>
          <w:b w:val="1"/>
          <w:bCs w:val="1"/>
          <w:color w:val="4673B6"/>
        </w:rPr>
        <w:t>)  Exhibits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w:t>
      </w:r>
      <w:r>
        <w:rPr>
          <w:rFonts w:ascii="Arial" w:cs="Arial" w:eastAsia="Arial" w:hAnsi="Arial"/>
          <w:sz w:val="17"/>
          <w:szCs w:val="17"/>
          <w:b w:val="1"/>
          <w:bCs w:val="1"/>
          <w:color w:val="4673B6"/>
        </w:rPr>
        <w:t>)  Financial Statement Schedules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SCHEDULE II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THE TORO COMPANY AND SUBSIDIARIES</w:t>
      </w:r>
    </w:p>
    <w:p>
      <w:pPr>
        <w:jc w:val="center"/>
        <w:ind w:right="-39"/>
        <w:spacing w:after="0"/>
        <w:rPr>
          <w:sz w:val="20"/>
          <w:szCs w:val="20"/>
          <w:color w:val="auto"/>
        </w:rPr>
      </w:pPr>
      <w:r>
        <w:rPr>
          <w:rFonts w:ascii="Arial" w:cs="Arial" w:eastAsia="Arial" w:hAnsi="Arial"/>
          <w:sz w:val="22"/>
          <w:szCs w:val="22"/>
          <w:b w:val="1"/>
          <w:bCs w:val="1"/>
          <w:color w:val="4673B6"/>
        </w:rPr>
        <w:t>Valuation and Qualifying Accounts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Balance as of</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Charged to</w:t>
            </w: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Balance as of</w:t>
            </w:r>
          </w:p>
        </w:tc>
        <w:tc>
          <w:tcPr>
            <w:tcW w:w="40" w:type="dxa"/>
            <w:vAlign w:val="bottom"/>
          </w:tcPr>
          <w:p>
            <w:pPr>
              <w:spacing w:after="0"/>
              <w:rPr>
                <w:sz w:val="19"/>
                <w:szCs w:val="19"/>
                <w:color w:val="auto"/>
              </w:rPr>
            </w:pPr>
          </w:p>
        </w:tc>
      </w:tr>
      <w:tr>
        <w:trPr>
          <w:trHeight w:val="184"/>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the beginning</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costs and</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the end of</w:t>
            </w:r>
          </w:p>
        </w:tc>
      </w:tr>
      <w:tr>
        <w:trPr>
          <w:trHeight w:val="203"/>
        </w:trPr>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of the fiscal year</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expenses</w:t>
            </w:r>
            <w:r>
              <w:rPr>
                <w:rFonts w:ascii="Arial" w:cs="Arial" w:eastAsia="Arial" w:hAnsi="Arial"/>
                <w:sz w:val="17"/>
                <w:szCs w:val="17"/>
                <w:color w:val="auto"/>
                <w:vertAlign w:val="superscript"/>
              </w:rPr>
              <w:t>1</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Deductions</w:t>
            </w:r>
            <w:r>
              <w:rPr>
                <w:rFonts w:ascii="Arial" w:cs="Arial" w:eastAsia="Arial" w:hAnsi="Arial"/>
                <w:sz w:val="17"/>
                <w:szCs w:val="17"/>
                <w:color w:val="auto"/>
                <w:vertAlign w:val="superscript"/>
              </w:rPr>
              <w:t>3</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the fiscal year</w:t>
            </w: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2006</w:t>
            </w:r>
          </w:p>
        </w:tc>
        <w:tc>
          <w:tcPr>
            <w:tcW w:w="1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$ 2,349</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$ 723</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$ 233</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2,839</w:t>
            </w:r>
          </w:p>
        </w:tc>
        <w:tc>
          <w:tcPr>
            <w:tcW w:w="4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2005</w:t>
            </w:r>
          </w:p>
        </w:tc>
        <w:tc>
          <w:tcPr>
            <w:tcW w:w="1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Allowance for doubtful accounts and notes receivable reserves</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$ 2,195</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$ 570</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$ 147</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$ 563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2,349</w:t>
            </w:r>
          </w:p>
        </w:tc>
        <w:tc>
          <w:tcPr>
            <w:tcW w:w="40" w:type="dxa"/>
            <w:vAlign w:val="bottom"/>
          </w:tcPr>
          <w:p>
            <w:pPr>
              <w:spacing w:after="0"/>
              <w:rPr>
                <w:sz w:val="16"/>
                <w:szCs w:val="16"/>
                <w:color w:val="auto"/>
              </w:rPr>
            </w:pPr>
          </w:p>
        </w:tc>
      </w:tr>
      <w:tr>
        <w:trPr>
          <w:trHeight w:val="183"/>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2004</w:t>
            </w:r>
          </w:p>
        </w:tc>
        <w:tc>
          <w:tcPr>
            <w:tcW w:w="15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Arial" w:cs="Arial" w:eastAsia="Arial" w:hAnsi="Arial"/>
                <w:sz w:val="14"/>
                <w:szCs w:val="14"/>
                <w:color w:val="auto"/>
              </w:rPr>
              <w:t>Allowance for doubtful accounts and notes receivable reserves</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$ 2,421</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$ 698</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$ 924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2,195</w:t>
            </w:r>
          </w:p>
        </w:tc>
        <w:tc>
          <w:tcPr>
            <w:tcW w:w="40" w:type="dxa"/>
            <w:vAlign w:val="bottom"/>
          </w:tcPr>
          <w:p>
            <w:pPr>
              <w:spacing w:after="0"/>
              <w:rPr>
                <w:sz w:val="16"/>
                <w:szCs w:val="16"/>
                <w:color w:val="auto"/>
              </w:rPr>
            </w:pPr>
          </w:p>
        </w:tc>
      </w:tr>
      <w:tr>
        <w:trPr>
          <w:trHeight w:val="184"/>
        </w:trPr>
        <w:tc>
          <w:tcPr>
            <w:tcW w:w="80" w:type="dxa"/>
            <w:vAlign w:val="bottom"/>
          </w:tcPr>
          <w:p>
            <w:pPr>
              <w:jc w:val="right"/>
              <w:spacing w:after="0"/>
              <w:rPr>
                <w:sz w:val="20"/>
                <w:szCs w:val="20"/>
                <w:color w:val="auto"/>
              </w:rPr>
            </w:pPr>
            <w:r>
              <w:rPr>
                <w:rFonts w:ascii="Arial" w:cs="Arial" w:eastAsia="Arial" w:hAnsi="Arial"/>
                <w:sz w:val="9"/>
                <w:szCs w:val="9"/>
                <w:color w:val="auto"/>
                <w:w w:val="78"/>
              </w:rPr>
              <w:t>1</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46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9"/>
                <w:szCs w:val="9"/>
                <w:color w:val="auto"/>
                <w:w w:val="78"/>
              </w:rPr>
              <w:t>2</w:t>
            </w:r>
          </w:p>
        </w:tc>
        <w:tc>
          <w:tcPr>
            <w:tcW w:w="5400" w:type="dxa"/>
            <w:vAlign w:val="bottom"/>
            <w:gridSpan w:val="3"/>
          </w:tcPr>
          <w:p>
            <w:pPr>
              <w:ind w:left="40"/>
              <w:spacing w:after="0"/>
              <w:rPr>
                <w:sz w:val="20"/>
                <w:szCs w:val="20"/>
                <w:color w:val="auto"/>
              </w:rPr>
            </w:pPr>
            <w:r>
              <w:rPr>
                <w:rFonts w:ascii="Arial" w:cs="Arial" w:eastAsia="Arial" w:hAnsi="Arial"/>
                <w:sz w:val="14"/>
                <w:szCs w:val="14"/>
                <w:color w:val="auto"/>
              </w:rPr>
              <w:t>Addition, net due to acquisitions and divestitures.</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0" w:type="dxa"/>
            <w:vAlign w:val="bottom"/>
          </w:tcPr>
          <w:p>
            <w:pPr>
              <w:jc w:val="right"/>
              <w:spacing w:after="0"/>
              <w:rPr>
                <w:sz w:val="20"/>
                <w:szCs w:val="20"/>
                <w:color w:val="auto"/>
              </w:rPr>
            </w:pPr>
            <w:r>
              <w:rPr>
                <w:rFonts w:ascii="Arial" w:cs="Arial" w:eastAsia="Arial" w:hAnsi="Arial"/>
                <w:sz w:val="9"/>
                <w:szCs w:val="9"/>
                <w:color w:val="auto"/>
                <w:w w:val="78"/>
              </w:rPr>
              <w:t>3</w:t>
            </w:r>
          </w:p>
        </w:tc>
        <w:tc>
          <w:tcPr>
            <w:tcW w:w="5400" w:type="dxa"/>
            <w:vAlign w:val="bottom"/>
            <w:gridSpan w:val="3"/>
          </w:tcPr>
          <w:p>
            <w:pPr>
              <w:ind w:left="40"/>
              <w:spacing w:after="0"/>
              <w:rPr>
                <w:sz w:val="20"/>
                <w:szCs w:val="20"/>
                <w:color w:val="auto"/>
              </w:rPr>
            </w:pPr>
            <w:r>
              <w:rPr>
                <w:rFonts w:ascii="Arial" w:cs="Arial" w:eastAsia="Arial" w:hAnsi="Arial"/>
                <w:sz w:val="14"/>
                <w:szCs w:val="14"/>
                <w:color w:val="auto"/>
              </w:rPr>
              <w:t>Uncollectible accounts charged off.</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5"/>
        </w:trPr>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spacing w:after="0"/>
              <w:rPr>
                <w:sz w:val="22"/>
                <w:szCs w:val="22"/>
                <w:color w:val="auto"/>
              </w:rPr>
            </w:pPr>
          </w:p>
        </w:tc>
        <w:tc>
          <w:tcPr>
            <w:tcW w:w="40" w:type="dxa"/>
            <w:vAlign w:val="bottom"/>
          </w:tcPr>
          <w:p>
            <w:pPr>
              <w:spacing w:after="0"/>
              <w:rPr>
                <w:sz w:val="22"/>
                <w:szCs w:val="22"/>
                <w:color w:val="auto"/>
              </w:rPr>
            </w:pPr>
          </w:p>
        </w:tc>
      </w:tr>
      <w:tr>
        <w:trPr>
          <w:trHeight w:val="201"/>
        </w:trPr>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Balance as of</w:t>
            </w:r>
          </w:p>
        </w:tc>
        <w:tc>
          <w:tcPr>
            <w:tcW w:w="900" w:type="dxa"/>
            <w:vAlign w:val="bottom"/>
          </w:tcPr>
          <w:p>
            <w:pPr>
              <w:jc w:val="right"/>
              <w:spacing w:after="0"/>
              <w:rPr>
                <w:sz w:val="20"/>
                <w:szCs w:val="20"/>
                <w:color w:val="auto"/>
              </w:rPr>
            </w:pPr>
            <w:r>
              <w:rPr>
                <w:rFonts w:ascii="Arial" w:cs="Arial" w:eastAsia="Arial" w:hAnsi="Arial"/>
                <w:sz w:val="14"/>
                <w:szCs w:val="14"/>
                <w:color w:val="auto"/>
              </w:rPr>
              <w:t>Charged to</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Balance as of</w:t>
            </w:r>
          </w:p>
        </w:tc>
      </w:tr>
      <w:tr>
        <w:trPr>
          <w:trHeight w:val="184"/>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the beginning</w:t>
            </w:r>
          </w:p>
        </w:tc>
        <w:tc>
          <w:tcPr>
            <w:tcW w:w="900" w:type="dxa"/>
            <w:vAlign w:val="bottom"/>
          </w:tcPr>
          <w:p>
            <w:pPr>
              <w:jc w:val="right"/>
              <w:spacing w:after="0"/>
              <w:rPr>
                <w:sz w:val="20"/>
                <w:szCs w:val="20"/>
                <w:color w:val="auto"/>
              </w:rPr>
            </w:pPr>
            <w:r>
              <w:rPr>
                <w:rFonts w:ascii="Arial" w:cs="Arial" w:eastAsia="Arial" w:hAnsi="Arial"/>
                <w:sz w:val="14"/>
                <w:szCs w:val="14"/>
                <w:color w:val="auto"/>
              </w:rPr>
              <w:t>costs and</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the end of</w:t>
            </w:r>
          </w:p>
        </w:tc>
      </w:tr>
      <w:tr>
        <w:trPr>
          <w:trHeight w:val="203"/>
        </w:trPr>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thousands)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the fiscal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w:t>
            </w:r>
            <w:r>
              <w:rPr>
                <w:rFonts w:ascii="Arial" w:cs="Arial" w:eastAsia="Arial" w:hAnsi="Arial"/>
                <w:sz w:val="17"/>
                <w:szCs w:val="17"/>
                <w:color w:val="auto"/>
                <w:vertAlign w:val="superscript"/>
              </w:rPr>
              <w:t>1</w:t>
            </w:r>
          </w:p>
        </w:tc>
        <w:tc>
          <w:tcPr>
            <w:tcW w:w="16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Deductions</w:t>
            </w:r>
            <w:r>
              <w:rPr>
                <w:rFonts w:ascii="Arial" w:cs="Arial" w:eastAsia="Arial" w:hAnsi="Arial"/>
                <w:sz w:val="17"/>
                <w:szCs w:val="17"/>
                <w:color w:val="auto"/>
                <w:vertAlign w:val="superscript"/>
              </w:rPr>
              <w:t>2</w:t>
            </w:r>
            <w:r>
              <w:rPr>
                <w:rFonts w:ascii="Arial" w:cs="Arial" w:eastAsia="Arial" w:hAnsi="Arial"/>
                <w:sz w:val="14"/>
                <w:szCs w:val="14"/>
                <w:color w:val="auto"/>
              </w:rPr>
              <w:t xml:space="preserve">    Other</w:t>
            </w:r>
            <w:r>
              <w:rPr>
                <w:rFonts w:ascii="Arial" w:cs="Arial" w:eastAsia="Arial" w:hAnsi="Arial"/>
                <w:sz w:val="17"/>
                <w:szCs w:val="17"/>
                <w:color w:val="auto"/>
                <w:vertAlign w:val="superscript"/>
              </w:rPr>
              <w:t>3</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the fiscal year</w:t>
            </w:r>
          </w:p>
        </w:tc>
        <w:tc>
          <w:tcPr>
            <w:tcW w:w="40" w:type="dxa"/>
            <w:vAlign w:val="bottom"/>
          </w:tcPr>
          <w:p>
            <w:pPr>
              <w:spacing w:after="0"/>
              <w:rPr>
                <w:sz w:val="17"/>
                <w:szCs w:val="17"/>
                <w:color w:val="auto"/>
              </w:rPr>
            </w:pPr>
          </w:p>
        </w:tc>
      </w:tr>
    </w:tbl>
    <w:p>
      <w:pPr>
        <w:sectPr>
          <w:pgSz w:w="11900" w:h="16884" w:orient="portrait"/>
          <w:cols w:equalWidth="0" w:num="1">
            <w:col w:w="11380"/>
          </w:cols>
          <w:pgMar w:left="240" w:top="118" w:right="279" w:bottom="0" w:gutter="0" w:footer="0" w:header="0"/>
        </w:sectPr>
      </w:pPr>
    </w:p>
    <w:bookmarkStart w:id="49" w:name="page50"/>
    <w:bookmarkEnd w:id="49"/>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2006</w:t>
            </w:r>
          </w:p>
        </w:tc>
        <w:tc>
          <w:tcPr>
            <w:tcW w:w="19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89"/>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$ 48,367</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$ 189,607</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$ 187,850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50,124</w:t>
            </w:r>
          </w:p>
        </w:tc>
        <w:tc>
          <w:tcPr>
            <w:tcW w:w="60" w:type="dxa"/>
            <w:vAlign w:val="bottom"/>
            <w:tcBorders>
              <w:bottom w:val="single" w:sz="8" w:color="CCEEFF"/>
            </w:tcBorders>
          </w:tcPr>
          <w:p>
            <w:pPr>
              <w:spacing w:after="0"/>
              <w:rPr>
                <w:sz w:val="16"/>
                <w:szCs w:val="16"/>
                <w:color w:val="auto"/>
              </w:rPr>
            </w:pPr>
          </w:p>
        </w:tc>
      </w:tr>
      <w:tr>
        <w:trPr>
          <w:trHeight w:val="183"/>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Fiscal year ended October 31, 2005</w:t>
            </w:r>
          </w:p>
        </w:tc>
        <w:tc>
          <w:tcPr>
            <w:tcW w:w="1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Accrued advertising and marketing programs</w:t>
            </w: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$ 41,973</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$ 174,106</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$ 168,301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48,367</w:t>
            </w:r>
          </w:p>
        </w:tc>
        <w:tc>
          <w:tcPr>
            <w:tcW w:w="60" w:type="dxa"/>
            <w:vAlign w:val="bottom"/>
            <w:tcBorders>
              <w:bottom w:val="single" w:sz="8" w:color="CCEEFF"/>
            </w:tcBorders>
          </w:tcPr>
          <w:p>
            <w:pPr>
              <w:spacing w:after="0"/>
              <w:rPr>
                <w:sz w:val="16"/>
                <w:szCs w:val="16"/>
                <w:color w:val="auto"/>
              </w:rPr>
            </w:pPr>
          </w:p>
        </w:tc>
      </w:tr>
      <w:tr>
        <w:trPr>
          <w:trHeight w:val="183"/>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Fiscal year ended October 31, 2004</w:t>
            </w:r>
          </w:p>
        </w:tc>
        <w:tc>
          <w:tcPr>
            <w:tcW w:w="1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1"/>
        </w:trPr>
        <w:tc>
          <w:tcPr>
            <w:tcW w:w="4400" w:type="dxa"/>
            <w:vAlign w:val="bottom"/>
          </w:tcPr>
          <w:p>
            <w:pPr>
              <w:spacing w:after="0"/>
              <w:rPr>
                <w:sz w:val="20"/>
                <w:szCs w:val="20"/>
                <w:color w:val="auto"/>
              </w:rPr>
            </w:pPr>
            <w:r>
              <w:rPr>
                <w:rFonts w:ascii="Arial" w:cs="Arial" w:eastAsia="Arial" w:hAnsi="Arial"/>
                <w:sz w:val="14"/>
                <w:szCs w:val="14"/>
                <w:color w:val="auto"/>
              </w:rPr>
              <w:t>Accrued advertising and marketing programs</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$ 38,107</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$ 171,412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$ 167,546</w:t>
            </w:r>
          </w:p>
        </w:tc>
        <w:tc>
          <w:tcPr>
            <w:tcW w:w="200" w:type="dxa"/>
            <w:vAlign w:val="bottom"/>
          </w:tcPr>
          <w:p>
            <w:pPr>
              <w:spacing w:after="0"/>
              <w:rPr>
                <w:sz w:val="16"/>
                <w:szCs w:val="16"/>
                <w:color w:val="auto"/>
              </w:rPr>
            </w:pP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41,973</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0</wp:posOffset>
            </wp:positionV>
            <wp:extent cx="62001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ind w:left="120" w:hanging="112"/>
        <w:spacing w:after="0" w:line="234" w:lineRule="auto"/>
        <w:tabs>
          <w:tab w:leader="none" w:pos="1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Provision consists of price protection, rebates, cooperative advertising, floor planning costs, commissions, and other promotional program expenses. The expense of each</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program is either classified as a reduction of net sales or as a component of selling, general, and administrative expense.</w:t>
      </w:r>
    </w:p>
    <w:p>
      <w:pPr>
        <w:ind w:left="120" w:hanging="112"/>
        <w:spacing w:after="0" w:line="232" w:lineRule="auto"/>
        <w:tabs>
          <w:tab w:leader="none" w:pos="1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Claims paid.</w:t>
      </w:r>
    </w:p>
    <w:p>
      <w:pPr>
        <w:spacing w:after="0" w:line="23" w:lineRule="exact"/>
        <w:rPr>
          <w:sz w:val="20"/>
          <w:szCs w:val="20"/>
          <w:color w:val="auto"/>
        </w:rPr>
      </w:pPr>
    </w:p>
    <w:p>
      <w:pPr>
        <w:ind w:left="120" w:hanging="112"/>
        <w:spacing w:after="0"/>
        <w:tabs>
          <w:tab w:leader="none" w:pos="1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Addition due to acquisition.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SIGNATURES</w:t>
      </w:r>
    </w:p>
    <w:p>
      <w:pPr>
        <w:spacing w:after="0" w:line="3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TORO COMPANY</w:t>
            </w:r>
          </w:p>
        </w:tc>
        <w:tc>
          <w:tcPr>
            <w:tcW w:w="7020" w:type="dxa"/>
            <w:vAlign w:val="bottom"/>
          </w:tcPr>
          <w:p>
            <w:pPr>
              <w:spacing w:after="0"/>
              <w:rPr>
                <w:sz w:val="17"/>
                <w:szCs w:val="17"/>
                <w:color w:val="auto"/>
              </w:rPr>
            </w:pPr>
          </w:p>
        </w:tc>
      </w:tr>
      <w:tr>
        <w:trPr>
          <w:trHeight w:val="168"/>
        </w:trPr>
        <w:tc>
          <w:tcPr>
            <w:tcW w:w="660" w:type="dxa"/>
            <w:vAlign w:val="bottom"/>
          </w:tcPr>
          <w:p>
            <w:pPr>
              <w:spacing w:after="0"/>
              <w:rPr>
                <w:sz w:val="14"/>
                <w:szCs w:val="14"/>
                <w:color w:val="auto"/>
              </w:rPr>
            </w:pPr>
          </w:p>
        </w:tc>
        <w:tc>
          <w:tcPr>
            <w:tcW w:w="3720" w:type="dxa"/>
            <w:vAlign w:val="bottom"/>
          </w:tcPr>
          <w:p>
            <w:pPr>
              <w:spacing w:after="0" w:line="169" w:lineRule="exact"/>
              <w:rPr>
                <w:sz w:val="20"/>
                <w:szCs w:val="20"/>
                <w:color w:val="auto"/>
              </w:rPr>
            </w:pPr>
            <w:r>
              <w:rPr>
                <w:rFonts w:ascii="Arial" w:cs="Arial" w:eastAsia="Arial" w:hAnsi="Arial"/>
                <w:sz w:val="18"/>
                <w:szCs w:val="18"/>
                <w:color w:val="auto"/>
              </w:rPr>
              <w:t>(Registrant)</w:t>
            </w:r>
          </w:p>
        </w:tc>
        <w:tc>
          <w:tcPr>
            <w:tcW w:w="7020" w:type="dxa"/>
            <w:vAlign w:val="bottom"/>
          </w:tcPr>
          <w:p>
            <w:pPr>
              <w:spacing w:after="0"/>
              <w:rPr>
                <w:sz w:val="14"/>
                <w:szCs w:val="14"/>
                <w:color w:val="auto"/>
              </w:rPr>
            </w:pPr>
          </w:p>
        </w:tc>
      </w:tr>
      <w:tr>
        <w:trPr>
          <w:trHeight w:val="203"/>
        </w:trPr>
        <w:tc>
          <w:tcPr>
            <w:tcW w:w="66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  Stephen P. Wolfe</w:t>
            </w:r>
          </w:p>
        </w:tc>
        <w:tc>
          <w:tcPr>
            <w:tcW w:w="7020" w:type="dxa"/>
            <w:vAlign w:val="bottom"/>
          </w:tcPr>
          <w:p>
            <w:pPr>
              <w:ind w:left="4860"/>
              <w:spacing w:after="0" w:line="203" w:lineRule="exact"/>
              <w:rPr>
                <w:sz w:val="20"/>
                <w:szCs w:val="20"/>
                <w:color w:val="auto"/>
              </w:rPr>
            </w:pPr>
            <w:r>
              <w:rPr>
                <w:rFonts w:ascii="Arial" w:cs="Arial" w:eastAsia="Arial" w:hAnsi="Arial"/>
                <w:sz w:val="18"/>
                <w:szCs w:val="18"/>
                <w:color w:val="auto"/>
                <w:w w:val="99"/>
              </w:rPr>
              <w:t>Dated: December 22, 2006</w:t>
            </w:r>
          </w:p>
        </w:tc>
      </w:tr>
      <w:tr>
        <w:trPr>
          <w:trHeight w:val="168"/>
        </w:trPr>
        <w:tc>
          <w:tcPr>
            <w:tcW w:w="660" w:type="dxa"/>
            <w:vAlign w:val="bottom"/>
          </w:tcPr>
          <w:p>
            <w:pPr>
              <w:spacing w:after="0"/>
              <w:rPr>
                <w:sz w:val="14"/>
                <w:szCs w:val="14"/>
                <w:color w:val="auto"/>
              </w:rPr>
            </w:pPr>
          </w:p>
        </w:tc>
        <w:tc>
          <w:tcPr>
            <w:tcW w:w="3720" w:type="dxa"/>
            <w:vAlign w:val="bottom"/>
          </w:tcPr>
          <w:p>
            <w:pPr>
              <w:spacing w:after="0" w:line="169" w:lineRule="exact"/>
              <w:rPr>
                <w:sz w:val="20"/>
                <w:szCs w:val="20"/>
                <w:color w:val="auto"/>
              </w:rPr>
            </w:pPr>
            <w:r>
              <w:rPr>
                <w:rFonts w:ascii="Arial" w:cs="Arial" w:eastAsia="Arial" w:hAnsi="Arial"/>
                <w:sz w:val="18"/>
                <w:szCs w:val="18"/>
                <w:color w:val="auto"/>
              </w:rPr>
              <w:t>Stephen P. Wolfe</w:t>
            </w:r>
          </w:p>
        </w:tc>
        <w:tc>
          <w:tcPr>
            <w:tcW w:w="7020" w:type="dxa"/>
            <w:vAlign w:val="bottom"/>
          </w:tcPr>
          <w:p>
            <w:pPr>
              <w:spacing w:after="0"/>
              <w:rPr>
                <w:sz w:val="14"/>
                <w:szCs w:val="14"/>
                <w:color w:val="auto"/>
              </w:rPr>
            </w:pPr>
          </w:p>
        </w:tc>
      </w:tr>
      <w:tr>
        <w:trPr>
          <w:trHeight w:val="189"/>
        </w:trPr>
        <w:tc>
          <w:tcPr>
            <w:tcW w:w="660" w:type="dxa"/>
            <w:vAlign w:val="bottom"/>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8"/>
                <w:szCs w:val="18"/>
                <w:color w:val="auto"/>
              </w:rPr>
              <w:t>Vice President Finance and</w:t>
            </w:r>
          </w:p>
        </w:tc>
        <w:tc>
          <w:tcPr>
            <w:tcW w:w="7020" w:type="dxa"/>
            <w:vAlign w:val="bottom"/>
          </w:tcPr>
          <w:p>
            <w:pPr>
              <w:spacing w:after="0"/>
              <w:rPr>
                <w:sz w:val="16"/>
                <w:szCs w:val="16"/>
                <w:color w:val="auto"/>
              </w:rPr>
            </w:pPr>
          </w:p>
        </w:tc>
      </w:tr>
      <w:tr>
        <w:trPr>
          <w:trHeight w:val="217"/>
        </w:trPr>
        <w:tc>
          <w:tcPr>
            <w:tcW w:w="6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020" w:type="dxa"/>
            <w:vAlign w:val="bottom"/>
          </w:tcPr>
          <w:p>
            <w:pPr>
              <w:spacing w:after="0"/>
              <w:rPr>
                <w:sz w:val="18"/>
                <w:szCs w:val="18"/>
                <w:color w:val="auto"/>
              </w:rPr>
            </w:pPr>
          </w:p>
        </w:tc>
      </w:tr>
    </w:tbl>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42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b w:val="1"/>
                <w:bCs w:val="1"/>
                <w:color w:val="auto"/>
              </w:rPr>
              <w:t>Title</w:t>
            </w:r>
          </w:p>
        </w:tc>
        <w:tc>
          <w:tcPr>
            <w:tcW w:w="23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r>
      <w:tr>
        <w:trPr>
          <w:trHeight w:val="176"/>
        </w:trPr>
        <w:tc>
          <w:tcPr>
            <w:tcW w:w="28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8"/>
                <w:szCs w:val="18"/>
                <w:color w:val="auto"/>
              </w:rPr>
              <w:t>Michael J. Hoffman</w:t>
            </w:r>
          </w:p>
        </w:tc>
        <w:tc>
          <w:tcPr>
            <w:tcW w:w="4240" w:type="dxa"/>
            <w:vAlign w:val="bottom"/>
          </w:tcPr>
          <w:p>
            <w:pPr>
              <w:ind w:left="720"/>
              <w:spacing w:after="0" w:line="169" w:lineRule="exact"/>
              <w:rPr>
                <w:sz w:val="20"/>
                <w:szCs w:val="20"/>
                <w:color w:val="auto"/>
              </w:rPr>
            </w:pPr>
            <w:r>
              <w:rPr>
                <w:rFonts w:ascii="Arial" w:cs="Arial" w:eastAsia="Arial" w:hAnsi="Arial"/>
                <w:sz w:val="18"/>
                <w:szCs w:val="18"/>
                <w:color w:val="auto"/>
              </w:rPr>
              <w:t>Chairman of the Board, President and</w:t>
            </w:r>
          </w:p>
        </w:tc>
        <w:tc>
          <w:tcPr>
            <w:tcW w:w="2320" w:type="dxa"/>
            <w:vAlign w:val="bottom"/>
          </w:tcPr>
          <w:p>
            <w:pPr>
              <w:ind w:left="340"/>
              <w:spacing w:after="0" w:line="169" w:lineRule="exact"/>
              <w:rPr>
                <w:sz w:val="20"/>
                <w:szCs w:val="20"/>
                <w:color w:val="auto"/>
              </w:rPr>
            </w:pPr>
            <w:r>
              <w:rPr>
                <w:rFonts w:ascii="Arial" w:cs="Arial" w:eastAsia="Arial" w:hAnsi="Arial"/>
                <w:sz w:val="18"/>
                <w:szCs w:val="18"/>
                <w:color w:val="auto"/>
              </w:rPr>
              <w:t>December 22, 2006</w:t>
            </w:r>
          </w:p>
        </w:tc>
      </w:tr>
      <w:tr>
        <w:trPr>
          <w:trHeight w:val="161"/>
        </w:trPr>
        <w:tc>
          <w:tcPr>
            <w:tcW w:w="2920" w:type="dxa"/>
            <w:vAlign w:val="bottom"/>
            <w:gridSpan w:val="2"/>
          </w:tcPr>
          <w:p>
            <w:pPr>
              <w:spacing w:after="0" w:line="161" w:lineRule="exact"/>
              <w:rPr>
                <w:sz w:val="20"/>
                <w:szCs w:val="20"/>
                <w:color w:val="auto"/>
              </w:rPr>
            </w:pPr>
            <w:r>
              <w:rPr>
                <w:rFonts w:ascii="Arial" w:cs="Arial" w:eastAsia="Arial" w:hAnsi="Arial"/>
                <w:sz w:val="18"/>
                <w:szCs w:val="18"/>
                <w:color w:val="auto"/>
              </w:rPr>
              <w:t>Michael J. Hoffman</w:t>
            </w:r>
          </w:p>
        </w:tc>
        <w:tc>
          <w:tcPr>
            <w:tcW w:w="4240" w:type="dxa"/>
            <w:vAlign w:val="bottom"/>
          </w:tcPr>
          <w:p>
            <w:pPr>
              <w:ind w:left="720"/>
              <w:spacing w:after="0" w:line="161" w:lineRule="exact"/>
              <w:rPr>
                <w:sz w:val="20"/>
                <w:szCs w:val="20"/>
                <w:color w:val="auto"/>
              </w:rPr>
            </w:pPr>
            <w:r>
              <w:rPr>
                <w:rFonts w:ascii="Arial" w:cs="Arial" w:eastAsia="Arial" w:hAnsi="Arial"/>
                <w:sz w:val="18"/>
                <w:szCs w:val="18"/>
                <w:color w:val="auto"/>
              </w:rPr>
              <w:t>Chief Executive Officer and Director</w:t>
            </w:r>
          </w:p>
        </w:tc>
        <w:tc>
          <w:tcPr>
            <w:tcW w:w="2320" w:type="dxa"/>
            <w:vAlign w:val="bottom"/>
          </w:tcPr>
          <w:p>
            <w:pPr>
              <w:spacing w:after="0"/>
              <w:rPr>
                <w:sz w:val="14"/>
                <w:szCs w:val="14"/>
                <w:color w:val="auto"/>
              </w:rPr>
            </w:pPr>
          </w:p>
        </w:tc>
      </w:tr>
      <w:tr>
        <w:trPr>
          <w:trHeight w:val="217"/>
        </w:trPr>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40" w:type="dxa"/>
            <w:vAlign w:val="bottom"/>
          </w:tcPr>
          <w:p>
            <w:pPr>
              <w:ind w:left="720"/>
              <w:spacing w:after="0"/>
              <w:rPr>
                <w:sz w:val="20"/>
                <w:szCs w:val="20"/>
                <w:color w:val="auto"/>
              </w:rPr>
            </w:pPr>
            <w:r>
              <w:rPr>
                <w:rFonts w:ascii="Arial" w:cs="Arial" w:eastAsia="Arial" w:hAnsi="Arial"/>
                <w:sz w:val="18"/>
                <w:szCs w:val="18"/>
                <w:color w:val="auto"/>
              </w:rPr>
              <w:t>(principal executive officer)</w:t>
            </w:r>
          </w:p>
        </w:tc>
        <w:tc>
          <w:tcPr>
            <w:tcW w:w="2320" w:type="dxa"/>
            <w:vAlign w:val="bottom"/>
          </w:tcPr>
          <w:p>
            <w:pPr>
              <w:spacing w:after="0"/>
              <w:rPr>
                <w:sz w:val="18"/>
                <w:szCs w:val="18"/>
                <w:color w:val="auto"/>
              </w:rPr>
            </w:pPr>
          </w:p>
        </w:tc>
      </w:tr>
      <w:tr>
        <w:trPr>
          <w:trHeight w:val="277"/>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Stephen P. Wolfe</w:t>
            </w:r>
          </w:p>
        </w:tc>
        <w:tc>
          <w:tcPr>
            <w:tcW w:w="4240" w:type="dxa"/>
            <w:vAlign w:val="bottom"/>
          </w:tcPr>
          <w:p>
            <w:pPr>
              <w:ind w:left="720"/>
              <w:spacing w:after="0"/>
              <w:rPr>
                <w:sz w:val="20"/>
                <w:szCs w:val="20"/>
                <w:color w:val="auto"/>
              </w:rPr>
            </w:pPr>
            <w:r>
              <w:rPr>
                <w:rFonts w:ascii="Arial" w:cs="Arial" w:eastAsia="Arial" w:hAnsi="Arial"/>
                <w:sz w:val="18"/>
                <w:szCs w:val="18"/>
                <w:color w:val="auto"/>
              </w:rPr>
              <w:t>Vice President Finance and</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161"/>
        </w:trPr>
        <w:tc>
          <w:tcPr>
            <w:tcW w:w="2920" w:type="dxa"/>
            <w:vAlign w:val="bottom"/>
            <w:gridSpan w:val="2"/>
          </w:tcPr>
          <w:p>
            <w:pPr>
              <w:spacing w:after="0" w:line="161" w:lineRule="exact"/>
              <w:rPr>
                <w:sz w:val="20"/>
                <w:szCs w:val="20"/>
                <w:color w:val="auto"/>
              </w:rPr>
            </w:pPr>
            <w:r>
              <w:rPr>
                <w:rFonts w:ascii="Arial" w:cs="Arial" w:eastAsia="Arial" w:hAnsi="Arial"/>
                <w:sz w:val="18"/>
                <w:szCs w:val="18"/>
                <w:color w:val="auto"/>
              </w:rPr>
              <w:t>Stephen P. Wolfe</w:t>
            </w:r>
          </w:p>
        </w:tc>
        <w:tc>
          <w:tcPr>
            <w:tcW w:w="4240" w:type="dxa"/>
            <w:vAlign w:val="bottom"/>
          </w:tcPr>
          <w:p>
            <w:pPr>
              <w:ind w:left="720"/>
              <w:spacing w:after="0" w:line="161" w:lineRule="exact"/>
              <w:rPr>
                <w:sz w:val="20"/>
                <w:szCs w:val="20"/>
                <w:color w:val="auto"/>
              </w:rPr>
            </w:pPr>
            <w:r>
              <w:rPr>
                <w:rFonts w:ascii="Arial" w:cs="Arial" w:eastAsia="Arial" w:hAnsi="Arial"/>
                <w:sz w:val="18"/>
                <w:szCs w:val="18"/>
                <w:color w:val="auto"/>
              </w:rPr>
              <w:t>Chief Financial Officer</w:t>
            </w:r>
          </w:p>
        </w:tc>
        <w:tc>
          <w:tcPr>
            <w:tcW w:w="2320" w:type="dxa"/>
            <w:vAlign w:val="bottom"/>
          </w:tcPr>
          <w:p>
            <w:pPr>
              <w:spacing w:after="0"/>
              <w:rPr>
                <w:sz w:val="14"/>
                <w:szCs w:val="14"/>
                <w:color w:val="auto"/>
              </w:rPr>
            </w:pPr>
          </w:p>
        </w:tc>
      </w:tr>
      <w:tr>
        <w:trPr>
          <w:trHeight w:val="217"/>
        </w:trPr>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40" w:type="dxa"/>
            <w:vAlign w:val="bottom"/>
          </w:tcPr>
          <w:p>
            <w:pPr>
              <w:ind w:left="720"/>
              <w:spacing w:after="0"/>
              <w:rPr>
                <w:sz w:val="20"/>
                <w:szCs w:val="20"/>
                <w:color w:val="auto"/>
              </w:rPr>
            </w:pPr>
            <w:r>
              <w:rPr>
                <w:rFonts w:ascii="Arial" w:cs="Arial" w:eastAsia="Arial" w:hAnsi="Arial"/>
                <w:sz w:val="18"/>
                <w:szCs w:val="18"/>
                <w:color w:val="auto"/>
              </w:rPr>
              <w:t>(principal financial officer)</w:t>
            </w:r>
          </w:p>
        </w:tc>
        <w:tc>
          <w:tcPr>
            <w:tcW w:w="2320" w:type="dxa"/>
            <w:vAlign w:val="bottom"/>
          </w:tcPr>
          <w:p>
            <w:pPr>
              <w:spacing w:after="0"/>
              <w:rPr>
                <w:sz w:val="18"/>
                <w:szCs w:val="18"/>
                <w:color w:val="auto"/>
              </w:rPr>
            </w:pPr>
          </w:p>
        </w:tc>
      </w:tr>
      <w:tr>
        <w:trPr>
          <w:trHeight w:val="277"/>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Blake M. Grams</w:t>
            </w:r>
          </w:p>
        </w:tc>
        <w:tc>
          <w:tcPr>
            <w:tcW w:w="4240" w:type="dxa"/>
            <w:vAlign w:val="bottom"/>
          </w:tcPr>
          <w:p>
            <w:pPr>
              <w:ind w:left="720"/>
              <w:spacing w:after="0"/>
              <w:rPr>
                <w:sz w:val="20"/>
                <w:szCs w:val="20"/>
                <w:color w:val="auto"/>
              </w:rPr>
            </w:pPr>
            <w:r>
              <w:rPr>
                <w:rFonts w:ascii="Arial" w:cs="Arial" w:eastAsia="Arial" w:hAnsi="Arial"/>
                <w:sz w:val="18"/>
                <w:szCs w:val="18"/>
                <w:color w:val="auto"/>
              </w:rPr>
              <w:t>Managing Director, Corporate Controller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7"/>
        </w:trPr>
        <w:tc>
          <w:tcPr>
            <w:tcW w:w="2920" w:type="dxa"/>
            <w:vAlign w:val="bottom"/>
            <w:gridSpan w:val="2"/>
          </w:tcPr>
          <w:p>
            <w:pPr>
              <w:spacing w:after="0"/>
              <w:rPr>
                <w:sz w:val="20"/>
                <w:szCs w:val="20"/>
                <w:color w:val="auto"/>
              </w:rPr>
            </w:pPr>
            <w:r>
              <w:rPr>
                <w:rFonts w:ascii="Arial" w:cs="Arial" w:eastAsia="Arial" w:hAnsi="Arial"/>
                <w:sz w:val="18"/>
                <w:szCs w:val="18"/>
                <w:color w:val="auto"/>
              </w:rPr>
              <w:t>Blake M. Grams</w:t>
            </w:r>
          </w:p>
        </w:tc>
        <w:tc>
          <w:tcPr>
            <w:tcW w:w="4240" w:type="dxa"/>
            <w:vAlign w:val="bottom"/>
          </w:tcPr>
          <w:p>
            <w:pPr>
              <w:ind w:left="720"/>
              <w:spacing w:after="0" w:line="189" w:lineRule="exact"/>
              <w:rPr>
                <w:sz w:val="20"/>
                <w:szCs w:val="20"/>
                <w:color w:val="auto"/>
              </w:rPr>
            </w:pPr>
            <w:r>
              <w:rPr>
                <w:rFonts w:ascii="Arial" w:cs="Arial" w:eastAsia="Arial" w:hAnsi="Arial"/>
                <w:sz w:val="18"/>
                <w:szCs w:val="18"/>
                <w:color w:val="auto"/>
              </w:rPr>
              <w:t>(principal accounting officer)</w:t>
            </w: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Ronald O. Baukol</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Ronald O. Baukol</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C. Buhrmaster</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Robert C. Buhrmaster</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Winslow H. Buxton</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Winslow H. Buxton</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Janet K. Cooper</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Janet K. Cooper</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Gary L. Ellis</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Gary L. Ellis</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Katherine J. Harless</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Katherine J. Harless</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H. Nassau</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Robert H. Nassau</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69"/>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Gregg W. Steinhafel</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56"/>
        </w:trPr>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Christopher A. Twomey</w:t>
            </w:r>
          </w:p>
        </w:tc>
        <w:tc>
          <w:tcPr>
            <w:tcW w:w="4240" w:type="dxa"/>
            <w:vAlign w:val="bottom"/>
          </w:tcPr>
          <w:p>
            <w:pPr>
              <w:ind w:left="7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340"/>
              <w:spacing w:after="0"/>
              <w:rPr>
                <w:sz w:val="20"/>
                <w:szCs w:val="20"/>
                <w:color w:val="auto"/>
              </w:rPr>
            </w:pPr>
            <w:r>
              <w:rPr>
                <w:rFonts w:ascii="Arial" w:cs="Arial" w:eastAsia="Arial" w:hAnsi="Arial"/>
                <w:sz w:val="18"/>
                <w:szCs w:val="18"/>
                <w:color w:val="auto"/>
              </w:rPr>
              <w:t>December 22, 2006</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Christopher A. Twomey</w:t>
            </w: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00"/>
          </w:cols>
          <w:pgMar w:left="240" w:top="120" w:right="259" w:bottom="1440" w:gutter="0" w:footer="0" w:header="0"/>
        </w:sect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type w:val="continuous"/>
        </w:sectPr>
      </w:pPr>
    </w:p>
    <w:bookmarkStart w:id="50" w:name="page51"/>
    <w:bookmarkEnd w:id="50"/>
    <w:p>
      <w:pPr>
        <w:ind w:left="10320"/>
        <w:spacing w:after="0"/>
        <w:rPr>
          <w:sz w:val="20"/>
          <w:szCs w:val="20"/>
          <w:color w:val="auto"/>
        </w:rPr>
      </w:pPr>
      <w:r>
        <w:rPr>
          <w:rFonts w:ascii="Arial" w:cs="Arial" w:eastAsia="Arial" w:hAnsi="Arial"/>
          <w:sz w:val="18"/>
          <w:szCs w:val="18"/>
          <w:b w:val="1"/>
          <w:bCs w:val="1"/>
          <w:color w:val="auto"/>
        </w:rPr>
        <w:t>EXHIBIT 4(c)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152400</wp:posOffset>
            </wp:positionV>
            <wp:extent cx="1054735" cy="702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5473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jc w:val="center"/>
              <w:ind w:right="850"/>
              <w:spacing w:after="0"/>
              <w:rPr>
                <w:sz w:val="20"/>
                <w:szCs w:val="20"/>
                <w:color w:val="auto"/>
              </w:rPr>
            </w:pPr>
            <w:r>
              <w:rPr>
                <w:rFonts w:ascii="Arial" w:cs="Arial" w:eastAsia="Arial" w:hAnsi="Arial"/>
                <w:sz w:val="18"/>
                <w:szCs w:val="18"/>
                <w:color w:val="auto"/>
              </w:rPr>
              <w:t>[FAMILY</w:t>
            </w:r>
          </w:p>
        </w:tc>
        <w:tc>
          <w:tcPr>
            <w:tcW w:w="3480" w:type="dxa"/>
            <w:vAlign w:val="bottom"/>
          </w:tcPr>
          <w:p>
            <w:pPr>
              <w:jc w:val="center"/>
              <w:ind w:left="290"/>
              <w:spacing w:after="0"/>
              <w:rPr>
                <w:sz w:val="20"/>
                <w:szCs w:val="20"/>
                <w:color w:val="auto"/>
              </w:rPr>
            </w:pPr>
            <w:r>
              <w:rPr>
                <w:rFonts w:ascii="Arial" w:cs="Arial" w:eastAsia="Arial" w:hAnsi="Arial"/>
                <w:sz w:val="18"/>
                <w:szCs w:val="18"/>
                <w:color w:val="auto"/>
                <w:w w:val="96"/>
              </w:rPr>
              <w:t>COMMON STOCK</w:t>
            </w:r>
          </w:p>
        </w:tc>
        <w:tc>
          <w:tcPr>
            <w:tcW w:w="5580" w:type="dxa"/>
            <w:vAlign w:val="bottom"/>
          </w:tcPr>
          <w:p>
            <w:pPr>
              <w:ind w:left="920"/>
              <w:spacing w:after="0"/>
              <w:rPr>
                <w:sz w:val="20"/>
                <w:szCs w:val="20"/>
                <w:color w:val="auto"/>
              </w:rPr>
            </w:pPr>
            <w:r>
              <w:rPr>
                <w:rFonts w:ascii="Arial" w:cs="Arial" w:eastAsia="Arial" w:hAnsi="Arial"/>
                <w:sz w:val="18"/>
                <w:szCs w:val="18"/>
                <w:color w:val="auto"/>
              </w:rPr>
              <w:t>THIS CERTIFICATE IS TRANSFERABLE</w:t>
            </w:r>
          </w:p>
        </w:tc>
        <w:tc>
          <w:tcPr>
            <w:tcW w:w="0" w:type="dxa"/>
            <w:vAlign w:val="bottom"/>
          </w:tcPr>
          <w:p>
            <w:pPr>
              <w:spacing w:after="0"/>
              <w:rPr>
                <w:sz w:val="1"/>
                <w:szCs w:val="1"/>
                <w:color w:val="auto"/>
              </w:rPr>
            </w:pPr>
          </w:p>
        </w:tc>
      </w:tr>
      <w:tr>
        <w:trPr>
          <w:trHeight w:val="230"/>
        </w:trPr>
        <w:tc>
          <w:tcPr>
            <w:tcW w:w="2300" w:type="dxa"/>
            <w:vAlign w:val="bottom"/>
          </w:tcPr>
          <w:p>
            <w:pPr>
              <w:jc w:val="center"/>
              <w:ind w:right="850"/>
              <w:spacing w:after="0"/>
              <w:rPr>
                <w:sz w:val="20"/>
                <w:szCs w:val="20"/>
                <w:color w:val="auto"/>
              </w:rPr>
            </w:pPr>
            <w:r>
              <w:rPr>
                <w:rFonts w:ascii="Arial" w:cs="Arial" w:eastAsia="Arial" w:hAnsi="Arial"/>
                <w:sz w:val="18"/>
                <w:szCs w:val="18"/>
                <w:color w:val="auto"/>
                <w:w w:val="96"/>
              </w:rPr>
              <w:t>GRAPHIC]</w:t>
            </w:r>
          </w:p>
        </w:tc>
        <w:tc>
          <w:tcPr>
            <w:tcW w:w="3480" w:type="dxa"/>
            <w:vAlign w:val="bottom"/>
          </w:tcPr>
          <w:p>
            <w:pPr>
              <w:spacing w:after="0"/>
              <w:rPr>
                <w:sz w:val="20"/>
                <w:szCs w:val="20"/>
                <w:color w:val="auto"/>
              </w:rPr>
            </w:pPr>
          </w:p>
        </w:tc>
        <w:tc>
          <w:tcPr>
            <w:tcW w:w="5580" w:type="dxa"/>
            <w:vAlign w:val="bottom"/>
            <w:vMerge w:val="restart"/>
          </w:tcPr>
          <w:p>
            <w:pPr>
              <w:jc w:val="center"/>
              <w:ind w:left="830"/>
              <w:spacing w:after="0"/>
              <w:rPr>
                <w:sz w:val="20"/>
                <w:szCs w:val="20"/>
                <w:color w:val="auto"/>
              </w:rPr>
            </w:pPr>
            <w:r>
              <w:rPr>
                <w:rFonts w:ascii="Arial" w:cs="Arial" w:eastAsia="Arial" w:hAnsi="Arial"/>
                <w:sz w:val="18"/>
                <w:szCs w:val="18"/>
                <w:color w:val="auto"/>
                <w:w w:val="98"/>
              </w:rPr>
              <w:t>IN NEW YORK, NY or</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580" w:type="dxa"/>
            <w:vAlign w:val="bottom"/>
          </w:tcPr>
          <w:p>
            <w:pPr>
              <w:jc w:val="center"/>
              <w:ind w:left="830"/>
              <w:spacing w:after="0"/>
              <w:rPr>
                <w:sz w:val="20"/>
                <w:szCs w:val="20"/>
                <w:color w:val="auto"/>
              </w:rPr>
            </w:pPr>
            <w:r>
              <w:rPr>
                <w:rFonts w:ascii="Arial" w:cs="Arial" w:eastAsia="Arial" w:hAnsi="Arial"/>
                <w:sz w:val="18"/>
                <w:szCs w:val="18"/>
                <w:color w:val="auto"/>
                <w:w w:val="93"/>
              </w:rPr>
              <w:t>in South Saint Paul, MN</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3480" w:type="dxa"/>
            <w:vAlign w:val="bottom"/>
          </w:tcPr>
          <w:p>
            <w:pPr>
              <w:jc w:val="center"/>
              <w:ind w:left="310"/>
              <w:spacing w:after="0"/>
              <w:rPr>
                <w:sz w:val="20"/>
                <w:szCs w:val="20"/>
                <w:color w:val="auto"/>
              </w:rPr>
            </w:pPr>
            <w:r>
              <w:rPr>
                <w:rFonts w:ascii="Arial" w:cs="Arial" w:eastAsia="Arial" w:hAnsi="Arial"/>
                <w:sz w:val="18"/>
                <w:szCs w:val="18"/>
                <w:color w:val="auto"/>
                <w:w w:val="95"/>
              </w:rPr>
              <w:t>INCORPORATED UNDER THE LAWS</w:t>
            </w:r>
          </w:p>
        </w:tc>
        <w:tc>
          <w:tcPr>
            <w:tcW w:w="5580" w:type="dxa"/>
            <w:vAlign w:val="bottom"/>
          </w:tcPr>
          <w:p>
            <w:pPr>
              <w:jc w:val="center"/>
              <w:ind w:left="830"/>
              <w:spacing w:after="0"/>
              <w:rPr>
                <w:sz w:val="20"/>
                <w:szCs w:val="20"/>
                <w:color w:val="auto"/>
              </w:rPr>
            </w:pPr>
            <w:r>
              <w:rPr>
                <w:rFonts w:ascii="Arial" w:cs="Arial" w:eastAsia="Arial" w:hAnsi="Arial"/>
                <w:sz w:val="18"/>
                <w:szCs w:val="18"/>
                <w:color w:val="auto"/>
                <w:w w:val="94"/>
              </w:rPr>
              <w:t>SHARES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480" w:type="dxa"/>
            <w:vAlign w:val="bottom"/>
          </w:tcPr>
          <w:p>
            <w:pPr>
              <w:jc w:val="center"/>
              <w:ind w:left="310"/>
              <w:spacing w:after="0"/>
              <w:rPr>
                <w:sz w:val="20"/>
                <w:szCs w:val="20"/>
                <w:color w:val="auto"/>
              </w:rPr>
            </w:pPr>
            <w:r>
              <w:rPr>
                <w:rFonts w:ascii="Arial" w:cs="Arial" w:eastAsia="Arial" w:hAnsi="Arial"/>
                <w:sz w:val="18"/>
                <w:szCs w:val="18"/>
                <w:color w:val="auto"/>
                <w:w w:val="93"/>
              </w:rPr>
              <w:t>OF THE STATE OF DELAWARE</w:t>
            </w: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580" w:type="dxa"/>
            <w:vAlign w:val="bottom"/>
          </w:tcPr>
          <w:p>
            <w:pPr>
              <w:ind w:left="60"/>
              <w:spacing w:after="0"/>
              <w:rPr>
                <w:sz w:val="20"/>
                <w:szCs w:val="20"/>
                <w:color w:val="auto"/>
              </w:rPr>
            </w:pPr>
            <w:r>
              <w:rPr>
                <w:rFonts w:ascii="Arial" w:cs="Arial" w:eastAsia="Arial" w:hAnsi="Arial"/>
                <w:sz w:val="18"/>
                <w:szCs w:val="18"/>
                <w:color w:val="auto"/>
              </w:rPr>
              <w:t>[SEASONS GRAPHIC]</w:t>
            </w:r>
          </w:p>
        </w:tc>
        <w:tc>
          <w:tcPr>
            <w:tcW w:w="0" w:type="dxa"/>
            <w:vAlign w:val="bottom"/>
          </w:tcPr>
          <w:p>
            <w:pPr>
              <w:spacing w:after="0"/>
              <w:rPr>
                <w:sz w:val="1"/>
                <w:szCs w:val="1"/>
                <w:color w:val="auto"/>
              </w:rPr>
            </w:pPr>
          </w:p>
        </w:tc>
      </w:tr>
      <w:tr>
        <w:trPr>
          <w:trHeight w:val="432"/>
        </w:trPr>
        <w:tc>
          <w:tcPr>
            <w:tcW w:w="230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The Toro Company</w:t>
            </w:r>
          </w:p>
        </w:tc>
        <w:tc>
          <w:tcPr>
            <w:tcW w:w="3480" w:type="dxa"/>
            <w:vAlign w:val="bottom"/>
          </w:tcPr>
          <w:p>
            <w:pPr>
              <w:spacing w:after="0"/>
              <w:rPr>
                <w:sz w:val="24"/>
                <w:szCs w:val="24"/>
                <w:color w:val="auto"/>
              </w:rPr>
            </w:pPr>
          </w:p>
        </w:tc>
        <w:tc>
          <w:tcPr>
            <w:tcW w:w="5580" w:type="dxa"/>
            <w:vAlign w:val="bottom"/>
          </w:tcPr>
          <w:p>
            <w:pPr>
              <w:ind w:left="4120"/>
              <w:spacing w:after="0"/>
              <w:rPr>
                <w:sz w:val="20"/>
                <w:szCs w:val="20"/>
                <w:color w:val="auto"/>
              </w:rPr>
            </w:pPr>
            <w:r>
              <w:rPr>
                <w:rFonts w:ascii="Arial" w:cs="Arial" w:eastAsia="Arial" w:hAnsi="Arial"/>
                <w:sz w:val="18"/>
                <w:szCs w:val="18"/>
                <w:color w:val="auto"/>
                <w:w w:val="89"/>
              </w:rPr>
              <w:t>CUSIP 891092 10 8</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THIS CERTIFIES THAT</w:t>
            </w:r>
          </w:p>
        </w:tc>
        <w:tc>
          <w:tcPr>
            <w:tcW w:w="3480" w:type="dxa"/>
            <w:vAlign w:val="bottom"/>
          </w:tcPr>
          <w:p>
            <w:pPr>
              <w:spacing w:after="0"/>
              <w:rPr>
                <w:sz w:val="24"/>
                <w:szCs w:val="24"/>
                <w:color w:val="auto"/>
              </w:rPr>
            </w:pPr>
          </w:p>
        </w:tc>
        <w:tc>
          <w:tcPr>
            <w:tcW w:w="5580" w:type="dxa"/>
            <w:vAlign w:val="bottom"/>
          </w:tcPr>
          <w:p>
            <w:pPr>
              <w:jc w:val="center"/>
              <w:ind w:left="3370"/>
              <w:spacing w:after="0"/>
              <w:rPr>
                <w:sz w:val="20"/>
                <w:szCs w:val="20"/>
                <w:color w:val="auto"/>
              </w:rPr>
            </w:pPr>
            <w:r>
              <w:rPr>
                <w:rFonts w:ascii="Arial" w:cs="Arial" w:eastAsia="Arial" w:hAnsi="Arial"/>
                <w:sz w:val="18"/>
                <w:szCs w:val="18"/>
                <w:color w:val="auto"/>
                <w:w w:val="91"/>
              </w:rPr>
              <w:t>SEE REVERSE FOR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580" w:type="dxa"/>
            <w:vAlign w:val="bottom"/>
          </w:tcPr>
          <w:p>
            <w:pPr>
              <w:jc w:val="center"/>
              <w:ind w:left="3370"/>
              <w:spacing w:after="0"/>
              <w:rPr>
                <w:sz w:val="20"/>
                <w:szCs w:val="20"/>
                <w:color w:val="auto"/>
              </w:rPr>
            </w:pPr>
            <w:r>
              <w:rPr>
                <w:rFonts w:ascii="Arial" w:cs="Arial" w:eastAsia="Arial" w:hAnsi="Arial"/>
                <w:sz w:val="18"/>
                <w:szCs w:val="18"/>
                <w:color w:val="auto"/>
                <w:w w:val="96"/>
              </w:rPr>
              <w:t>CERTAIN DEFINITIONS</w:t>
            </w:r>
          </w:p>
        </w:tc>
        <w:tc>
          <w:tcPr>
            <w:tcW w:w="0" w:type="dxa"/>
            <w:vAlign w:val="bottom"/>
          </w:tcPr>
          <w:p>
            <w:pPr>
              <w:spacing w:after="0"/>
              <w:rPr>
                <w:sz w:val="1"/>
                <w:szCs w:val="1"/>
                <w:color w:val="auto"/>
              </w:rPr>
            </w:pPr>
          </w:p>
        </w:tc>
      </w:tr>
      <w:tr>
        <w:trPr>
          <w:trHeight w:val="418"/>
        </w:trPr>
        <w:tc>
          <w:tcPr>
            <w:tcW w:w="2300" w:type="dxa"/>
            <w:vAlign w:val="bottom"/>
          </w:tcPr>
          <w:p>
            <w:pPr>
              <w:jc w:val="center"/>
              <w:ind w:right="650"/>
              <w:spacing w:after="0"/>
              <w:rPr>
                <w:sz w:val="20"/>
                <w:szCs w:val="20"/>
                <w:color w:val="auto"/>
              </w:rPr>
            </w:pPr>
            <w:r>
              <w:rPr>
                <w:rFonts w:ascii="Arial" w:cs="Arial" w:eastAsia="Arial" w:hAnsi="Arial"/>
                <w:sz w:val="18"/>
                <w:szCs w:val="18"/>
                <w:color w:val="auto"/>
                <w:w w:val="96"/>
              </w:rPr>
              <w:t>IS THE</w:t>
            </w:r>
          </w:p>
        </w:tc>
        <w:tc>
          <w:tcPr>
            <w:tcW w:w="34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ind w:right="670"/>
              <w:spacing w:after="0"/>
              <w:rPr>
                <w:sz w:val="20"/>
                <w:szCs w:val="20"/>
                <w:color w:val="auto"/>
              </w:rPr>
            </w:pPr>
            <w:r>
              <w:rPr>
                <w:rFonts w:ascii="Arial" w:cs="Arial" w:eastAsia="Arial" w:hAnsi="Arial"/>
                <w:sz w:val="18"/>
                <w:szCs w:val="18"/>
                <w:color w:val="auto"/>
                <w:w w:val="93"/>
              </w:rPr>
              <w:t>REGISTERED</w:t>
            </w:r>
          </w:p>
        </w:tc>
        <w:tc>
          <w:tcPr>
            <w:tcW w:w="34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jc w:val="center"/>
              <w:ind w:right="650"/>
              <w:spacing w:after="0"/>
              <w:rPr>
                <w:sz w:val="20"/>
                <w:szCs w:val="20"/>
                <w:color w:val="auto"/>
              </w:rPr>
            </w:pPr>
            <w:r>
              <w:rPr>
                <w:rFonts w:ascii="Arial" w:cs="Arial" w:eastAsia="Arial" w:hAnsi="Arial"/>
                <w:sz w:val="18"/>
                <w:szCs w:val="18"/>
                <w:color w:val="auto"/>
                <w:w w:val="95"/>
              </w:rPr>
              <w:t>HOLDER OF</w:t>
            </w:r>
          </w:p>
        </w:tc>
        <w:tc>
          <w:tcPr>
            <w:tcW w:w="34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FULLY PAID AND NON-ASSESSABLE SHARES OF COMMON STOCK PAR VALUE $1.00 EACH,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Stock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Toro Company transferable on the books of the Corporation by the holder hereof, in person or by duly authorized attorney, upon surrender of this Certificate properly endorsed. This Certificate and the shares represented hereby, are issued and shall be held subject to all of the provisions of the Certificate of Incorporation and By-Laws of the Corporation, and all amendments thereto, to all of which the holder, by accepting this Certificate, assents. This Certificate is not valid unless countersigned and registered by the Transfer Agent and Registrar.</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In Witness Whereof, the Corporation has caused this Certificate to be signed in facsimile by its duly authorized officers, and a facsimile of its corporate seal to be hereunto affixed.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Dated:</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COUNTERSIGNED AND REGISTERED:</w:t>
            </w: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J. Hoffman</w:t>
            </w:r>
          </w:p>
        </w:tc>
        <w:tc>
          <w:tcPr>
            <w:tcW w:w="0" w:type="dxa"/>
            <w:vAlign w:val="bottom"/>
          </w:tcPr>
          <w:p>
            <w:pPr>
              <w:spacing w:after="0"/>
              <w:rPr>
                <w:sz w:val="1"/>
                <w:szCs w:val="1"/>
                <w:color w:val="auto"/>
              </w:rPr>
            </w:pPr>
          </w:p>
        </w:tc>
      </w:tr>
      <w:tr>
        <w:trPr>
          <w:trHeight w:val="195"/>
        </w:trPr>
        <w:tc>
          <w:tcPr>
            <w:tcW w:w="5280" w:type="dxa"/>
            <w:vAlign w:val="bottom"/>
            <w:gridSpan w:val="2"/>
          </w:tcPr>
          <w:p>
            <w:pPr>
              <w:ind w:left="180"/>
              <w:spacing w:after="0" w:line="195" w:lineRule="exact"/>
              <w:rPr>
                <w:sz w:val="20"/>
                <w:szCs w:val="20"/>
                <w:color w:val="auto"/>
              </w:rPr>
            </w:pPr>
            <w:r>
              <w:rPr>
                <w:rFonts w:ascii="Arial" w:cs="Arial" w:eastAsia="Arial" w:hAnsi="Arial"/>
                <w:sz w:val="18"/>
                <w:szCs w:val="18"/>
                <w:b w:val="1"/>
                <w:bCs w:val="1"/>
                <w:color w:val="auto"/>
              </w:rPr>
              <w:t>WELLS FARGO BANK, N.A.</w:t>
            </w:r>
          </w:p>
        </w:tc>
        <w:tc>
          <w:tcPr>
            <w:tcW w:w="2740" w:type="dxa"/>
            <w:vAlign w:val="bottom"/>
            <w:gridSpan w:val="2"/>
          </w:tcPr>
          <w:p>
            <w:pPr>
              <w:ind w:left="1000"/>
              <w:spacing w:after="0" w:line="195" w:lineRule="exact"/>
              <w:rPr>
                <w:sz w:val="20"/>
                <w:szCs w:val="20"/>
                <w:color w:val="auto"/>
              </w:rPr>
            </w:pPr>
            <w:r>
              <w:rPr>
                <w:rFonts w:ascii="Arial" w:cs="Arial" w:eastAsia="Arial" w:hAnsi="Arial"/>
                <w:sz w:val="18"/>
                <w:szCs w:val="18"/>
                <w:color w:val="auto"/>
              </w:rPr>
              <w:t>SEAL</w:t>
            </w:r>
          </w:p>
        </w:tc>
        <w:tc>
          <w:tcPr>
            <w:tcW w:w="3400" w:type="dxa"/>
            <w:vAlign w:val="bottom"/>
          </w:tcPr>
          <w:p>
            <w:pPr>
              <w:jc w:val="right"/>
              <w:spacing w:after="0" w:line="195" w:lineRule="exact"/>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800" w:type="dxa"/>
            <w:vAlign w:val="bottom"/>
            <w:vMerge w:val="restart"/>
          </w:tcPr>
          <w:p>
            <w:pPr>
              <w:jc w:val="center"/>
              <w:ind w:left="1130"/>
              <w:spacing w:after="0"/>
              <w:rPr>
                <w:sz w:val="20"/>
                <w:szCs w:val="20"/>
                <w:color w:val="auto"/>
              </w:rPr>
            </w:pPr>
            <w:r>
              <w:rPr>
                <w:rFonts w:ascii="Arial" w:cs="Arial" w:eastAsia="Arial" w:hAnsi="Arial"/>
                <w:sz w:val="18"/>
                <w:szCs w:val="18"/>
                <w:color w:val="auto"/>
                <w:w w:val="96"/>
              </w:rPr>
              <w:t>TRANSFER AGENT</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800" w:type="dxa"/>
            <w:vAlign w:val="bottom"/>
          </w:tcPr>
          <w:p>
            <w:pPr>
              <w:jc w:val="center"/>
              <w:ind w:left="1110"/>
              <w:spacing w:after="0"/>
              <w:rPr>
                <w:sz w:val="20"/>
                <w:szCs w:val="20"/>
                <w:color w:val="auto"/>
              </w:rPr>
            </w:pPr>
            <w:r>
              <w:rPr>
                <w:rFonts w:ascii="Arial" w:cs="Arial" w:eastAsia="Arial" w:hAnsi="Arial"/>
                <w:sz w:val="18"/>
                <w:szCs w:val="18"/>
                <w:color w:val="auto"/>
                <w:w w:val="97"/>
              </w:rPr>
              <w:t>AND REGISTRAR</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BY   /s/ L.M. Kaufman</w:t>
            </w: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/s/ J. Lawrence McIntyre</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4800" w:type="dxa"/>
            <w:vAlign w:val="bottom"/>
            <w:tcBorders>
              <w:top w:val="single" w:sz="8" w:color="auto"/>
            </w:tcBorders>
          </w:tcPr>
          <w:p>
            <w:pPr>
              <w:ind w:left="1480"/>
              <w:spacing w:after="0" w:line="195" w:lineRule="exact"/>
              <w:rPr>
                <w:sz w:val="20"/>
                <w:szCs w:val="20"/>
                <w:color w:val="auto"/>
              </w:rPr>
            </w:pPr>
            <w:r>
              <w:rPr>
                <w:rFonts w:ascii="Arial" w:cs="Arial" w:eastAsia="Arial" w:hAnsi="Arial"/>
                <w:sz w:val="18"/>
                <w:szCs w:val="18"/>
                <w:color w:val="auto"/>
              </w:rPr>
              <w:t>AUTHORIZED SIGNATURE</w:t>
            </w:r>
          </w:p>
        </w:tc>
        <w:tc>
          <w:tcPr>
            <w:tcW w:w="2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VICE PRESIDENT AND</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b w:val="1"/>
          <w:bCs w:val="1"/>
          <w:color w:val="auto"/>
        </w:rPr>
        <w:t>THE SHARES ARE SUBJECT TO RIGHTS, PREFERENCES AND RESTRICTIONS. A FULL STATEMENT OF THE RIGHTS, PREFERENCES AND RESTRICTIONS GRANTED TO OR IMPOSED UPON THE SHARES OF ALL CLASSES OF SERIES, AND A STATEMENT OF THE AUTHORITY VESTED BY THE CERTIFICATE OF INCORPORATION IN THE BOARD OF DIRECTORS UNDER SUBCHAPTER V, SECTION 151, OF THE DELAWARE GENERAL CORPORATION LAW, TO FIX THE RIGHTS OF SERIES OF SHARES THEN UNALLOTTED WILL BE FURNISHED TO ANY SHAREHOLDER WITHOUT CHARGE AND UPON REQUEST MADE TO THE OFFICE OF THE SECRETARY OF THE COMPANY.</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TEN COM</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5700" w:type="dxa"/>
            <w:vAlign w:val="bottom"/>
          </w:tcPr>
          <w:p>
            <w:pPr>
              <w:ind w:left="540"/>
              <w:spacing w:after="0"/>
              <w:rPr>
                <w:sz w:val="20"/>
                <w:szCs w:val="20"/>
                <w:color w:val="auto"/>
              </w:rPr>
            </w:pPr>
            <w:r>
              <w:rPr>
                <w:rFonts w:ascii="Arial" w:cs="Arial" w:eastAsia="Arial" w:hAnsi="Arial"/>
                <w:sz w:val="18"/>
                <w:szCs w:val="18"/>
                <w:color w:val="auto"/>
              </w:rPr>
              <w:t>as tenants in common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TEN ENT</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5700" w:type="dxa"/>
            <w:vAlign w:val="bottom"/>
          </w:tcPr>
          <w:p>
            <w:pPr>
              <w:ind w:left="540"/>
              <w:spacing w:after="0"/>
              <w:rPr>
                <w:sz w:val="20"/>
                <w:szCs w:val="20"/>
                <w:color w:val="auto"/>
              </w:rPr>
            </w:pPr>
            <w:r>
              <w:rPr>
                <w:rFonts w:ascii="Arial" w:cs="Arial" w:eastAsia="Arial" w:hAnsi="Arial"/>
                <w:sz w:val="18"/>
                <w:szCs w:val="18"/>
                <w:color w:val="auto"/>
              </w:rPr>
              <w:t>as tenants by the entireties</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JT TEN</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5700" w:type="dxa"/>
            <w:vAlign w:val="bottom"/>
          </w:tcPr>
          <w:p>
            <w:pPr>
              <w:ind w:left="540"/>
              <w:spacing w:after="0"/>
              <w:rPr>
                <w:sz w:val="20"/>
                <w:szCs w:val="20"/>
                <w:color w:val="auto"/>
              </w:rPr>
            </w:pPr>
            <w:r>
              <w:rPr>
                <w:rFonts w:ascii="Arial" w:cs="Arial" w:eastAsia="Arial" w:hAnsi="Arial"/>
                <w:sz w:val="18"/>
                <w:szCs w:val="18"/>
                <w:color w:val="auto"/>
                <w:w w:val="90"/>
              </w:rPr>
              <w:t>as joint tenants with right of survivorship and not as tenants in common</w:t>
            </w:r>
          </w:p>
        </w:tc>
      </w:tr>
    </w:tbl>
    <w:p>
      <w:pPr>
        <w:sectPr>
          <w:pgSz w:w="11900" w:h="16838" w:orient="portrait"/>
          <w:cols w:equalWidth="0" w:num="1">
            <w:col w:w="11420"/>
          </w:cols>
          <w:pgMar w:left="240" w:top="121"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UNIF GIFT MIN ACT —</w:t>
            </w:r>
          </w:p>
        </w:tc>
        <w:tc>
          <w:tcPr>
            <w:tcW w:w="4200" w:type="dxa"/>
            <w:vAlign w:val="bottom"/>
          </w:tcPr>
          <w:p>
            <w:pPr>
              <w:ind w:left="74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6"/>
        </w:trPr>
        <w:tc>
          <w:tcPr>
            <w:tcW w:w="6160" w:type="dxa"/>
            <w:vAlign w:val="bottom"/>
          </w:tcPr>
          <w:p>
            <w:pPr>
              <w:jc w:val="center"/>
              <w:ind w:left="2050"/>
              <w:spacing w:after="0"/>
              <w:rPr>
                <w:sz w:val="20"/>
                <w:szCs w:val="20"/>
                <w:color w:val="auto"/>
              </w:rPr>
            </w:pPr>
            <w:r>
              <w:rPr>
                <w:rFonts w:ascii="Arial" w:cs="Arial" w:eastAsia="Arial" w:hAnsi="Arial"/>
                <w:sz w:val="18"/>
                <w:szCs w:val="18"/>
                <w:color w:val="auto"/>
                <w:w w:val="93"/>
              </w:rPr>
              <w:t>(Cust)</w:t>
            </w:r>
          </w:p>
        </w:tc>
        <w:tc>
          <w:tcPr>
            <w:tcW w:w="4200" w:type="dxa"/>
            <w:vAlign w:val="bottom"/>
          </w:tcPr>
          <w:p>
            <w:pPr>
              <w:ind w:left="3620"/>
              <w:spacing w:after="0"/>
              <w:rPr>
                <w:sz w:val="20"/>
                <w:szCs w:val="20"/>
                <w:color w:val="auto"/>
              </w:rPr>
            </w:pPr>
            <w:r>
              <w:rPr>
                <w:rFonts w:ascii="Arial" w:cs="Arial" w:eastAsia="Arial" w:hAnsi="Arial"/>
                <w:sz w:val="18"/>
                <w:szCs w:val="18"/>
                <w:color w:val="auto"/>
                <w:w w:val="98"/>
              </w:rPr>
              <w:t>(Minor)</w:t>
            </w:r>
          </w:p>
        </w:tc>
        <w:tc>
          <w:tcPr>
            <w:tcW w:w="0" w:type="dxa"/>
            <w:vAlign w:val="bottom"/>
          </w:tcPr>
          <w:p>
            <w:pPr>
              <w:spacing w:after="0"/>
              <w:rPr>
                <w:sz w:val="1"/>
                <w:szCs w:val="1"/>
                <w:color w:val="auto"/>
              </w:rPr>
            </w:pPr>
          </w:p>
        </w:tc>
      </w:tr>
      <w:tr>
        <w:trPr>
          <w:trHeight w:val="230"/>
        </w:trPr>
        <w:tc>
          <w:tcPr>
            <w:tcW w:w="6160" w:type="dxa"/>
            <w:vAlign w:val="bottom"/>
          </w:tcPr>
          <w:p>
            <w:pPr>
              <w:jc w:val="center"/>
              <w:ind w:left="2050"/>
              <w:spacing w:after="0"/>
              <w:rPr>
                <w:sz w:val="20"/>
                <w:szCs w:val="20"/>
                <w:color w:val="auto"/>
              </w:rPr>
            </w:pPr>
            <w:r>
              <w:rPr>
                <w:rFonts w:ascii="Arial" w:cs="Arial" w:eastAsia="Arial" w:hAnsi="Arial"/>
                <w:sz w:val="18"/>
                <w:szCs w:val="18"/>
                <w:color w:val="auto"/>
                <w:w w:val="95"/>
              </w:rPr>
              <w:t>under Uniform Gifts to Minors Act</w:t>
            </w:r>
          </w:p>
        </w:tc>
        <w:tc>
          <w:tcPr>
            <w:tcW w:w="4200" w:type="dxa"/>
            <w:vAlign w:val="bottom"/>
            <w:vMerge w:val="restart"/>
          </w:tcPr>
          <w:p>
            <w:pPr>
              <w:ind w:left="220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340"/>
        <w:spacing w:after="0"/>
        <w:tabs>
          <w:tab w:leader="none" w:pos="448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 assign and transfer unto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280"/>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jc w:val="center"/>
        <w:ind w:right="6280"/>
        <w:spacing w:after="0"/>
        <w:rPr>
          <w:sz w:val="20"/>
          <w:szCs w:val="20"/>
          <w:color w:val="auto"/>
        </w:rPr>
      </w:pPr>
      <w:r>
        <w:rPr>
          <w:rFonts w:ascii="Arial" w:cs="Arial" w:eastAsia="Arial" w:hAnsi="Arial"/>
          <w:sz w:val="18"/>
          <w:szCs w:val="18"/>
          <w:color w:val="auto"/>
        </w:rPr>
        <w:t>IDENTIFYING NUMBER OF ASSIGNEE)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OR TYPEWRITE NAME AND ADDRESS OF ASSIGNEE)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Common Shares represented by the within Certificate, and do hereby irrevocably constitute and appoint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shares on the books of the within-named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434975</wp:posOffset>
            </wp:positionV>
            <wp:extent cx="3370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289560</wp:posOffset>
            </wp:positionV>
            <wp:extent cx="3370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80"/>
        <w:spacing w:after="0"/>
        <w:tabs>
          <w:tab w:leader="none" w:pos="6100" w:val="left"/>
        </w:tabs>
        <w:rPr>
          <w:sz w:val="20"/>
          <w:szCs w:val="20"/>
          <w:color w:val="auto"/>
        </w:rPr>
      </w:pPr>
      <w:r>
        <w:rPr>
          <w:rFonts w:ascii="Arial" w:cs="Arial" w:eastAsia="Arial" w:hAnsi="Arial"/>
          <w:sz w:val="18"/>
          <w:szCs w:val="18"/>
          <w:color w:val="auto"/>
        </w:rPr>
        <w:t>NOTICE:</w:t>
      </w:r>
      <w:r>
        <w:rPr>
          <w:sz w:val="20"/>
          <w:szCs w:val="20"/>
          <w:color w:val="auto"/>
        </w:rPr>
        <w:tab/>
      </w:r>
      <w:r>
        <w:rPr>
          <w:rFonts w:ascii="Arial" w:cs="Arial" w:eastAsia="Arial" w:hAnsi="Arial"/>
          <w:sz w:val="18"/>
          <w:szCs w:val="18"/>
          <w:color w:val="auto"/>
        </w:rPr>
        <w:t>THE SIGNATURE TO THIS ASSIGNMENT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40" w:right="40"/>
        <w:spacing w:after="0" w:line="264" w:lineRule="auto"/>
        <w:rPr>
          <w:sz w:val="20"/>
          <w:szCs w:val="20"/>
          <w:color w:val="auto"/>
        </w:rPr>
      </w:pPr>
      <w:r>
        <w:rPr>
          <w:rFonts w:ascii="Arial" w:cs="Arial" w:eastAsia="Arial" w:hAnsi="Arial"/>
          <w:sz w:val="18"/>
          <w:szCs w:val="18"/>
          <w:color w:val="auto"/>
        </w:rPr>
        <w:t>CORRESPOND WITH THE NAME AS WRITTEN UPON THE FACE OF THE CERTIFICATE IN EVERY PARTICULAR WITHOUT ALTERATION OR ENLARGEMENT OR ANY CHANGE WHATEVER.</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certificate also evidences and entitles the holder hereof to certain rights as set forth in a Rights Agreement between The Toro Company and Norwest Bank of Minnesota, N.A., as Rights Agent, dated as of May 20, 1998 (as amended from time to time, the “Rights Agreement”), the terms of which are hereby incorporated herein by reference and a copy of which is on file at the principal executive offices of The Toro Company. Under certain circumstances, as set forth in the Rights Agreement, such Rights will be evidenced by separate certificates and will no longer be evidenced by this certificate. The Toro Company will mail to the holder of this certificate a copy of the Rights Agreement without charge after receipt of a written request therefor. Rights issued to, or beneficially owned by, any Person who becomes an Acquiring Person (as defined in the Rights Agreement) may become null and void.</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Effective July 10, 2000, Norwest Bank Minnesota, N.A.</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changed its name to Wells Fargo Bank, N.A.</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Effective February 20, 2004, Wells Fargo Bank, N.A.</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changed its name to Wells Fargo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BENEFIT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MANAGEMENT RETIREMENT PLAN)</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This Amendment is made to The Toro Company Supplemental Management Retirement Plan (herein renamed The Toro Company Supplemental Benefit Plan), as previously amended and restated effective July 27, 1998 (the “Plan”). All defined terms shall have the meanings set forth in the Plan. This Amendment is effective October 16, 2006, unless otherwise stated herein. In no event will this Amendment apply to any amounts earned and vested as of December 31, 2004. All provisions of the Plan not amended by this Amendment shall remain in full force and effect.</w:t>
      </w:r>
    </w:p>
    <w:p>
      <w:pPr>
        <w:spacing w:after="0" w:line="167"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Section 3.3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6"/>
          <w:szCs w:val="16"/>
          <w:b w:val="1"/>
          <w:bCs w:val="1"/>
          <w:color w:val="auto"/>
        </w:rPr>
        <w:t>Earnings on Amounts Credited</w:t>
      </w:r>
    </w:p>
    <w:p>
      <w:pPr>
        <w:spacing w:after="0" w:line="229" w:lineRule="exact"/>
        <w:rPr>
          <w:sz w:val="20"/>
          <w:szCs w:val="20"/>
          <w:color w:val="auto"/>
        </w:rPr>
      </w:pPr>
    </w:p>
    <w:p>
      <w:pPr>
        <w:ind w:left="660" w:right="80" w:firstLine="1293"/>
        <w:spacing w:after="0" w:line="312" w:lineRule="auto"/>
        <w:tabs>
          <w:tab w:leader="none" w:pos="2651"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Amounts credited to a Participant’s Article III account shall be credited with earnings at a rate and in a manner authorized by the Committee from time to time; provided that beginning January 1, 2007, and until changed by subsequent action of the Committee, the earnings rate for all Participants (except as otherwise provided in (b) below) shall be based on a Participant’s selection from the following funds: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Century Large Company Value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Funds Growth Fund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Artisan Mid Cap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Diversified International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ICM Small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Mid Cap Value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Prime Money Market Fund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STI Class Small Cap Growth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Total Bond Index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Institutional Index</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Company.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the foregoing provisions, all current Participants shall be given a one-time election, until October 31, 2006,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20" w:hanging="715"/>
        <w:spacing w:after="0"/>
        <w:tabs>
          <w:tab w:leader="none" w:pos="2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Toro Company Stable Return Fund Measure; or</w:t>
      </w:r>
    </w:p>
    <w:p>
      <w:pPr>
        <w:spacing w:after="0" w:line="9" w:lineRule="exact"/>
        <w:rPr>
          <w:sz w:val="20"/>
          <w:szCs w:val="20"/>
          <w:color w:val="auto"/>
        </w:rPr>
      </w:pPr>
    </w:p>
    <w:p>
      <w:pPr>
        <w:ind w:left="1960" w:right="120" w:hanging="655"/>
        <w:spacing w:after="0" w:line="261" w:lineRule="auto"/>
        <w:tabs>
          <w:tab w:leader="none" w:pos="199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is based on the rate of return from one or more of the funds provided for in (a) above.</w:t>
      </w:r>
    </w:p>
    <w:p>
      <w:pPr>
        <w:spacing w:after="0" w:line="18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Stable Return Fund Measure.</w:t>
      </w:r>
    </w:p>
    <w:p>
      <w:pPr>
        <w:spacing w:after="0" w:line="166" w:lineRule="exact"/>
        <w:rPr>
          <w:sz w:val="20"/>
          <w:szCs w:val="20"/>
          <w:color w:val="auto"/>
        </w:rPr>
      </w:pPr>
    </w:p>
    <w:p>
      <w:pPr>
        <w:ind w:left="660" w:right="20" w:hanging="652"/>
        <w:spacing w:after="0" w:line="282" w:lineRule="auto"/>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The third sentence of Section 6.2, the third sentence, second paragraph, of Section 6.4 and the third sentence of Section 6.5 shall be amended as follows: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Participant may change his or her election at any time up to one year before the date of the Participant’s retirement from the Company.</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6.9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Limitation on Election of Distribution Method</w:t>
      </w:r>
    </w:p>
    <w:p>
      <w:pPr>
        <w:spacing w:after="0" w:line="229"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Effective January 1, 2008, a Participant may change his or her election of distribution method only one time after making an initial election with respect to distribution of any accounts under this Plan.</w:t>
      </w:r>
    </w:p>
    <w:p>
      <w:pPr>
        <w:spacing w:after="0" w:line="166"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7.5 shall be added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7.5</w:t>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pacing w:after="0" w:line="189" w:lineRule="exact"/>
        <w:rPr>
          <w:sz w:val="20"/>
          <w:szCs w:val="20"/>
          <w:color w:val="auto"/>
        </w:rPr>
      </w:pPr>
    </w:p>
    <w:p>
      <w:pPr>
        <w:ind w:left="660" w:right="100" w:hanging="652"/>
        <w:spacing w:after="0" w:line="282" w:lineRule="auto"/>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November 30, 2006, the name of the Plan is changed to “The Toro Company Supplemental Benefit Plan,” and all references to the Plan shall be modified accordingly.</w:t>
      </w:r>
    </w:p>
    <w:p>
      <w:pPr>
        <w:sectPr>
          <w:pgSz w:w="11900" w:h="16838" w:orient="portrait"/>
          <w:cols w:equalWidth="0" w:num="1">
            <w:col w:w="11420"/>
          </w:cols>
          <w:pgMar w:left="240" w:top="121" w:right="239" w:bottom="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 * *</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Company has caused this Amendment to be executed on the date indicated below.</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9019"/>
          </w:cols>
          <w:pgMar w:left="1440" w:top="868"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12/19/2006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2519"/>
        <w:spacing w:after="0"/>
        <w:tabs>
          <w:tab w:leader="none" w:pos="200" w:val="left"/>
        </w:tabs>
        <w:rPr>
          <w:sz w:val="20"/>
          <w:szCs w:val="20"/>
          <w:color w:val="auto"/>
        </w:rPr>
      </w:pPr>
      <w:r>
        <w:rPr>
          <w:rFonts w:ascii="Arial" w:cs="Arial" w:eastAsia="Arial" w:hAnsi="Arial"/>
          <w:sz w:val="18"/>
          <w:szCs w:val="18"/>
          <w:color w:val="auto"/>
        </w:rPr>
        <w:t>By:</w:t>
        <w:tab/>
        <w:t>/s/ J. Lawrence McIntyre</w:t>
      </w:r>
    </w:p>
    <w:p>
      <w:pPr>
        <w:spacing w:after="0" w:line="23" w:lineRule="exact"/>
        <w:rPr>
          <w:sz w:val="20"/>
          <w:szCs w:val="20"/>
          <w:color w:val="auto"/>
        </w:rPr>
      </w:pPr>
    </w:p>
    <w:p>
      <w:pPr>
        <w:sectPr>
          <w:pgSz w:w="11900" w:h="16838" w:orient="portrait"/>
          <w:cols w:equalWidth="0" w:num="3">
            <w:col w:w="740" w:space="300"/>
            <w:col w:w="2460" w:space="720"/>
            <w:col w:w="4799"/>
          </w:cols>
          <w:pgMar w:left="1440" w:top="868" w:right="1440" w:bottom="1440" w:gutter="0" w:footer="0" w:header="0"/>
          <w:type w:val="continuous"/>
        </w:sectPr>
      </w:pPr>
    </w:p>
    <w:p>
      <w:pPr>
        <w:jc w:val="right"/>
        <w:ind w:right="1079"/>
        <w:spacing w:after="0"/>
        <w:rPr>
          <w:sz w:val="20"/>
          <w:szCs w:val="20"/>
          <w:color w:val="auto"/>
        </w:rPr>
      </w:pPr>
      <w:r>
        <w:rPr>
          <w:rFonts w:ascii="Arial" w:cs="Arial" w:eastAsia="Arial" w:hAnsi="Arial"/>
          <w:sz w:val="16"/>
          <w:szCs w:val="16"/>
          <w:color w:val="auto"/>
        </w:rPr>
        <w:t>Its: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-116205</wp:posOffset>
            </wp:positionV>
            <wp:extent cx="4810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1076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378460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RETIREMENT PLAN)</w:t>
      </w:r>
    </w:p>
    <w:p>
      <w:pPr>
        <w:spacing w:after="0" w:line="211"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This Amendment is made to The Toro Company Supplemental Retirement Plan (herein renamed The Toro Company Deferred Compensation Plan), as previously amended and restated effective July 27, 1998 (the “Plan”). All defined terms shall have the meanings set forth in the Plan. This Amendment is effective as of January 1, 2005, unless otherwise indicated herein. In no event will this Amendment apply to any amounts earned and vested as of December 31, 2004. All provisions of the Plan not amended by this Amendment shall remain in full force and effect.</w:t>
      </w:r>
    </w:p>
    <w:p>
      <w:pPr>
        <w:spacing w:after="0" w:line="16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Section 3.1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Deferral Election</w:t>
      </w:r>
    </w:p>
    <w:p>
      <w:pPr>
        <w:spacing w:after="0" w:line="229" w:lineRule="exact"/>
        <w:rPr>
          <w:sz w:val="20"/>
          <w:szCs w:val="20"/>
          <w:color w:val="auto"/>
        </w:rPr>
      </w:pPr>
    </w:p>
    <w:p>
      <w:pPr>
        <w:ind w:left="660" w:right="60" w:firstLine="648"/>
        <w:spacing w:after="0" w:line="290" w:lineRule="auto"/>
        <w:rPr>
          <w:sz w:val="20"/>
          <w:szCs w:val="20"/>
          <w:color w:val="auto"/>
        </w:rPr>
      </w:pPr>
      <w:r>
        <w:rPr>
          <w:rFonts w:ascii="Arial" w:cs="Arial" w:eastAsia="Arial" w:hAnsi="Arial"/>
          <w:sz w:val="16"/>
          <w:szCs w:val="16"/>
          <w:color w:val="auto"/>
        </w:rPr>
        <w:t>A Participant may elect to defer Compensation for a calendar year by completing and submitting a deferral election on a form provided by the Company. Except as provided in the following sentence, such election must be submitted to the Director or the Assistant Corporate Secretary by December 31 to be effective for the following year. Notwithstanding the foregoing, an election to defer incentive compensation under a Company incentive compensation plan must be made on a fiscal year basis. A Participant may elect to defer incentive compensation by completing and submitting a deferral election by the last day of the Company’s fiscal year immediately preceding the fiscal year in which the services to which the incentive compensation relate are performed. An election shall remain in effect until revoked or revised by the Participant by a written election delivered to the Director or the Assistant Corporate Secretary. An election shall take effect as of January 1 of the year following the year in which it is received, or as of the first day of the Company’s fiscal year following the fiscal year in which it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-47625</wp:posOffset>
            </wp:positionV>
            <wp:extent cx="28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ind w:left="660" w:right="140" w:firstLine="648"/>
        <w:spacing w:after="0" w:line="342" w:lineRule="auto"/>
        <w:rPr>
          <w:sz w:val="20"/>
          <w:szCs w:val="20"/>
          <w:color w:val="auto"/>
        </w:rPr>
      </w:pPr>
      <w:r>
        <w:rPr>
          <w:rFonts w:ascii="Arial" w:cs="Arial" w:eastAsia="Arial" w:hAnsi="Arial"/>
          <w:sz w:val="16"/>
          <w:szCs w:val="16"/>
          <w:color w:val="auto"/>
        </w:rPr>
        <w:t>A Participant shall not be eligible to defer Compensation for any calendar year or incentive compensation for any fiscal year following the year in which he or she no longer satisfies the eligibility requirements of this Plan, unless the Committee in its discretion permits such a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-211455</wp:posOffset>
            </wp:positionV>
            <wp:extent cx="28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Section 4.1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Earnings Rate</w:t>
      </w:r>
    </w:p>
    <w:p>
      <w:pPr>
        <w:spacing w:after="0" w:line="229" w:lineRule="exact"/>
        <w:rPr>
          <w:rFonts w:ascii="Arial" w:cs="Arial" w:eastAsia="Arial" w:hAnsi="Arial"/>
          <w:sz w:val="18"/>
          <w:szCs w:val="18"/>
          <w:b w:val="1"/>
          <w:bCs w:val="1"/>
          <w:color w:val="auto"/>
        </w:rPr>
      </w:pPr>
    </w:p>
    <w:p>
      <w:pPr>
        <w:ind w:left="660" w:right="60" w:firstLine="1293"/>
        <w:spacing w:after="0" w:line="259" w:lineRule="auto"/>
        <w:tabs>
          <w:tab w:leader="none" w:pos="26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Amounts held in an account maintained for a Participant shall be credited with earnings (which may include losses in principal value) at a rate and in a manner authorized by the Committee from time to time; provided that beginning January 1, 2007, and until changed by subsequent action of the Committee, the earnings rate for all Participants (except as otherwise provided in (b) below) shall be based on a Participant’s selection from the following funds</w:t>
      </w:r>
      <w:r>
        <w:rPr>
          <w:rFonts w:ascii="Arial" w:cs="Arial" w:eastAsia="Arial" w:hAnsi="Arial"/>
          <w:sz w:val="18"/>
          <w:szCs w:val="18"/>
          <w:u w:val="single" w:color="auto"/>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Century Large Company Value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Funds Growth Fund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Artisan Mid Cap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Diversified International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ICM Small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Mid Cap Value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Prime Money Market Fund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STI Class Small Cap Growth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Total Bond Index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Institutional Index</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Committee.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660" w:right="520" w:firstLine="1293"/>
        <w:spacing w:after="0" w:line="277" w:lineRule="auto"/>
        <w:tabs>
          <w:tab w:leader="none" w:pos="2661"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Notwithstanding the foregoing provisions in paragraph (a) above, all current Participants shall be given a one-time election, until October 31, 2006, to:</w:t>
      </w:r>
    </w:p>
    <w:p>
      <w:pPr>
        <w:spacing w:after="0" w:line="170" w:lineRule="exact"/>
        <w:rPr>
          <w:rFonts w:ascii="Arial" w:cs="Arial" w:eastAsia="Arial" w:hAnsi="Arial"/>
          <w:sz w:val="18"/>
          <w:szCs w:val="18"/>
          <w:color w:val="auto"/>
        </w:rPr>
      </w:pPr>
    </w:p>
    <w:p>
      <w:pPr>
        <w:ind w:left="1960" w:right="380" w:hanging="655"/>
        <w:spacing w:after="0" w:line="277" w:lineRule="auto"/>
        <w:tabs>
          <w:tab w:leader="none" w:pos="198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Toro Company Stable Return Fund Measure; or</w:t>
      </w:r>
    </w:p>
    <w:p>
      <w:pPr>
        <w:spacing w:after="0" w:line="170" w:lineRule="exact"/>
        <w:rPr>
          <w:rFonts w:ascii="Arial" w:cs="Arial" w:eastAsia="Arial" w:hAnsi="Arial"/>
          <w:sz w:val="18"/>
          <w:szCs w:val="18"/>
          <w:color w:val="auto"/>
        </w:rPr>
      </w:pPr>
    </w:p>
    <w:p>
      <w:pPr>
        <w:ind w:left="1960" w:right="240" w:hanging="655"/>
        <w:spacing w:after="0" w:line="277" w:lineRule="auto"/>
        <w:tabs>
          <w:tab w:leader="none" w:pos="19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rate of return from one or more of the funds provided for in (a) above.</w:t>
      </w:r>
    </w:p>
    <w:p>
      <w:pPr>
        <w:spacing w:after="0" w:line="17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Stable Return Fund Measure.</w:t>
      </w:r>
    </w:p>
    <w:p>
      <w:pPr>
        <w:spacing w:after="0" w:line="166"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the first paragraph of Section 5.2 shall be amended to read as follows:</w:t>
      </w:r>
    </w:p>
    <w:p>
      <w:pPr>
        <w:spacing w:after="0" w:line="229" w:lineRule="exact"/>
        <w:rPr>
          <w:sz w:val="20"/>
          <w:szCs w:val="20"/>
          <w:color w:val="auto"/>
        </w:rPr>
      </w:pPr>
    </w:p>
    <w:p>
      <w:pPr>
        <w:ind w:left="660" w:right="580" w:firstLine="648"/>
        <w:spacing w:after="0" w:line="264" w:lineRule="auto"/>
        <w:rPr>
          <w:sz w:val="20"/>
          <w:szCs w:val="20"/>
          <w:color w:val="auto"/>
        </w:rPr>
      </w:pPr>
      <w:r>
        <w:rPr>
          <w:rFonts w:ascii="Arial" w:cs="Arial" w:eastAsia="Arial" w:hAnsi="Arial"/>
          <w:sz w:val="18"/>
          <w:szCs w:val="18"/>
          <w:color w:val="auto"/>
        </w:rPr>
        <w:t>Except as provided in Sections 5.3, 5.4, 5.5, and 5.6 hereof, the amount of the Participant’s deferred compensation account shall be distributed on the Participant’s retirement, resignation or termination from employment with the Company, or on the disability or death of the Participant, whichever occurs first. Distributions shall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45" w:gutter="0" w:footer="0" w:header="0"/>
        </w:sectPr>
      </w:pPr>
    </w:p>
    <w:bookmarkStart w:id="55" w:name="page56"/>
    <w:bookmarkEnd w:id="55"/>
    <w:p>
      <w:pPr>
        <w:ind w:left="660" w:right="240"/>
        <w:spacing w:after="0" w:line="342" w:lineRule="auto"/>
        <w:rPr>
          <w:sz w:val="20"/>
          <w:szCs w:val="20"/>
          <w:color w:val="auto"/>
        </w:rPr>
      </w:pPr>
      <w:r>
        <w:rPr>
          <w:rFonts w:ascii="Arial" w:cs="Arial" w:eastAsia="Arial" w:hAnsi="Arial"/>
          <w:sz w:val="16"/>
          <w:szCs w:val="16"/>
          <w:color w:val="auto"/>
        </w:rPr>
        <w:t xml:space="preserve">in accordance with the Participant’s distribution election most recently filed with the Director or Assistant Corporate Secretary; provided, that any election filed </w:t>
      </w:r>
      <w:r>
        <w:rPr>
          <w:rFonts w:ascii="Arial" w:cs="Arial" w:eastAsia="Arial" w:hAnsi="Arial"/>
          <w:sz w:val="16"/>
          <w:szCs w:val="16"/>
          <w:u w:val="single" w:color="auto"/>
          <w:color w:val="auto"/>
        </w:rPr>
        <w:t>one year</w:t>
      </w:r>
      <w:r>
        <w:rPr>
          <w:rFonts w:ascii="Arial" w:cs="Arial" w:eastAsia="Arial" w:hAnsi="Arial"/>
          <w:sz w:val="16"/>
          <w:szCs w:val="16"/>
          <w:color w:val="auto"/>
        </w:rPr>
        <w:t xml:space="preserve"> or less before the date of the Participant’s retirement, resignation or termination of employment shall be disregarded.</w:t>
      </w:r>
    </w:p>
    <w:p>
      <w:pPr>
        <w:spacing w:after="0" w:line="12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Section 5.3 shall be amended to read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5.3</w:t>
      </w:r>
      <w:r>
        <w:rPr>
          <w:rFonts w:ascii="Arial" w:cs="Arial" w:eastAsia="Arial" w:hAnsi="Arial"/>
          <w:sz w:val="16"/>
          <w:szCs w:val="16"/>
          <w:b w:val="1"/>
          <w:bCs w:val="1"/>
          <w:color w:val="auto"/>
        </w:rPr>
        <w:t>Early Distributions</w:t>
      </w:r>
    </w:p>
    <w:p>
      <w:pPr>
        <w:spacing w:after="0" w:line="229" w:lineRule="exact"/>
        <w:rPr>
          <w:sz w:val="20"/>
          <w:szCs w:val="20"/>
          <w:color w:val="auto"/>
        </w:rPr>
      </w:pPr>
    </w:p>
    <w:p>
      <w:pPr>
        <w:ind w:left="660" w:right="40" w:firstLine="648"/>
        <w:spacing w:after="0" w:line="279" w:lineRule="auto"/>
        <w:rPr>
          <w:sz w:val="20"/>
          <w:szCs w:val="20"/>
          <w:color w:val="auto"/>
        </w:rPr>
      </w:pPr>
      <w:r>
        <w:rPr>
          <w:rFonts w:ascii="Arial" w:cs="Arial" w:eastAsia="Arial" w:hAnsi="Arial"/>
          <w:sz w:val="17"/>
          <w:szCs w:val="17"/>
          <w:color w:val="auto"/>
        </w:rPr>
        <w:t>A Participant may irrevocably elect to receive a distribution of all or a portion of the Participant’s account prior to retirement, resignation or termination of employment with the Company by submitting a proper form of distribution election to the Company; provided, however, that such election shall be made not later than two years prior to the Plan Year in which the early distribution is to be made and provided further that the election is subject to approval by the Committee. Distributions under this Section shall be paid in a lump sum.</w:t>
      </w:r>
    </w:p>
    <w:p>
      <w:pPr>
        <w:spacing w:after="0" w:line="167"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a new Section 5.9 shall be added as follows: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5.9</w:t>
      </w:r>
      <w:r>
        <w:rPr>
          <w:rFonts w:ascii="Arial" w:cs="Arial" w:eastAsia="Arial" w:hAnsi="Arial"/>
          <w:sz w:val="16"/>
          <w:szCs w:val="16"/>
          <w:b w:val="1"/>
          <w:bCs w:val="1"/>
          <w:color w:val="auto"/>
        </w:rPr>
        <w:t>Limitation on Election of Distribution Method</w:t>
      </w:r>
    </w:p>
    <w:p>
      <w:pPr>
        <w:spacing w:after="0" w:line="229" w:lineRule="exact"/>
        <w:rPr>
          <w:sz w:val="20"/>
          <w:szCs w:val="20"/>
          <w:color w:val="auto"/>
        </w:rPr>
      </w:pPr>
    </w:p>
    <w:p>
      <w:pPr>
        <w:ind w:left="660" w:right="640" w:firstLine="648"/>
        <w:spacing w:after="0" w:line="277" w:lineRule="auto"/>
        <w:rPr>
          <w:sz w:val="20"/>
          <w:szCs w:val="20"/>
          <w:color w:val="auto"/>
        </w:rPr>
      </w:pPr>
      <w:r>
        <w:rPr>
          <w:rFonts w:ascii="Arial" w:cs="Arial" w:eastAsia="Arial" w:hAnsi="Arial"/>
          <w:sz w:val="18"/>
          <w:szCs w:val="18"/>
          <w:color w:val="auto"/>
        </w:rPr>
        <w:t>Effective January 1, 2008, a Participant may change his or her election only one time after making an initial election with respect to distributions under this Plan.</w:t>
      </w:r>
    </w:p>
    <w:p>
      <w:pPr>
        <w:spacing w:after="0" w:line="166" w:lineRule="exact"/>
        <w:rPr>
          <w:sz w:val="20"/>
          <w:szCs w:val="20"/>
          <w:color w:val="auto"/>
        </w:rPr>
      </w:pPr>
    </w:p>
    <w:p>
      <w:pPr>
        <w:ind w:left="720" w:hanging="71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6.5 shall be added as follows: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pacing w:after="0" w:line="189" w:lineRule="exact"/>
        <w:rPr>
          <w:sz w:val="20"/>
          <w:szCs w:val="20"/>
          <w:color w:val="auto"/>
        </w:rPr>
      </w:pPr>
    </w:p>
    <w:p>
      <w:pPr>
        <w:ind w:left="660" w:right="80" w:hanging="652"/>
        <w:spacing w:after="0" w:line="282" w:lineRule="auto"/>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October 16, 2006, the name of the Plan is changed to “The Toro Company Deferred Compensation Plan,” and all references to the Plan shall be modified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12/19/2006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By:</w:t>
        <w:tab/>
        <w:t>/s/ J. Lawrence McIntyre</w:t>
      </w:r>
    </w:p>
    <w:p>
      <w:pPr>
        <w:spacing w:after="0" w:line="46" w:lineRule="exact"/>
        <w:rPr>
          <w:sz w:val="20"/>
          <w:szCs w:val="20"/>
          <w:color w:val="auto"/>
        </w:rPr>
      </w:pPr>
    </w:p>
    <w:p>
      <w:pPr>
        <w:sectPr>
          <w:pgSz w:w="11900" w:h="16838" w:orient="portrait"/>
          <w:cols w:equalWidth="0" w:num="3">
            <w:col w:w="2120" w:space="280"/>
            <w:col w:w="4180" w:space="720"/>
            <w:col w:w="4120"/>
          </w:cols>
          <w:pgMar w:left="240" w:top="368" w:right="239" w:bottom="1440" w:gutter="0" w:footer="0" w:header="0"/>
          <w:type w:val="continuous"/>
        </w:sectPr>
      </w:pPr>
    </w:p>
    <w:p>
      <w:pPr>
        <w:ind w:left="7400"/>
        <w:spacing w:after="0"/>
        <w:rPr>
          <w:sz w:val="20"/>
          <w:szCs w:val="20"/>
          <w:color w:val="auto"/>
        </w:rPr>
      </w:pPr>
      <w:r>
        <w:rPr>
          <w:rFonts w:ascii="Arial" w:cs="Arial" w:eastAsia="Arial" w:hAnsi="Arial"/>
          <w:sz w:val="16"/>
          <w:szCs w:val="16"/>
          <w:color w:val="auto"/>
        </w:rPr>
        <w:t>Its: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-116205</wp:posOffset>
            </wp:positionV>
            <wp:extent cx="57632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OFFICERS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Amendment is made to The Toro Company Deferred Compensation Plan for Officers, as previously amended and restated effective September 19, 2002 (the “Plan”). All defined terms shall have the meanings set forth in the Plan. This Amendment is effective January 1, 2005. In no event will this Amendment apply to any amounts earned and vested as of December 31, 2004. All provisions of the Plan not amended by this Amendment shall remain in full force and effect.</w:t>
      </w:r>
    </w:p>
    <w:p>
      <w:pPr>
        <w:spacing w:after="0" w:line="183"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Section 5.2(c) shall be amended to read as follows:</w:t>
      </w:r>
    </w:p>
    <w:p>
      <w:pPr>
        <w:spacing w:after="0" w:line="229" w:lineRule="exact"/>
        <w:rPr>
          <w:rFonts w:ascii="Arial" w:cs="Arial" w:eastAsia="Arial" w:hAnsi="Arial"/>
          <w:sz w:val="18"/>
          <w:szCs w:val="18"/>
          <w:b w:val="1"/>
          <w:bCs w:val="1"/>
          <w:color w:val="auto"/>
        </w:rPr>
      </w:pPr>
    </w:p>
    <w:p>
      <w:pPr>
        <w:ind w:left="1300" w:right="160" w:hanging="644"/>
        <w:spacing w:after="0" w:line="257" w:lineRule="auto"/>
        <w:tabs>
          <w:tab w:leader="none" w:pos="131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Change in Election of Method of Payment</w:t>
      </w:r>
      <w:r>
        <w:rPr>
          <w:rFonts w:ascii="Arial" w:cs="Arial" w:eastAsia="Arial" w:hAnsi="Arial"/>
          <w:sz w:val="18"/>
          <w:szCs w:val="18"/>
          <w:color w:val="auto"/>
        </w:rPr>
        <w: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at any time up to one year before the date of the Participant’s retirement from the Company; provided, however, that effective January 1, 2008, a Participant may change his or her election only one time after making an initial election.</w:t>
      </w:r>
    </w:p>
    <w:p>
      <w:pPr>
        <w:spacing w:after="0" w:line="184" w:lineRule="exact"/>
        <w:rPr>
          <w:rFonts w:ascii="Arial" w:cs="Arial" w:eastAsia="Arial" w:hAnsi="Arial"/>
          <w:sz w:val="18"/>
          <w:szCs w:val="18"/>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Section 5.3(a) shall be amended to read as follows:</w:t>
      </w:r>
    </w:p>
    <w:p>
      <w:pPr>
        <w:spacing w:after="0" w:line="229" w:lineRule="exact"/>
        <w:rPr>
          <w:rFonts w:ascii="Arial" w:cs="Arial" w:eastAsia="Arial" w:hAnsi="Arial"/>
          <w:sz w:val="18"/>
          <w:szCs w:val="18"/>
          <w:b w:val="1"/>
          <w:bCs w:val="1"/>
          <w:color w:val="auto"/>
        </w:rPr>
      </w:pPr>
    </w:p>
    <w:p>
      <w:pPr>
        <w:ind w:left="1300" w:right="120" w:hanging="644"/>
        <w:spacing w:after="0" w:line="257" w:lineRule="auto"/>
        <w:tabs>
          <w:tab w:leader="none" w:pos="131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Early Distributions</w:t>
      </w:r>
      <w:r>
        <w:rPr>
          <w:rFonts w:ascii="Arial" w:cs="Arial" w:eastAsia="Arial" w:hAnsi="Arial"/>
          <w:sz w:val="18"/>
          <w:szCs w:val="18"/>
          <w:color w:val="auto"/>
        </w:rPr>
        <w:t>. Notwithstanding Section 5.1, a Participant may irrevocably elect to receive a distribution of a portion or all of the Participant’s Performance Share Units Account, Retained Units Account and the vested portion of the Matching Units Account prior to the Participant’s death, Disability or termination of employment provided that only benefits credited to an Account for at least two years may be paid. The election shall be made on a proper Deferral Election form not later than two years prior to the year in which the early distribution is to begin and is subject to approval by the Compensation Committee.</w:t>
      </w:r>
    </w:p>
    <w:p>
      <w:pPr>
        <w:spacing w:after="0" w:line="184" w:lineRule="exact"/>
        <w:rPr>
          <w:rFonts w:ascii="Arial" w:cs="Arial" w:eastAsia="Arial" w:hAnsi="Arial"/>
          <w:sz w:val="18"/>
          <w:szCs w:val="18"/>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10.8 shall be added as follows:</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Section 409A</w:t>
      </w:r>
    </w:p>
    <w:p>
      <w:pPr>
        <w:spacing w:after="0" w:line="229" w:lineRule="exact"/>
        <w:rPr>
          <w:sz w:val="20"/>
          <w:szCs w:val="20"/>
          <w:color w:val="auto"/>
        </w:rPr>
      </w:pPr>
    </w:p>
    <w:p>
      <w:pPr>
        <w:ind w:left="660" w:right="100" w:firstLine="648"/>
        <w:spacing w:after="0" w:line="257"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680" w:right="220"/>
        <w:spacing w:after="0" w:line="277" w:lineRule="auto"/>
        <w:rPr>
          <w:sz w:val="20"/>
          <w:szCs w:val="20"/>
          <w:color w:val="auto"/>
        </w:rPr>
      </w:pPr>
      <w:r>
        <w:rPr>
          <w:rFonts w:ascii="Arial" w:cs="Arial" w:eastAsia="Arial" w:hAnsi="Arial"/>
          <w:sz w:val="18"/>
          <w:szCs w:val="18"/>
          <w:color w:val="auto"/>
        </w:rPr>
        <w:t>predistribution inclusion in income of amounts deferred under the Plan and (b) the imposition of any additional tax or interest with respect thereto. * *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tabs>
          <w:tab w:leader="none" w:pos="1540" w:val="left"/>
          <w:tab w:leader="none" w:pos="54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12/19/2006</w:t>
      </w:r>
      <w:r>
        <w:rPr>
          <w:sz w:val="20"/>
          <w:szCs w:val="20"/>
          <w:color w:val="auto"/>
        </w:rPr>
        <w:tab/>
      </w:r>
      <w:r>
        <w:rPr>
          <w:rFonts w:ascii="Arial" w:cs="Arial" w:eastAsia="Arial" w:hAnsi="Arial"/>
          <w:sz w:val="16"/>
          <w:szCs w:val="16"/>
          <w:color w:val="auto"/>
        </w:rPr>
        <w:t>By:  /s/ J. Lawrence McIntyre</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-130810</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NON-EMPLOYEE DIRECTORS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This Amendment is made to The Toro Company Deferred Compensation Plan for Non-Employee Directors, as previously amended and restated effective July 20, 2000 (the “Plan”). All defined terms shall have the meanings set forth in the Plan. This Amendment is effective October 16, 2006, unless otherwise stated herein. In no event will this Amendment apply to any amounts earned and vested as of December 31, 2004. All provisions of the Plan not amended by this Amendment shall remain in full force and effect.</w:t>
      </w:r>
    </w:p>
    <w:p>
      <w:pPr>
        <w:spacing w:after="0" w:line="183"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Section 3.1(a) shall be amended to read as follows:</w:t>
      </w:r>
    </w:p>
    <w:p>
      <w:pPr>
        <w:spacing w:after="0" w:line="229" w:lineRule="exact"/>
        <w:rPr>
          <w:rFonts w:ascii="Arial" w:cs="Arial" w:eastAsia="Arial" w:hAnsi="Arial"/>
          <w:sz w:val="18"/>
          <w:szCs w:val="18"/>
          <w:b w:val="1"/>
          <w:bCs w:val="1"/>
          <w:color w:val="auto"/>
        </w:rPr>
      </w:pPr>
    </w:p>
    <w:p>
      <w:pPr>
        <w:ind w:left="1920" w:hanging="615"/>
        <w:spacing w:after="0"/>
        <w:tabs>
          <w:tab w:leader="none" w:pos="1920"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Cash Account.</w:t>
      </w:r>
    </w:p>
    <w:p>
      <w:pPr>
        <w:spacing w:after="0" w:line="225" w:lineRule="exact"/>
        <w:rPr>
          <w:sz w:val="20"/>
          <w:szCs w:val="20"/>
          <w:color w:val="auto"/>
        </w:rPr>
      </w:pPr>
    </w:p>
    <w:p>
      <w:pPr>
        <w:ind w:left="660" w:right="200" w:firstLine="645"/>
        <w:spacing w:after="0" w:line="279" w:lineRule="auto"/>
        <w:tabs>
          <w:tab w:leader="none" w:pos="156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Participant’s Cash Account shall be credited with Directors Fees deferred pursuant to a valid Deferral Election and shall be further credited with earnings (which may include losses in principal value) at a rate and in a manner authorized by the Committee from time to time; provided that beginning January 1, 2007, and until changed by subsequent action of the Committee, the earnings rate for all Participants (except as otherwise provided in (ii) below) shall be based on a Participant’s selection from the following funds</w:t>
      </w:r>
      <w:r>
        <w:rPr>
          <w:rFonts w:ascii="Arial" w:cs="Arial" w:eastAsia="Arial" w:hAnsi="Arial"/>
          <w:sz w:val="17"/>
          <w:szCs w:val="17"/>
          <w:u w:val="single" w:color="auto"/>
          <w:color w:val="auto"/>
        </w:rPr>
        <w: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Century Large Company Value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Funds Growth Fund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Artisan Mid Cap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Diversified International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ICM Small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Mid Cap Value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Prime Money Market Fund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STI Class Small Cap Growth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Total Bond Index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Vanguard Institutional Index</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a Change in Control, the method for determining the earnings rate may be changed at any time, at the discretion of the Committee.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Change in Control, the Trustee shall have authority to change the method for determining the earnings rate.</w:t>
      </w:r>
    </w:p>
    <w:p>
      <w:pPr>
        <w:spacing w:after="0" w:line="211" w:lineRule="exact"/>
        <w:rPr>
          <w:sz w:val="20"/>
          <w:szCs w:val="20"/>
          <w:color w:val="auto"/>
        </w:rPr>
      </w:pPr>
    </w:p>
    <w:p>
      <w:pPr>
        <w:ind w:left="660" w:right="560" w:firstLine="645"/>
        <w:spacing w:after="0" w:line="277" w:lineRule="auto"/>
        <w:tabs>
          <w:tab w:leader="none" w:pos="16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the foregoing provisions in paragraph (i) above, all current Participants shall be given a one-time election, until October 31, 2006, to:</w:t>
      </w:r>
    </w:p>
    <w:p>
      <w:pPr>
        <w:spacing w:after="0" w:line="170" w:lineRule="exact"/>
        <w:rPr>
          <w:sz w:val="20"/>
          <w:szCs w:val="20"/>
          <w:color w:val="auto"/>
        </w:rPr>
      </w:pPr>
    </w:p>
    <w:p>
      <w:pPr>
        <w:ind w:left="1960" w:right="400" w:hanging="655"/>
        <w:spacing w:after="0" w:line="277" w:lineRule="auto"/>
        <w:tabs>
          <w:tab w:leader="none" w:pos="19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Toro Company Stable Return Fund Measure;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960" w:right="260" w:hanging="655"/>
        <w:spacing w:after="0" w:line="277" w:lineRule="auto"/>
        <w:tabs>
          <w:tab w:leader="none" w:pos="19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Allocate all funds in all accounts, past and future, so that the earnings rate is based on the rate of return from one or more of the funds provided for in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If such a Participant does not make an election, the earnings rate applicable to all of such Participant’s accounts, past and future, shall be based on the Stable Return Fund Measure.</w:t>
      </w:r>
    </w:p>
    <w:p>
      <w:pPr>
        <w:spacing w:after="0" w:line="16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Section 4.2(b) shall be amended to read as follows:</w:t>
      </w:r>
    </w:p>
    <w:p>
      <w:pPr>
        <w:spacing w:after="0" w:line="229" w:lineRule="exact"/>
        <w:rPr>
          <w:rFonts w:ascii="Arial" w:cs="Arial" w:eastAsia="Arial" w:hAnsi="Arial"/>
          <w:sz w:val="18"/>
          <w:szCs w:val="18"/>
          <w:b w:val="1"/>
          <w:bCs w:val="1"/>
          <w:color w:val="auto"/>
        </w:rPr>
      </w:pPr>
    </w:p>
    <w:p>
      <w:pPr>
        <w:ind w:left="660" w:right="140" w:firstLine="645"/>
        <w:spacing w:after="0" w:line="272" w:lineRule="auto"/>
        <w:tabs>
          <w:tab w:leader="none" w:pos="1939"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Subject to the following sentence, an election may be changed to an allowable alternative payment period by submitting a new election to the Committee, in a form approved by the Committee, provided that an election submitted less than one year before the distribution is to commence shall not be given effect. Effective January 1, 2008, a Participant may change his or her election only one time after making an initial election with respect to distributions under this Plan. Subject to the foregoing, the most recent effective election received by the Committee shall govern the payment. If a Participant does not make a valid election with respect to the payment of benefits, then such benefits shall be payable in a single distribution. The single distribution shall be made, or installment payments shall commence, on or around the 15th day of January immediately after the calendar year in which the Participant retires.</w:t>
      </w:r>
    </w:p>
    <w:p>
      <w:pPr>
        <w:spacing w:after="0" w:line="173" w:lineRule="exact"/>
        <w:rPr>
          <w:rFonts w:ascii="Arial" w:cs="Arial" w:eastAsia="Arial" w:hAnsi="Arial"/>
          <w:sz w:val="17"/>
          <w:szCs w:val="17"/>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 new Section 6.5 shall be added as follows:</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Section 409A</w:t>
      </w:r>
    </w:p>
    <w:p>
      <w:pPr>
        <w:spacing w:after="0" w:line="229"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The Plan is intended to comply with Section 409A of the Code and any official regulations or other guidance issued thereunder, to the extent Section 409A is applicable to the Plan. Notwithstanding any other provision of the Plan, the Plan shall be interpreted, operated and administered in a manner consistent with such intention, and shall be deemed to be amended (and any deferrals and distributions thereunder shall be deemed to be modified) to the extent the Company deems necessary to comply with Section 409A and any official regulations or other guidance issued thereunder and to avoid (a) the predistribution inclusion in income of amounts deferred under the Plan and (b) the imposition of any additional tax or interest with respect thereto.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caused this Amendment to be executed on the date indicated below.</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20"/>
          </w:cols>
          <w:pgMar w:left="240" w:top="121" w:right="239" w:bottom="0" w:gutter="0" w:footer="0" w:header="0"/>
        </w:sectPr>
      </w:pPr>
    </w:p>
    <w:bookmarkStart w:id="58" w:name="page59"/>
    <w:bookmarkEnd w:id="58"/>
    <w:p>
      <w:pPr>
        <w:spacing w:after="0"/>
        <w:tabs>
          <w:tab w:leader="none" w:pos="860" w:val="left"/>
          <w:tab w:leader="none" w:pos="4780" w:val="left"/>
          <w:tab w:leader="none" w:pos="5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12/19/2006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Lawrence McIntyre</w:t>
      </w:r>
    </w:p>
    <w:p>
      <w:pPr>
        <w:spacing w:after="0" w:line="23"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Its: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-130810</wp:posOffset>
            </wp:positionV>
            <wp:extent cx="52743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363855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59" w:name="page60"/>
    <w:bookmarkEnd w:id="59"/>
    <w:p>
      <w:pPr>
        <w:ind w:left="10400"/>
        <w:spacing w:after="0"/>
        <w:rPr>
          <w:sz w:val="20"/>
          <w:szCs w:val="20"/>
          <w:color w:val="auto"/>
        </w:rPr>
      </w:pPr>
      <w:r>
        <w:rPr>
          <w:rFonts w:ascii="Arial" w:cs="Arial" w:eastAsia="Arial" w:hAnsi="Arial"/>
          <w:sz w:val="18"/>
          <w:szCs w:val="18"/>
          <w:b w:val="1"/>
          <w:bCs w:val="1"/>
          <w:color w:val="auto"/>
        </w:rPr>
        <w:t>Exhibit 10.u</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 AGREEMENT</w:t>
      </w:r>
    </w:p>
    <w:p>
      <w:pPr>
        <w:sectPr>
          <w:pgSz w:w="11900" w:h="16838" w:orient="portrait"/>
          <w:cols w:equalWidth="0" w:num="1">
            <w:col w:w="11420"/>
          </w:cols>
          <w:pgMar w:left="240" w:top="118" w:right="239" w:bottom="0" w:gutter="0" w:footer="0" w:header="0"/>
        </w:sectPr>
      </w:pPr>
    </w:p>
    <w:p>
      <w:pPr>
        <w:spacing w:after="0" w:line="232" w:lineRule="exact"/>
        <w:rPr>
          <w:sz w:val="20"/>
          <w:szCs w:val="20"/>
          <w:color w:val="auto"/>
        </w:rPr>
      </w:pPr>
    </w:p>
    <w:p>
      <w:pPr>
        <w:jc w:val="center"/>
        <w:ind w:left="780"/>
        <w:spacing w:after="0"/>
        <w:rPr>
          <w:sz w:val="20"/>
          <w:szCs w:val="20"/>
          <w:color w:val="auto"/>
        </w:rPr>
      </w:pPr>
      <w:r>
        <w:rPr>
          <w:rFonts w:ascii="Arial" w:cs="Arial" w:eastAsia="Arial" w:hAnsi="Arial"/>
          <w:sz w:val="17"/>
          <w:szCs w:val="17"/>
          <w:color w:val="auto"/>
        </w:rPr>
        <w:t>AGREEMENT, effective as of</w:t>
      </w:r>
    </w:p>
    <w:p>
      <w:pPr>
        <w:spacing w:after="0" w:line="7"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between THE TORO COMPANY, a Delaware corporation (“Toro”), and</w:t>
      </w:r>
    </w:p>
    <w:p>
      <w:pPr>
        <w:spacing w:after="0" w:line="412" w:lineRule="exact"/>
        <w:rPr>
          <w:sz w:val="20"/>
          <w:szCs w:val="20"/>
          <w:color w:val="auto"/>
        </w:rPr>
      </w:pPr>
    </w:p>
    <w:p>
      <w:pPr>
        <w:sectPr>
          <w:pgSz w:w="11900" w:h="16838" w:orient="portrait"/>
          <w:cols w:equalWidth="0" w:num="2">
            <w:col w:w="4080" w:space="720"/>
            <w:col w:w="6620"/>
          </w:cols>
          <w:pgMar w:left="240" w:top="118" w:right="239" w:bottom="0" w:gutter="0" w:footer="0" w:header="0"/>
          <w:type w:val="continuous"/>
        </w:sectPr>
      </w:pPr>
    </w:p>
    <w:p>
      <w:pPr>
        <w:ind w:left="1300" w:right="2240"/>
        <w:spacing w:after="0" w:line="469" w:lineRule="auto"/>
        <w:rPr>
          <w:sz w:val="20"/>
          <w:szCs w:val="20"/>
          <w:color w:val="auto"/>
        </w:rPr>
      </w:pPr>
      <w:r>
        <w:rPr>
          <w:rFonts w:ascii="Arial" w:cs="Arial" w:eastAsia="Arial" w:hAnsi="Arial"/>
          <w:sz w:val="18"/>
          <w:szCs w:val="18"/>
          <w:color w:val="auto"/>
        </w:rPr>
        <w:t>WHEREAS, it is essential to Toro to retain and attract as directors the most capable persons available; WHEREAS, Director is a member of the Board of Directors of Toro;</w:t>
      </w:r>
    </w:p>
    <w:p>
      <w:pPr>
        <w:spacing w:after="0" w:line="1" w:lineRule="exact"/>
        <w:rPr>
          <w:sz w:val="20"/>
          <w:szCs w:val="20"/>
          <w:color w:val="auto"/>
        </w:rPr>
      </w:pPr>
    </w:p>
    <w:p>
      <w:pPr>
        <w:ind w:right="300" w:firstLine="1297"/>
        <w:spacing w:after="0" w:line="246" w:lineRule="auto"/>
        <w:rPr>
          <w:sz w:val="20"/>
          <w:szCs w:val="20"/>
          <w:color w:val="auto"/>
        </w:rPr>
      </w:pPr>
      <w:r>
        <w:rPr>
          <w:rFonts w:ascii="Arial" w:cs="Arial" w:eastAsia="Arial" w:hAnsi="Arial"/>
          <w:sz w:val="18"/>
          <w:szCs w:val="18"/>
          <w:color w:val="auto"/>
        </w:rPr>
        <w:t>WHEREAS, both Toro and Director recognize the increased risk of litigation and other claims being asserted against directors of public companies in today’s environment;</w:t>
      </w:r>
    </w:p>
    <w:p>
      <w:pPr>
        <w:spacing w:after="0" w:line="183" w:lineRule="exact"/>
        <w:rPr>
          <w:sz w:val="20"/>
          <w:szCs w:val="20"/>
          <w:color w:val="auto"/>
        </w:rPr>
      </w:pPr>
    </w:p>
    <w:p>
      <w:pPr>
        <w:ind w:right="720" w:firstLine="1297"/>
        <w:spacing w:after="0" w:line="275" w:lineRule="auto"/>
        <w:rPr>
          <w:sz w:val="20"/>
          <w:szCs w:val="20"/>
          <w:color w:val="auto"/>
        </w:rPr>
      </w:pPr>
      <w:r>
        <w:rPr>
          <w:rFonts w:ascii="Arial" w:cs="Arial" w:eastAsia="Arial" w:hAnsi="Arial"/>
          <w:sz w:val="17"/>
          <w:szCs w:val="17"/>
          <w:color w:val="auto"/>
        </w:rPr>
        <w:t>WHEREAS, basic protection against undue risk of personal liability of Toro directors heretofore has been provided through insurance coverage providing reasonable protection at reasonable cost, and Director has relied on the availability of such coverage;</w:t>
      </w:r>
    </w:p>
    <w:p>
      <w:pPr>
        <w:spacing w:after="0" w:line="160" w:lineRule="exact"/>
        <w:rPr>
          <w:sz w:val="20"/>
          <w:szCs w:val="20"/>
          <w:color w:val="auto"/>
        </w:rPr>
      </w:pPr>
    </w:p>
    <w:p>
      <w:pPr>
        <w:ind w:right="300" w:firstLine="1297"/>
        <w:spacing w:after="0" w:line="246" w:lineRule="auto"/>
        <w:rPr>
          <w:sz w:val="20"/>
          <w:szCs w:val="20"/>
          <w:color w:val="auto"/>
        </w:rPr>
      </w:pPr>
      <w:r>
        <w:rPr>
          <w:rFonts w:ascii="Arial" w:cs="Arial" w:eastAsia="Arial" w:hAnsi="Arial"/>
          <w:sz w:val="18"/>
          <w:szCs w:val="18"/>
          <w:color w:val="auto"/>
        </w:rPr>
        <w:t>WHEREAS, Toro’s Certificate of Incorporation requires Toro to indemnify and advance expenses to its directors to the full extent permitted by law, and Director has been serving and continues to serve as a director of Toro in part in reliance on such provisions;</w:t>
      </w:r>
    </w:p>
    <w:p>
      <w:pPr>
        <w:spacing w:after="0" w:line="183" w:lineRule="exact"/>
        <w:rPr>
          <w:sz w:val="20"/>
          <w:szCs w:val="20"/>
          <w:color w:val="auto"/>
        </w:rPr>
      </w:pPr>
    </w:p>
    <w:p>
      <w:pPr>
        <w:ind w:right="40" w:firstLine="1297"/>
        <w:spacing w:after="0" w:line="238" w:lineRule="auto"/>
        <w:rPr>
          <w:sz w:val="20"/>
          <w:szCs w:val="20"/>
          <w:color w:val="auto"/>
        </w:rPr>
      </w:pPr>
      <w:r>
        <w:rPr>
          <w:rFonts w:ascii="Arial" w:cs="Arial" w:eastAsia="Arial" w:hAnsi="Arial"/>
          <w:sz w:val="18"/>
          <w:szCs w:val="18"/>
          <w:color w:val="auto"/>
        </w:rPr>
        <w:t>WHEREAS, in recognition of Director’s need for substantial protection against personal liability in order to enhance Director’s continued service to Toro in an effective manner, and of Director’s reliance on the aforesaid provision in Toro’s Certificate of Incorporation, and in part to provide Director with specific contractual assurance that the protection promised by such provision will be available to Director (regardless of, among other things, any amendment to or revocation of such provision of the Certificate of Incorporation, any change in the composition of Toro’s Board of Directors or the occurrence of any acquisition transaction relating to Toro); and</w:t>
      </w:r>
    </w:p>
    <w:p>
      <w:pPr>
        <w:spacing w:after="0" w:line="189" w:lineRule="exact"/>
        <w:rPr>
          <w:sz w:val="20"/>
          <w:szCs w:val="20"/>
          <w:color w:val="auto"/>
        </w:rPr>
      </w:pPr>
    </w:p>
    <w:p>
      <w:pPr>
        <w:ind w:right="60" w:firstLine="1297"/>
        <w:spacing w:after="0"/>
        <w:rPr>
          <w:sz w:val="20"/>
          <w:szCs w:val="20"/>
          <w:color w:val="auto"/>
        </w:rPr>
      </w:pPr>
      <w:r>
        <w:rPr>
          <w:rFonts w:ascii="Arial" w:cs="Arial" w:eastAsia="Arial" w:hAnsi="Arial"/>
          <w:sz w:val="18"/>
          <w:szCs w:val="18"/>
          <w:color w:val="auto"/>
        </w:rPr>
        <w:t>WHEREAS, Toro wishes to provide in this Agreement for the effective indemnification of and the advancing of expenses to Director to the fullest extent (whether partial or complete) permitted by law and as set forth in this Agreement and, to the extent insurance is maintained, for the continued coverage of Director under Toro’s director and officer liability insurance policies;</w:t>
      </w:r>
    </w:p>
    <w:p>
      <w:pPr>
        <w:spacing w:after="0" w:line="189" w:lineRule="exact"/>
        <w:rPr>
          <w:sz w:val="20"/>
          <w:szCs w:val="20"/>
          <w:color w:val="auto"/>
        </w:rPr>
      </w:pPr>
    </w:p>
    <w:p>
      <w:pPr>
        <w:ind w:firstLine="1297"/>
        <w:spacing w:after="0" w:line="246" w:lineRule="auto"/>
        <w:rPr>
          <w:sz w:val="20"/>
          <w:szCs w:val="20"/>
          <w:color w:val="auto"/>
        </w:rPr>
      </w:pPr>
      <w:r>
        <w:rPr>
          <w:rFonts w:ascii="Arial" w:cs="Arial" w:eastAsia="Arial" w:hAnsi="Arial"/>
          <w:sz w:val="18"/>
          <w:szCs w:val="18"/>
          <w:color w:val="auto"/>
        </w:rPr>
        <w:t>NOW THEREFORE, in consideration of the premises and of Director continuing to serve Toro directly or, at its request, with another enterprise, and intending to be legally bound hereby, the parties hereto agree as follows:</w:t>
      </w:r>
    </w:p>
    <w:p>
      <w:pPr>
        <w:spacing w:after="0" w:line="161"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p>
    <w:p>
      <w:pPr>
        <w:spacing w:after="0" w:line="220" w:lineRule="exact"/>
        <w:rPr>
          <w:rFonts w:ascii="Arial" w:cs="Arial" w:eastAsia="Arial" w:hAnsi="Arial"/>
          <w:sz w:val="18"/>
          <w:szCs w:val="18"/>
          <w:color w:val="auto"/>
        </w:rPr>
      </w:pPr>
    </w:p>
    <w:p>
      <w:pPr>
        <w:ind w:right="140" w:firstLine="656"/>
        <w:spacing w:after="0" w:line="237" w:lineRule="auto"/>
        <w:tabs>
          <w:tab w:leader="none" w:pos="95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Change in Control: shall be deemed to have occurred if (i) during any period of two consecutive calendar years, individuals who at the beginning of such period constitute the Board of Directors of Toro and any new director whose election by the Board of Directors or nomination for election by Toro’s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 (ii) the stockholders of Toro approve a merger or consolidation of Toro with any other corporation, other than a merger or consolidation which would result in the Voting Securities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Toro outstanding immediately prior thereto continuing to represent (either by remaining outstanding or by being converted into Voting Securities of the surviving entity) at least 80% of the total voting power represented by the Voting Securities of Toro or such surviving entity outstanding immediately after such merger or consolidation, or the stockholders of Toro approve a plan of complete liquidation of Toro or an agreement for the sale or disposition by Toro of all or substantially all of Toro’s assets; provided, however, that a would-be Change in Control under Section 1(a)(ii) which is approved by a majority of the directors on Toro’s Board of Directors who were directors prior thereto shall not be deemed a Change in Control.</w:t>
      </w:r>
    </w:p>
    <w:p>
      <w:pPr>
        <w:spacing w:after="0" w:line="192" w:lineRule="exact"/>
        <w:rPr>
          <w:sz w:val="20"/>
          <w:szCs w:val="20"/>
          <w:color w:val="auto"/>
        </w:rPr>
      </w:pPr>
    </w:p>
    <w:p>
      <w:pPr>
        <w:ind w:right="200" w:firstLine="656"/>
        <w:spacing w:after="0"/>
        <w:tabs>
          <w:tab w:leader="none" w:pos="9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Claim: any threatened, pending or completed action, suit or proceeding, or any inquiry or investigation, whether conducted by Toro or any other party, that Director in good faith believes might lead to the institution of any such action, suit or proceeding, whether civil, criminal, administrative, investigative or other.</w:t>
      </w:r>
    </w:p>
    <w:p>
      <w:pPr>
        <w:spacing w:after="0" w:line="189" w:lineRule="exact"/>
        <w:rPr>
          <w:rFonts w:ascii="Arial" w:cs="Arial" w:eastAsia="Arial" w:hAnsi="Arial"/>
          <w:sz w:val="18"/>
          <w:szCs w:val="18"/>
          <w:color w:val="auto"/>
        </w:rPr>
      </w:pPr>
    </w:p>
    <w:p>
      <w:pPr>
        <w:ind w:right="120" w:firstLine="656"/>
        <w:spacing w:after="0"/>
        <w:tabs>
          <w:tab w:leader="none" w:pos="9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89" w:lineRule="exact"/>
        <w:rPr>
          <w:rFonts w:ascii="Arial" w:cs="Arial" w:eastAsia="Arial" w:hAnsi="Arial"/>
          <w:sz w:val="18"/>
          <w:szCs w:val="18"/>
          <w:color w:val="auto"/>
        </w:rPr>
      </w:pPr>
    </w:p>
    <w:p>
      <w:pPr>
        <w:ind w:right="20" w:firstLine="656"/>
        <w:spacing w:after="0"/>
        <w:tabs>
          <w:tab w:leader="none" w:pos="9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Indemnifiable Event: any event or occurrence related to the fact that Director is or was a director, officer, employee, agent or fiduciary of Toro, or is or was serving at the request of Toro as a director, officer, employee, trustee, agent or fiduciary of another corporation, partnership, joint venture, employee benefit plan, trust or other enterprise, or did not do anything in any such capacity.</w:t>
      </w:r>
    </w:p>
    <w:p>
      <w:pPr>
        <w:spacing w:after="0" w:line="189" w:lineRule="exact"/>
        <w:rPr>
          <w:rFonts w:ascii="Arial" w:cs="Arial" w:eastAsia="Arial" w:hAnsi="Arial"/>
          <w:sz w:val="18"/>
          <w:szCs w:val="18"/>
          <w:color w:val="auto"/>
        </w:rPr>
      </w:pPr>
    </w:p>
    <w:p>
      <w:pPr>
        <w:ind w:right="20" w:firstLine="656"/>
        <w:spacing w:after="0" w:line="237" w:lineRule="auto"/>
        <w:tabs>
          <w:tab w:leader="none" w:pos="9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Potential Change in Control: shall be deemed to have occurred if (i) Toro enters into an agreement, the consummation of which would result in the occurrence of a Change in Control; (ii) any person or entity (including Toro) publicly announces an intention to take, or to consider taking, actions which if consummated would constitute a Change in Control; (iii) any person or entity, other than a trustee or other fiduciary holding securities under an employee benefit plan of Toro or any of its subsidiaries, is or becomes the beneficial owner, directly or indirectly, of securities of Toro representing 15% or more of the combined voting power of Toro’s then outstanding Voting Securities or (iv) the Board adopts a resolution to the effect that, for purposes of this Agreement, a Potential Change in Control has occurred.</w:t>
      </w:r>
    </w:p>
    <w:p>
      <w:pPr>
        <w:spacing w:after="0" w:line="191" w:lineRule="exact"/>
        <w:rPr>
          <w:rFonts w:ascii="Arial" w:cs="Arial" w:eastAsia="Arial" w:hAnsi="Arial"/>
          <w:sz w:val="18"/>
          <w:szCs w:val="18"/>
          <w:color w:val="auto"/>
        </w:rPr>
      </w:pPr>
    </w:p>
    <w:p>
      <w:pPr>
        <w:ind w:right="140" w:firstLine="656"/>
        <w:spacing w:after="0" w:line="239" w:lineRule="auto"/>
        <w:tabs>
          <w:tab w:leader="none" w:pos="9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Party: any appropriate person or body consisting of a member or members of Toro’s Board of Directors or any other person or body appointed by the Board (including Special Independent Counsel) who is not a party to the particular Claim for which Director is seeking indemnification. If there has not been a Change in Control, the Reviewing Party shall be selected by Toro’s Board of Directors. If there has been such a Change in Control, the Reviewing Party shall be Special Independent Counsel.</w:t>
      </w:r>
    </w:p>
    <w:p>
      <w:pPr>
        <w:spacing w:after="0" w:line="188" w:lineRule="exact"/>
        <w:rPr>
          <w:rFonts w:ascii="Arial" w:cs="Arial" w:eastAsia="Arial" w:hAnsi="Arial"/>
          <w:sz w:val="18"/>
          <w:szCs w:val="18"/>
          <w:color w:val="auto"/>
        </w:rPr>
      </w:pPr>
    </w:p>
    <w:p>
      <w:pPr>
        <w:ind w:right="80" w:firstLine="656"/>
        <w:spacing w:after="0" w:line="257" w:lineRule="auto"/>
        <w:tabs>
          <w:tab w:leader="none" w:pos="9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Special Independent Counsel: counsel selected by Director and approved by Toro (which approval shall not be unreasonably withheld) and who has not, unless waived by Toro and Director, otherwise performed services for (i) Toro or Director within the last ten (10) years or (ii) any other party to a proceeding giving rise to a claim for indemnification hereunder. Notwithstanding the foregoing, the term “Special Independent Counsel” shall not include any person who under the applicable standards of professional conduct then prevailing, would have a</w:t>
      </w:r>
    </w:p>
    <w:p>
      <w:pPr>
        <w:sectPr>
          <w:pgSz w:w="11900" w:h="16838" w:orient="portrait"/>
          <w:cols w:equalWidth="0" w:num="1">
            <w:col w:w="11420"/>
          </w:cols>
          <w:pgMar w:left="240" w:top="118" w:right="239" w:bottom="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 in representing either Toro or Director in an action to determine Director’s rights under this Agreement.</w:t>
      </w:r>
    </w:p>
    <w:p>
      <w:pPr>
        <w:spacing w:after="0" w:line="198" w:lineRule="exact"/>
        <w:rPr>
          <w:sz w:val="20"/>
          <w:szCs w:val="20"/>
          <w:color w:val="auto"/>
        </w:rPr>
      </w:pPr>
    </w:p>
    <w:p>
      <w:pPr>
        <w:ind w:left="960" w:hanging="304"/>
        <w:spacing w:after="0"/>
        <w:tabs>
          <w:tab w:leader="none" w:pos="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Voting Securities: any securities of Toro which have the right to vote generally in the election of directors.</w:t>
      </w:r>
    </w:p>
    <w:p>
      <w:pPr>
        <w:spacing w:after="0" w:line="176" w:lineRule="exact"/>
        <w:rPr>
          <w:rFonts w:ascii="Arial" w:cs="Arial" w:eastAsia="Arial" w:hAnsi="Arial"/>
          <w:sz w:val="18"/>
          <w:szCs w:val="18"/>
          <w:color w:val="auto"/>
        </w:rPr>
      </w:pPr>
    </w:p>
    <w:p>
      <w:pPr>
        <w:ind w:left="640" w:hanging="632"/>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Basic Indemnification Arrangement.</w:t>
      </w:r>
    </w:p>
    <w:p>
      <w:pPr>
        <w:spacing w:after="0" w:line="220" w:lineRule="exact"/>
        <w:rPr>
          <w:rFonts w:ascii="Arial" w:cs="Arial" w:eastAsia="Arial" w:hAnsi="Arial"/>
          <w:sz w:val="18"/>
          <w:szCs w:val="18"/>
          <w:color w:val="auto"/>
        </w:rPr>
      </w:pPr>
    </w:p>
    <w:p>
      <w:pPr>
        <w:ind w:firstLine="656"/>
        <w:spacing w:after="0" w:line="253" w:lineRule="auto"/>
        <w:tabs>
          <w:tab w:leader="none" w:pos="95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the event Director was, is or becomes a party to or witness or other participant in, or is threatened to be made a party to or witness or other participant in, a Claim by reason of (or arising in part out of) an Indemnifiable Event, Toro shall indemnify Director to the fullest extent permitted by law as soon as practicable but in any event not later than thirty days after written demand is presented to Toro, against any and all Expenses, judgments, fines, penalties and amounts paid or owing with respect to or in settlement of (including all interest, assessments and other charges paid or payable in connection with or in respect of such Expenses, judgments, fines, penalties or amounts) such Claim. Director shall give Toro written notice of all such Claims and the particulars thereof as soon as practicable; provided, however, that the failure to give such notice shall not affect the right of Director to indemnity hereunder unless such failure has materially and adversely affected the rights of Toro.</w:t>
      </w:r>
    </w:p>
    <w:p>
      <w:pPr>
        <w:spacing w:after="0" w:line="178" w:lineRule="exact"/>
        <w:rPr>
          <w:rFonts w:ascii="Arial" w:cs="Arial" w:eastAsia="Arial" w:hAnsi="Arial"/>
          <w:sz w:val="17"/>
          <w:szCs w:val="17"/>
          <w:color w:val="auto"/>
        </w:rPr>
      </w:pPr>
    </w:p>
    <w:p>
      <w:pPr>
        <w:ind w:right="460" w:firstLine="656"/>
        <w:spacing w:after="0" w:line="246" w:lineRule="auto"/>
        <w:tabs>
          <w:tab w:leader="none" w:pos="95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so requested by Director, Toro shall advance (within ten business days of such request) any and all Expenses, judgments, fines, penalties and amounts paid or owing with respect to or in settlement of any Claim to Director (an “Expense Advance”).</w:t>
      </w:r>
    </w:p>
    <w:p>
      <w:pPr>
        <w:spacing w:after="0" w:line="179" w:lineRule="exact"/>
        <w:rPr>
          <w:rFonts w:ascii="Arial" w:cs="Arial" w:eastAsia="Arial" w:hAnsi="Arial"/>
          <w:sz w:val="18"/>
          <w:szCs w:val="18"/>
          <w:color w:val="auto"/>
        </w:rPr>
      </w:pPr>
    </w:p>
    <w:p>
      <w:pPr>
        <w:ind w:left="960" w:hanging="304"/>
        <w:spacing w:after="0"/>
        <w:tabs>
          <w:tab w:leader="none" w:pos="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 prior to a Change in Control, Director shall not be entitled to</w:t>
      </w:r>
    </w:p>
    <w:p>
      <w:pPr>
        <w:spacing w:after="0" w:line="251" w:lineRule="auto"/>
        <w:rPr>
          <w:rFonts w:ascii="Arial" w:cs="Arial" w:eastAsia="Arial" w:hAnsi="Arial"/>
          <w:sz w:val="18"/>
          <w:szCs w:val="18"/>
          <w:color w:val="auto"/>
        </w:rPr>
      </w:pPr>
      <w:r>
        <w:rPr>
          <w:rFonts w:ascii="Arial" w:cs="Arial" w:eastAsia="Arial" w:hAnsi="Arial"/>
          <w:sz w:val="17"/>
          <w:szCs w:val="17"/>
          <w:color w:val="auto"/>
        </w:rPr>
        <w:t>indemnification pursuant to this Agreement in connection with any Claim (other than a claim for indemnification) initiated by Director against Toro or any director or officer of Toro unless Toro has joined in or consented to the initiation of such Claim, (ii) the obligations of Toro under Section 2(a) shall be subject to the condition that the Reviewing Party shall not have determined in a writing stating the reasons therefor that Director would not be permitted to be indemnified under applicable law, and (iii) the obligation of Toro to make an Expense Advance pursuant to Section 2(b) shall be subject to the condition that, if, when and to the extent the Reviewing Party determines that Director would not be permitted to be indemnified under applicable law, Toro shall be entitled to be reimbursed by Director (who hereby agrees to reimburse Toro) for all such amounts theretofore paid; provided, however, that if Director has commenced legal proceedings in a court of competent jurisdiction to secure a determination that Director should be indemnified under applicable law, any determination made by the Reviewing Party that Director would not be permitted to be indemnified under applicable law shall not be binding and Director shall not be required to reimburse Toro for any Expense Advance until a final judicial determination is made with respect thereto (as to which all rights of appeal therefrom have been exhausted or lapsed).</w:t>
      </w:r>
    </w:p>
    <w:p>
      <w:pPr>
        <w:spacing w:after="0" w:line="184" w:lineRule="exact"/>
        <w:rPr>
          <w:rFonts w:ascii="Arial" w:cs="Arial" w:eastAsia="Arial" w:hAnsi="Arial"/>
          <w:sz w:val="18"/>
          <w:szCs w:val="18"/>
          <w:color w:val="auto"/>
        </w:rPr>
      </w:pPr>
    </w:p>
    <w:p>
      <w:pPr>
        <w:jc w:val="both"/>
        <w:ind w:right="140" w:firstLine="656"/>
        <w:spacing w:after="0" w:line="239" w:lineRule="auto"/>
        <w:tabs>
          <w:tab w:leader="none" w:pos="95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the Reviewing Party determines that Director would not be permitted to be indemnified in whole or in part under applicable law (such determination to be made by the Reviewing Party independent of any position of Toro on any aspect of the indemnification including but not limited to the appropriateness of the amount of any settlement), Director shall have the right to commence litigation in any court, in the states of Delaware or Minnesota or the state(s) of Director’s residence or employment, having subject matter jurisdiction thereof, and 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which venue is proper, seeking an initial determination by the court or challenging any such determination by the Reviewing Party or any aspect thereof and Toro hereby consents to service of process and to appear in any such proceeding. Any determination by the Reviewing Party otherwise shall be conclusive and binding on Toro and Director.</w:t>
      </w:r>
    </w:p>
    <w:p>
      <w:pPr>
        <w:spacing w:after="0" w:line="189" w:lineRule="exact"/>
        <w:rPr>
          <w:sz w:val="20"/>
          <w:szCs w:val="20"/>
          <w:color w:val="auto"/>
        </w:rPr>
      </w:pPr>
    </w:p>
    <w:p>
      <w:pPr>
        <w:ind w:right="100" w:firstLine="656"/>
        <w:spacing w:after="0" w:line="275" w:lineRule="auto"/>
        <w:tabs>
          <w:tab w:leader="none" w:pos="95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Any Expenses incurred by Director in cooperating with the Reviewing Party shall be borne by Toro (irrespective of the determination as to Director’s entitlement to indemnification pursuant to Section 2(a) and Toro hereby indemnifies and agrees to hold Director harmless therefrom.</w:t>
      </w:r>
    </w:p>
    <w:p>
      <w:pPr>
        <w:spacing w:after="0" w:line="137" w:lineRule="exact"/>
        <w:rPr>
          <w:rFonts w:ascii="Arial" w:cs="Arial" w:eastAsia="Arial" w:hAnsi="Arial"/>
          <w:sz w:val="17"/>
          <w:szCs w:val="17"/>
          <w:color w:val="auto"/>
        </w:rPr>
      </w:pPr>
    </w:p>
    <w:p>
      <w:pPr>
        <w:ind w:left="640" w:hanging="632"/>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22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If a Change in Control occurs, then with respect to all matters thereafter arising concerning the rights of Director to indemnity payments and Expense Advances under this Agreement or any other agreement, or Toro’s Certificate of Incorporation or Bylaws now or hereafter in effect, relating to Claims for Indemnifiable Events, Toro shall seek legal advice only from Special Independent Counsel. Such counsel, among other things, shall render its written opinion to Toro and Director as to whether and to what extent Director would be permitted to be indemnified under applicable law. Toro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w:t>
      </w:r>
    </w:p>
    <w:p>
      <w:pPr>
        <w:spacing w:after="0" w:line="168"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Establishment of Trust</w:t>
      </w:r>
      <w:r>
        <w:rPr>
          <w:rFonts w:ascii="Arial" w:cs="Arial" w:eastAsia="Arial" w:hAnsi="Arial"/>
          <w:sz w:val="18"/>
          <w:szCs w:val="18"/>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Nature of Trust.</w:t>
      </w:r>
    </w:p>
    <w:p>
      <w:pPr>
        <w:spacing w:after="0" w:line="19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the event of a Potential Change in Control, Toro shall, upon written request by Director, create a Trust for the benefit of Director and from time to time, upon written request of Director, shall fund such Trust in an amount sufficient to satisfy any and all Expenses reasonably anticipated at the time of each such request to be incurred in connection with investigating, preparing for and defending any Claim relating to an Indemnifiable Event, and any and all judgments, fines, penalties and settlement amounts of any and all Claims relating to an Indemnifiable Event from time to time actually paid or claimed to be, reasonably anticipated or proposed to be paid.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Deposits in Trust.</w:t>
      </w:r>
    </w:p>
    <w:p>
      <w:pPr>
        <w:spacing w:after="0" w:line="198"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The amount or amounts to be deposited in the Trust pursuant to the foregoing funding obligation shall be determined by the Reviewing Party; provided, however, that the total amount so deposited for all such Trusts in existence at any one time shall not exceed 5% of Toro’s total net worth, on a consolidated basis, at the time the deposit is authorized. Any such Trust may, at Toro’s option, be funded by the creation of a security interest in unencumbered assets of Toro.</w:t>
      </w:r>
    </w:p>
    <w:p>
      <w:pPr>
        <w:sectPr>
          <w:pgSz w:w="11900" w:h="16838" w:orient="portrait"/>
          <w:cols w:equalWidth="0" w:num="1">
            <w:col w:w="11400"/>
          </w:cols>
          <w:pgMar w:left="240" w:top="140" w:right="259" w:bottom="225" w:gutter="0" w:footer="0" w:header="0"/>
        </w:sectPr>
      </w:pPr>
    </w:p>
    <w:bookmarkStart w:id="61" w:name="page62"/>
    <w:bookmarkEnd w:id="61"/>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Terms of Trust.</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terms of the Trust shall provide that upon a Change in Control (i) the Trust shall not be revoked or the principal thereof invaded, without the written consent of Director, (ii) the Trustee shall advance, within ten business days of a request by Director, any and all Expenses to Director (and Director hereby agrees to reimburse the Trust upon the circumstances under which Director would be required to reimburse Toro under Section 2(b) of this Agreement), (iii) the Trust shall continue to be funded by Toro in accordance with the funding obligation set forth above, (iv) the Trustee shall promptly pay to Director all amounts which Director shall be entitled to, pursuant to this Agreement or otherwise, and (v) all unexpended funds in such Trust shall revert to Toro upon a final determination by the Reviewing Party or a court of competent jurisdiction, as the case may be, that Director has been fully indemnified under the terms of this Agreement. The Trustee shall be chosen by Director. Nothing in this Section 4 shall relieve Toro of any of its obligations under this Agreement.</w:t>
      </w:r>
    </w:p>
    <w:p>
      <w:pPr>
        <w:spacing w:after="0" w:line="173"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for Additional Expenses</w:t>
      </w:r>
      <w:r>
        <w:rPr>
          <w:rFonts w:ascii="Arial" w:cs="Arial" w:eastAsia="Arial" w:hAnsi="Arial"/>
          <w:sz w:val="18"/>
          <w:szCs w:val="18"/>
          <w:color w:val="auto"/>
        </w:rPr>
        <w:t>.</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Toro shall indemnify Director against any and all expenses (including attorneys’ fees) and, if requested by Director, shall, within ten business days of such request, advance such expenses to Director which are incurred by Director in connection with any claim asserted against or action brought by Director for (i) indemnification hereunder or advance payment of Expenses by Toro under this Agreement (or any other agreement or Toro’s Certificate of Incorporation or Bylaws now or hereafter in effect) relating to Claims for Indemnifiable Events and/or (ii) recovery under any director and officer liability insurance policies maintained by Toro, regardless of whether Director ultimately is determined to be entitled to such indemnification, advance expense payment or insurance recovery, as the case may be.</w:t>
      </w:r>
    </w:p>
    <w:p>
      <w:pPr>
        <w:spacing w:after="0" w:line="170"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Selection of Counsel and Settlement Authority.</w:t>
      </w:r>
    </w:p>
    <w:p>
      <w:pPr>
        <w:spacing w:after="0" w:line="220" w:lineRule="exact"/>
        <w:rPr>
          <w:rFonts w:ascii="Arial" w:cs="Arial" w:eastAsia="Arial" w:hAnsi="Arial"/>
          <w:sz w:val="18"/>
          <w:szCs w:val="18"/>
          <w:color w:val="auto"/>
        </w:rPr>
      </w:pPr>
    </w:p>
    <w:p>
      <w:pPr>
        <w:ind w:right="40" w:firstLine="656"/>
        <w:spacing w:after="0" w:line="237" w:lineRule="auto"/>
        <w:tabs>
          <w:tab w:leader="none" w:pos="95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no Change in Control has occurred, Toro shall have the right to participate at its own expense in any Claim against Director with respect to an Indemnifiable Event and to assume the defense thereof with counsel satisfactory to Director. Director shall have the right to employ separate counsel in any such Claim and the fees and expenses of such separate counsel shall be borne by Director; provided, that, all fees and expenses of such separate counsel shall be borne by Toro if: (i) Toro shall have authorized the engagement of such separate counsel, (ii) Toro shall have failed to employ any counsel to represent Director in such matter, or (iii) such separate counsel shall have reasonably advised Director that there may be a conflict of interest between Director and Toro in the defense or investigation of such matter.</w:t>
      </w:r>
    </w:p>
    <w:p>
      <w:pPr>
        <w:spacing w:after="0" w:line="191" w:lineRule="exact"/>
        <w:rPr>
          <w:rFonts w:ascii="Arial" w:cs="Arial" w:eastAsia="Arial" w:hAnsi="Arial"/>
          <w:sz w:val="18"/>
          <w:szCs w:val="18"/>
          <w:color w:val="auto"/>
        </w:rPr>
      </w:pPr>
    </w:p>
    <w:p>
      <w:pPr>
        <w:ind w:right="100" w:firstLine="656"/>
        <w:spacing w:after="0" w:line="237" w:lineRule="auto"/>
        <w:tabs>
          <w:tab w:leader="none" w:pos="95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no Change in Control has occurred, Director shall not independently negotiate settlement without first giving the Reviewing Party and Toro twenty business days’ notice. Thereafter, Director may engage in such negotiations and may settle the case unless the Reviewing Party and outside counsel for Toro handling the case (in cases where outside counsel is used) advise Director that they have investigated the Director’s involvement in the event and have determined that the matter is appropriate and legal for indemnity and all judgments, expenses and costs will, if lawful, be paid by Toro. The Reviewing Party and such counsel shall also give Director notice, at the time a determination is made, of any later reversal stating the reasons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therefor of the prior determination of the Reviewing Party and such counsel, after which notice Director may independently negotiate and settle the case.</w:t>
      </w:r>
    </w:p>
    <w:p>
      <w:pPr>
        <w:spacing w:after="0" w:line="183" w:lineRule="exact"/>
        <w:rPr>
          <w:sz w:val="20"/>
          <w:szCs w:val="20"/>
          <w:color w:val="auto"/>
        </w:rPr>
      </w:pPr>
    </w:p>
    <w:p>
      <w:pPr>
        <w:ind w:right="20" w:firstLine="656"/>
        <w:spacing w:after="0" w:line="239" w:lineRule="auto"/>
        <w:tabs>
          <w:tab w:leader="none" w:pos="94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a Change in Control has occurred, Director shall have the right to employ separate counsel in any Claim against Director with respect to an Indemnifiable Event at the expense of Toro and the right to independently negotiate settlement unless Special Independent Counsel shall have reasonably advised Director that there is no conflict of interest between Director and Toro in the defense or investigation of such matter; in which case the provisions of Sections 6 (a) and 6 (b) shall be controlling.</w:t>
      </w:r>
    </w:p>
    <w:p>
      <w:pPr>
        <w:spacing w:after="0" w:line="188" w:lineRule="exact"/>
        <w:rPr>
          <w:rFonts w:ascii="Arial" w:cs="Arial" w:eastAsia="Arial" w:hAnsi="Arial"/>
          <w:sz w:val="18"/>
          <w:szCs w:val="18"/>
          <w:color w:val="auto"/>
        </w:rPr>
      </w:pPr>
    </w:p>
    <w:p>
      <w:pPr>
        <w:ind w:left="960" w:hanging="304"/>
        <w:spacing w:after="0"/>
        <w:tabs>
          <w:tab w:leader="none" w:pos="9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any case, Toro shall not unreasonably withhold its consent to any proposed settlement.</w:t>
      </w:r>
    </w:p>
    <w:p>
      <w:pPr>
        <w:spacing w:after="0" w:line="176" w:lineRule="exact"/>
        <w:rPr>
          <w:rFonts w:ascii="Arial" w:cs="Arial" w:eastAsia="Arial" w:hAnsi="Arial"/>
          <w:sz w:val="18"/>
          <w:szCs w:val="18"/>
          <w:color w:val="auto"/>
        </w:rPr>
      </w:pPr>
    </w:p>
    <w:p>
      <w:pPr>
        <w:ind w:left="640" w:hanging="632"/>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Partial Indemnity</w:t>
      </w:r>
      <w:r>
        <w:rPr>
          <w:rFonts w:ascii="Arial" w:cs="Arial" w:eastAsia="Arial" w:hAnsi="Arial"/>
          <w:sz w:val="18"/>
          <w:szCs w:val="18"/>
          <w:color w:val="auto"/>
        </w:rPr>
        <w:t>.</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If Director is entitled under any provision of this Agreement to indemnification by Toro for some or a portion of the Expenses, judgments, fines, penalties and amounts paid with respect to settlement of a Claim but not, however, for all of the total amount thereof, Toro shall nevertheless indemnify Director for the portion thereof to which Director is entitled. Moreover, notwithstanding any other provision of this Agreement, to the extent that Director has been successful on the merits or otherwise in defense of any or all Claims relating in whole or in part to an Indemnifiable Event or in defense of any issue or matter therein, including dismissal without prejudice, Director shall be indemnified against all Expenses incurred in connection therewith. In connection with any determination by the Reviewing Party as to whether Director is entitled to be indemnified hereunder, the burden of proof shall be on Toro to establish that Director is not so entitled.</w:t>
      </w:r>
    </w:p>
    <w:p>
      <w:pPr>
        <w:spacing w:after="0" w:line="168" w:lineRule="exact"/>
        <w:rPr>
          <w:sz w:val="20"/>
          <w:szCs w:val="20"/>
          <w:color w:val="auto"/>
        </w:rPr>
      </w:pPr>
    </w:p>
    <w:p>
      <w:pPr>
        <w:ind w:left="640" w:hanging="632"/>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No Presumption.</w:t>
      </w:r>
    </w:p>
    <w:p>
      <w:pPr>
        <w:spacing w:after="0" w:line="220"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7"/>
          <w:szCs w:val="17"/>
          <w:color w:val="auto"/>
        </w:rPr>
        <w:t>For purposes of this Agreement, the termination of any claim, action, suit or proceeding, by judgment, order, settlement (with or without court approval) or conviction, or upon a plea of nolo contendere, or its equivalent, shall not create a presumption that Director did not meet any particular standard of conduct or have any particular belief or that a court has determined that indemnification is not permitted by applicable law. The termination of a suit by settlement shall be presumed to be a disposition favorable to Director and in the best interests of Toro.</w:t>
      </w:r>
    </w:p>
    <w:p>
      <w:pPr>
        <w:spacing w:after="0" w:line="154"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Non-Exclusivity.</w:t>
      </w:r>
    </w:p>
    <w:p>
      <w:pPr>
        <w:spacing w:after="0" w:line="220"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8"/>
          <w:szCs w:val="18"/>
          <w:color w:val="auto"/>
        </w:rPr>
        <w:t>The rights of Director hereunder shall be in addition to, and not exclusive of, any other rights Director may have or hereafter acquired under Toro’s Certificate of Incorporation, its Bylaws, the Delaware General Corporation Law, vote of stockholders or disinterested directors, any other law or agreement or otherwise. To the extent that a change in applicable law (whether by statute or judicial decision) permits greater indemnification by agreement than would be afforded at the date of this Agreement, it is the intent of the parties hereto that Director shall enjoy by this Agreement the greater benefits so afforded by such change.</w:t>
      </w:r>
    </w:p>
    <w:p>
      <w:pPr>
        <w:sectPr>
          <w:pgSz w:w="11900" w:h="16856" w:orient="portrait"/>
          <w:cols w:equalWidth="0" w:num="1">
            <w:col w:w="11420"/>
          </w:cols>
          <w:pgMar w:left="240" w:top="140" w:right="239" w:bottom="0" w:gutter="0" w:footer="0" w:header="0"/>
        </w:sectPr>
      </w:pPr>
    </w:p>
    <w:bookmarkStart w:id="62" w:name="page63"/>
    <w:bookmarkEnd w:id="62"/>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Liability Insurance.</w:t>
      </w:r>
    </w:p>
    <w:p>
      <w:pPr>
        <w:spacing w:after="0" w:line="220"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To the extent Toro maintains an insurance policy or policies providing director and officer liability insurance, Director shall be covered by such policy or policies, in accordance with its or their terms, to the maximum extent of the coverage available for any Toro director or officer.</w:t>
      </w:r>
    </w:p>
    <w:p>
      <w:pPr>
        <w:spacing w:after="0" w:line="138"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Period of Limitations.</w:t>
      </w:r>
    </w:p>
    <w:p>
      <w:pPr>
        <w:spacing w:after="0" w:line="220"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No legal action shall be brought and no cause of action shall be asserted by or on behalf of Toro or any affiliate of Toro against Director, Director’s spouse, heirs, executors or personal or legal representatives after the expiration of two years from the date Director ceases (for any reason) to serve in all of the capacities covered by this Agreement, and any claim or cause of action of Toro or its affiliate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6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p>
    <w:p>
      <w:pPr>
        <w:spacing w:after="0" w:line="220"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No supplement, modification or amendment of this Agreement, and no waiver of any provision hereof,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67"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Subrogation.</w:t>
      </w:r>
    </w:p>
    <w:p>
      <w:pPr>
        <w:spacing w:after="0" w:line="22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the event of payment under this Agreement, Toro shall be subrogated to the extent of such payment to all of the rights of recovery of Director, who shall execute all papers required and shall do everything that may be necessary to enable Toro effectively to bring suit to enforce such rights.</w:t>
      </w:r>
    </w:p>
    <w:p>
      <w:pPr>
        <w:spacing w:after="0" w:line="167"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No Duplication of Payments.</w:t>
      </w:r>
    </w:p>
    <w:p>
      <w:pPr>
        <w:spacing w:after="0" w:line="220" w:lineRule="exact"/>
        <w:rPr>
          <w:sz w:val="20"/>
          <w:szCs w:val="20"/>
          <w:color w:val="auto"/>
        </w:rPr>
      </w:pPr>
    </w:p>
    <w:p>
      <w:pPr>
        <w:ind w:right="460" w:firstLine="648"/>
        <w:spacing w:after="0"/>
        <w:rPr>
          <w:sz w:val="20"/>
          <w:szCs w:val="20"/>
          <w:color w:val="auto"/>
        </w:rPr>
      </w:pPr>
      <w:r>
        <w:rPr>
          <w:rFonts w:ascii="Arial" w:cs="Arial" w:eastAsia="Arial" w:hAnsi="Arial"/>
          <w:sz w:val="18"/>
          <w:szCs w:val="18"/>
          <w:color w:val="auto"/>
        </w:rPr>
        <w:t>Toro shall not be liable under this Agreement to make any payment in connection with any claim made against Director to the extent Director has otherwise actually received payment (under any insurance policy, Toro’s Certificate of Incorporation or Bylaws or otherwise) of the amounts otherwise indemnifiable hereunder.</w:t>
      </w:r>
    </w:p>
    <w:p>
      <w:pPr>
        <w:spacing w:after="0" w:line="167"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Binding Effect.</w:t>
      </w:r>
    </w:p>
    <w:p>
      <w:pPr>
        <w:spacing w:after="0" w:line="220"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Toro), assigns, spouses, heirs, and personal and legal representatives.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p>
    <w:p>
      <w:pPr>
        <w:spacing w:after="0" w:line="22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This Agreement shall continue until and terminate upon the later of: (a) ten (10) years after the date that Director shall have ceased to serve Toro in all capacities covered by this Agreement; or (b) the final termination of all pending Claims with respect to Indemnifiable Events and of any proceedings commenced by Director pursuant to this Agreement or otherwise relating thereto.</w:t>
      </w:r>
    </w:p>
    <w:p>
      <w:pPr>
        <w:spacing w:after="0" w:line="16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p>
    <w:p>
      <w:pPr>
        <w:spacing w:after="0" w:line="220"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spacing w:after="0" w:line="167"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All notices, requests, demands and other communications hereunder shall be in writing and shall be deemed to have been duly given if (i) delivered by hand and receipted for by the party to whom said notice or other communication shall have been directed on the day on which it is so delivered, or (ii) mailed by certified or registered mail with postage prepaid, on the third business day after the date on which it is so mailed, if to Director to his then current address and if to Toro, to The Toro Company, 8111 Lyndale Avenue South, Bloomington, Minnesota 55420, Attention: J. Lawrence McIntyre, Vice President, Secretary and General Counsel, or to such other address as may have been furnished to Director by Toro or to Toro by Director, as the case may be.</w:t>
      </w:r>
    </w:p>
    <w:p>
      <w:pPr>
        <w:spacing w:after="0" w:line="170"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This Agreement shall be governed and construed and enforced in accordance with the laws of the State of Delaware applicable to contracts made and to be performed in such state, without giving effect to the principles of conflicts of laws.</w:t>
      </w:r>
    </w:p>
    <w:p>
      <w:pPr>
        <w:spacing w:after="0" w:line="386" w:lineRule="exact"/>
        <w:rPr>
          <w:sz w:val="20"/>
          <w:szCs w:val="20"/>
          <w:color w:val="auto"/>
        </w:rPr>
      </w:pPr>
    </w:p>
    <w:p>
      <w:pPr>
        <w:spacing w:after="0"/>
        <w:tabs>
          <w:tab w:leader="none" w:pos="2360" w:val="left"/>
          <w:tab w:leader="none" w:pos="3960" w:val="left"/>
          <w:tab w:leader="none" w:pos="4500" w:val="left"/>
        </w:tabs>
        <w:rPr>
          <w:sz w:val="20"/>
          <w:szCs w:val="20"/>
          <w:color w:val="auto"/>
        </w:rPr>
      </w:pPr>
      <w:r>
        <w:rPr>
          <w:rFonts w:ascii="Arial" w:cs="Arial" w:eastAsia="Arial" w:hAnsi="Arial"/>
          <w:sz w:val="18"/>
          <w:szCs w:val="18"/>
          <w:color w:val="auto"/>
        </w:rPr>
        <w:t>Executed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w:t>
      </w:r>
    </w:p>
    <w:p>
      <w:pPr>
        <w:sectPr>
          <w:pgSz w:w="11900" w:h="16852" w:orient="portrait"/>
          <w:cols w:equalWidth="0" w:num="1">
            <w:col w:w="11400"/>
          </w:cols>
          <w:pgMar w:left="240" w:top="773" w:right="259" w:bottom="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By:</w:t>
      </w:r>
    </w:p>
    <w:p>
      <w:pPr>
        <w:jc w:val="right"/>
        <w:ind w:right="3639"/>
        <w:spacing w:after="0"/>
        <w:rPr>
          <w:sz w:val="20"/>
          <w:szCs w:val="20"/>
          <w:color w:val="auto"/>
        </w:rPr>
      </w:pPr>
      <w:r>
        <w:rPr>
          <w:rFonts w:ascii="Arial" w:cs="Arial" w:eastAsia="Arial" w:hAnsi="Arial"/>
          <w:sz w:val="18"/>
          <w:szCs w:val="18"/>
          <w:color w:val="auto"/>
        </w:rPr>
        <w:t>SS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-1905</wp:posOffset>
            </wp:positionV>
            <wp:extent cx="12179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-130175</wp:posOffset>
            </wp:positionV>
            <wp:extent cx="69380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64" w:name="page65"/>
    <w:bookmarkEnd w:id="64"/>
    <w:p>
      <w:pPr>
        <w:ind w:left="10460"/>
        <w:spacing w:after="0"/>
        <w:rPr>
          <w:sz w:val="20"/>
          <w:szCs w:val="20"/>
          <w:color w:val="auto"/>
        </w:rPr>
      </w:pPr>
      <w:r>
        <w:rPr>
          <w:rFonts w:ascii="Arial" w:cs="Arial" w:eastAsia="Arial" w:hAnsi="Arial"/>
          <w:sz w:val="18"/>
          <w:szCs w:val="18"/>
          <w:b w:val="1"/>
          <w:bCs w:val="1"/>
          <w:color w:val="auto"/>
        </w:rPr>
        <w:t>EXHIBIT 12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10/31/2006</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10/31/2005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10/31/2004</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10/31/2003</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10/31/2002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before income taxes and cumulative effect of</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192,754,000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170,272,000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153,233,000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120,918,000</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86,799,000</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Plus: Fixed charges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24,153,987</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24,298,000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22,004,000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22,251,000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25,324,000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available to cover fixed charges</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216,907,987</w:t>
            </w:r>
          </w:p>
        </w:tc>
        <w:tc>
          <w:tcPr>
            <w:tcW w:w="4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194,570,000</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175,237,000</w:t>
            </w:r>
          </w:p>
        </w:tc>
        <w:tc>
          <w:tcPr>
            <w:tcW w:w="4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143,169,000</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112,123,000</w:t>
            </w: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Ratio of earnings to fixed charges</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8.98</w:t>
            </w:r>
          </w:p>
        </w:tc>
        <w:tc>
          <w:tcPr>
            <w:tcW w:w="3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8.01</w:t>
            </w:r>
          </w:p>
        </w:tc>
        <w:tc>
          <w:tcPr>
            <w:tcW w:w="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7.96</w:t>
            </w:r>
          </w:p>
        </w:tc>
        <w:tc>
          <w:tcPr>
            <w:tcW w:w="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w:t>
            </w:r>
          </w:p>
        </w:tc>
        <w:tc>
          <w:tcPr>
            <w:tcW w:w="2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17,672,000</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17,733,000</w:t>
            </w: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15,523,000</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16,285,000</w:t>
            </w:r>
          </w:p>
        </w:tc>
        <w:tc>
          <w:tcPr>
            <w:tcW w:w="2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19,747,000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Rentals (interest expense)</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6,481,987</w:t>
            </w:r>
          </w:p>
        </w:tc>
        <w:tc>
          <w:tcPr>
            <w:tcW w:w="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6,565,000</w:t>
            </w: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6,481,000</w:t>
            </w: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5,966,000</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5,577,000</w:t>
            </w: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Total fixed charges</w:t>
            </w: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24,153,987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24,298,000</w:t>
            </w:r>
          </w:p>
        </w:tc>
        <w:tc>
          <w:tcPr>
            <w:tcW w:w="2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22,004,000</w:t>
            </w:r>
          </w:p>
        </w:tc>
        <w:tc>
          <w:tcPr>
            <w:tcW w:w="4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22,251,000</w:t>
            </w:r>
          </w:p>
        </w:tc>
        <w:tc>
          <w:tcPr>
            <w:tcW w:w="28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25,324,000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0" w:type="dxa"/>
            <w:vAlign w:val="bottom"/>
            <w:tcBorders>
              <w:bottom w:val="single" w:sz="8" w:color="010101"/>
            </w:tcBorders>
          </w:tcPr>
          <w:p>
            <w:pPr>
              <w:spacing w:after="0"/>
              <w:rPr>
                <w:sz w:val="24"/>
                <w:szCs w:val="24"/>
                <w:color w:val="auto"/>
              </w:rPr>
            </w:pPr>
          </w:p>
        </w:tc>
        <w:tc>
          <w:tcPr>
            <w:tcW w:w="44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3"/>
          </w:tcPr>
          <w:p>
            <w:pPr>
              <w:ind w:left="12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82"/>
        </w:trPr>
        <w:tc>
          <w:tcPr>
            <w:tcW w:w="3780" w:type="dxa"/>
            <w:vAlign w:val="bottom"/>
          </w:tcPr>
          <w:p>
            <w:pPr>
              <w:spacing w:after="0"/>
              <w:rPr>
                <w:sz w:val="24"/>
                <w:szCs w:val="24"/>
                <w:color w:val="auto"/>
              </w:rPr>
            </w:pPr>
          </w:p>
        </w:tc>
        <w:tc>
          <w:tcPr>
            <w:tcW w:w="548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99"/>
              </w:rPr>
              <w:t>THE TORO COMPANY AND SUBSIDIARIES</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p>
        </w:tc>
        <w:tc>
          <w:tcPr>
            <w:tcW w:w="548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99"/>
              </w:rPr>
              <w:t>Subsidiaries of Registrant</w:t>
            </w:r>
          </w:p>
        </w:tc>
        <w:tc>
          <w:tcPr>
            <w:tcW w:w="1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260" w:type="dxa"/>
            <w:vAlign w:val="bottom"/>
            <w:gridSpan w:val="5"/>
          </w:tcPr>
          <w:p>
            <w:pPr>
              <w:spacing w:after="0"/>
              <w:rPr>
                <w:sz w:val="20"/>
                <w:szCs w:val="20"/>
                <w:color w:val="auto"/>
              </w:rPr>
            </w:pPr>
            <w:r>
              <w:rPr>
                <w:rFonts w:ascii="Arial" w:cs="Arial" w:eastAsia="Arial" w:hAnsi="Arial"/>
                <w:sz w:val="18"/>
                <w:szCs w:val="18"/>
                <w:color w:val="auto"/>
              </w:rPr>
              <w:t>The following are significant subsidiaries of The Toro Company as of December 15, 2006.</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State or Other Jurisdiction</w:t>
            </w:r>
          </w:p>
        </w:tc>
        <w:tc>
          <w:tcPr>
            <w:tcW w:w="2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Percentage of Voting</w:t>
            </w:r>
          </w:p>
        </w:tc>
        <w:tc>
          <w:tcPr>
            <w:tcW w:w="0" w:type="dxa"/>
            <w:vAlign w:val="bottom"/>
          </w:tcPr>
          <w:p>
            <w:pPr>
              <w:spacing w:after="0"/>
              <w:rPr>
                <w:sz w:val="1"/>
                <w:szCs w:val="1"/>
                <w:color w:val="auto"/>
              </w:rPr>
            </w:pPr>
          </w:p>
        </w:tc>
      </w:tr>
      <w:tr>
        <w:trPr>
          <w:trHeight w:val="149"/>
        </w:trPr>
        <w:tc>
          <w:tcPr>
            <w:tcW w:w="3780" w:type="dxa"/>
            <w:vAlign w:val="bottom"/>
            <w:tcBorders>
              <w:bottom w:val="single" w:sz="8" w:color="auto"/>
            </w:tcBorders>
            <w:vMerge w:val="continue"/>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140" w:type="dxa"/>
            <w:vAlign w:val="bottom"/>
            <w:tcBorders>
              <w:bottom w:val="single" w:sz="8" w:color="auto"/>
            </w:tcBorders>
          </w:tcPr>
          <w:p>
            <w:pPr>
              <w:jc w:val="right"/>
              <w:ind w:right="431"/>
              <w:spacing w:after="0" w:line="149" w:lineRule="exact"/>
              <w:rPr>
                <w:sz w:val="20"/>
                <w:szCs w:val="20"/>
                <w:color w:val="auto"/>
              </w:rPr>
            </w:pPr>
            <w:r>
              <w:rPr>
                <w:rFonts w:ascii="Arial" w:cs="Arial" w:eastAsia="Arial" w:hAnsi="Arial"/>
                <w:sz w:val="14"/>
                <w:szCs w:val="14"/>
                <w:b w:val="1"/>
                <w:bCs w:val="1"/>
                <w:color w:val="auto"/>
              </w:rPr>
              <w:t>of Incorporation</w:t>
            </w:r>
          </w:p>
        </w:tc>
        <w:tc>
          <w:tcPr>
            <w:tcW w:w="340" w:type="dxa"/>
            <w:vAlign w:val="bottom"/>
            <w:tcBorders>
              <w:bottom w:val="single" w:sz="8" w:color="CCEEFF"/>
            </w:tcBorders>
          </w:tcPr>
          <w:p>
            <w:pPr>
              <w:spacing w:after="0"/>
              <w:rPr>
                <w:sz w:val="12"/>
                <w:szCs w:val="12"/>
                <w:color w:val="auto"/>
              </w:rPr>
            </w:pPr>
          </w:p>
        </w:tc>
        <w:tc>
          <w:tcPr>
            <w:tcW w:w="18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Securities Owned</w:t>
            </w:r>
          </w:p>
        </w:tc>
        <w:tc>
          <w:tcPr>
            <w:tcW w:w="3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Exmark Manufacturing Company Incorporated</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Nebraska</w:t>
            </w:r>
          </w:p>
        </w:tc>
        <w:tc>
          <w:tcPr>
            <w:tcW w:w="3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Hayter Holdings Limited</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United Kingdom</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Hayter Limited</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United Kingdom</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Irritrol Systems Europe, S.r.L.</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Italy</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Irritrol Systems Europe Productions, S.r.L.</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Italy</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MTI Distributing, Inc.</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 Iron Insurance, Limited</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Bermuda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Australia Pty. Limited</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Australia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Australia Group Sales Pty. Ltd</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Australia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Briggs &amp; Stratton LLC</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Wisconsin</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Credit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Europe BVBA</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Belgium</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Factoring Company Limited</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Guernsey</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Finance Company</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California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Finance Co. GmbH</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Switzerland</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France</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France</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Hayter LLP</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United Kingdom</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Hayter (Guernsey) Limited</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Guernsey</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LLC</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Delaware</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Mexico Holdings, LLC</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International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Manufacturing LLC</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Delaware</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Purchasing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R&amp;D Company</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Receivables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Sales Company</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Warranty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Toro World Trade GmbH</w:t>
            </w:r>
          </w:p>
        </w:tc>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Switzerland</w:t>
            </w:r>
          </w:p>
        </w:tc>
        <w:tc>
          <w:tcPr>
            <w:tcW w:w="2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Turf Professionals Equipment Company</w:t>
            </w:r>
          </w:p>
        </w:tc>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Minnesota</w:t>
            </w:r>
          </w:p>
        </w:tc>
        <w:tc>
          <w:tcPr>
            <w:tcW w:w="2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3780" w:type="dxa"/>
            <w:vAlign w:val="bottom"/>
            <w:tcBorders>
              <w:bottom w:val="single" w:sz="8" w:color="010101"/>
            </w:tcBorders>
          </w:tcPr>
          <w:p>
            <w:pPr>
              <w:spacing w:after="0"/>
              <w:rPr>
                <w:sz w:val="24"/>
                <w:szCs w:val="24"/>
                <w:color w:val="auto"/>
              </w:rPr>
            </w:pPr>
          </w:p>
        </w:tc>
        <w:tc>
          <w:tcPr>
            <w:tcW w:w="27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consent to incorporation by reference in the Registration Statements (Nos. 333-03505, 333-44879, 333-36166, 333-47260, 333-57198, 333-89262, 333-135033, 333-119504, and 333-119506) on Form S-8 of The Toro Company of our reports dated December 22, 2006, relating to the consolidated balance sheets of The Toro Company and subsidiaries as of October 31, 2006 and 2005, and the related consolidated statements of earnings, cash flows, and changes in stockholders’ equity and related financial statement schedule for each of the years in the three year period ended October 31, 2006, management’s assessment of the effectiveness of internal control over financial reporting as of October 31, 2006, and the effectiveness of internal control over financial reporting as of October 31, 2006, which reports are included in the annual report on Form 10-K of The Toro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12" w:lineRule="exact"/>
        <w:rPr>
          <w:sz w:val="20"/>
          <w:szCs w:val="20"/>
          <w:color w:val="auto"/>
        </w:rPr>
      </w:pPr>
    </w:p>
    <w:p>
      <w:pPr>
        <w:ind w:left="260" w:hanging="252"/>
        <w:spacing w:after="0"/>
        <w:tabs>
          <w:tab w:leader="none" w:pos="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11" w:lineRule="exact"/>
        <w:rPr>
          <w:rFonts w:ascii="Arial" w:cs="Arial" w:eastAsia="Arial" w:hAnsi="Arial"/>
          <w:sz w:val="18"/>
          <w:szCs w:val="18"/>
          <w:color w:val="auto"/>
        </w:rPr>
      </w:pPr>
    </w:p>
    <w:p>
      <w:pPr>
        <w:jc w:val="both"/>
        <w:ind w:right="280" w:firstLine="8"/>
        <w:spacing w:after="0"/>
        <w:tabs>
          <w:tab w:leader="none" w:pos="2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right="660" w:firstLine="8"/>
        <w:spacing w:after="0" w:line="246" w:lineRule="auto"/>
        <w:tabs>
          <w:tab w:leader="none" w:pos="2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220" w:firstLine="8"/>
        <w:spacing w:after="0" w:line="234" w:lineRule="auto"/>
        <w:tabs>
          <w:tab w:leader="none" w:pos="2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660" w:right="240" w:hanging="328"/>
        <w:spacing w:after="0" w:line="234" w:lineRule="auto"/>
        <w:tabs>
          <w:tab w:leader="none" w:pos="70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280" w:hanging="328"/>
        <w:spacing w:after="0" w:line="234" w:lineRule="auto"/>
        <w:tabs>
          <w:tab w:leader="none" w:pos="6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 w:lineRule="exact"/>
        <w:rPr>
          <w:rFonts w:ascii="Arial" w:cs="Arial" w:eastAsia="Arial" w:hAnsi="Arial"/>
          <w:sz w:val="18"/>
          <w:szCs w:val="18"/>
          <w:color w:val="auto"/>
        </w:rPr>
      </w:pPr>
    </w:p>
    <w:p>
      <w:pPr>
        <w:ind w:left="660" w:right="220" w:hanging="328"/>
        <w:spacing w:after="0" w:line="234" w:lineRule="auto"/>
        <w:tabs>
          <w:tab w:leader="none" w:pos="69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660" w:right="40" w:hanging="328"/>
        <w:spacing w:after="0"/>
        <w:tabs>
          <w:tab w:leader="none" w:pos="6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right="640" w:firstLine="8"/>
        <w:spacing w:after="0" w:line="234" w:lineRule="auto"/>
        <w:tabs>
          <w:tab w:leader="none" w:pos="2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660" w:right="400" w:hanging="328"/>
        <w:spacing w:after="0" w:line="234" w:lineRule="auto"/>
        <w:tabs>
          <w:tab w:leader="none" w:pos="70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46" w:lineRule="auto"/>
        <w:tabs>
          <w:tab w:leader="none" w:pos="6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J. Hoffman</w:t>
      </w:r>
    </w:p>
    <w:p>
      <w:pPr>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12" w:lineRule="exact"/>
        <w:rPr>
          <w:sz w:val="20"/>
          <w:szCs w:val="20"/>
          <w:color w:val="auto"/>
        </w:rPr>
      </w:pPr>
    </w:p>
    <w:p>
      <w:pPr>
        <w:ind w:left="200" w:hanging="192"/>
        <w:spacing w:after="0"/>
        <w:tabs>
          <w:tab w:leader="none" w:pos="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11" w:lineRule="exact"/>
        <w:rPr>
          <w:rFonts w:ascii="Arial" w:cs="Arial" w:eastAsia="Arial" w:hAnsi="Arial"/>
          <w:sz w:val="18"/>
          <w:szCs w:val="18"/>
          <w:color w:val="auto"/>
        </w:rPr>
      </w:pPr>
    </w:p>
    <w:p>
      <w:pPr>
        <w:ind w:right="280" w:firstLine="8"/>
        <w:spacing w:after="0"/>
        <w:tabs>
          <w:tab w:leader="none" w:pos="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right="20" w:firstLine="8"/>
        <w:spacing w:after="0" w:line="246" w:lineRule="auto"/>
        <w:tabs>
          <w:tab w:leader="none" w:pos="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220" w:firstLine="8"/>
        <w:spacing w:after="0" w:line="234" w:lineRule="auto"/>
        <w:tabs>
          <w:tab w:leader="none" w:pos="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660" w:right="240" w:hanging="328"/>
        <w:spacing w:after="0" w:line="234" w:lineRule="auto"/>
        <w:tabs>
          <w:tab w:leader="none" w:pos="7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280" w:hanging="328"/>
        <w:spacing w:after="0" w:line="234" w:lineRule="auto"/>
        <w:tabs>
          <w:tab w:leader="none" w:pos="69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 w:lineRule="exact"/>
        <w:rPr>
          <w:rFonts w:ascii="Arial" w:cs="Arial" w:eastAsia="Arial" w:hAnsi="Arial"/>
          <w:sz w:val="18"/>
          <w:szCs w:val="18"/>
          <w:color w:val="auto"/>
        </w:rPr>
      </w:pPr>
    </w:p>
    <w:p>
      <w:pPr>
        <w:ind w:left="660" w:right="220" w:hanging="328"/>
        <w:spacing w:after="0" w:line="234" w:lineRule="auto"/>
        <w:tabs>
          <w:tab w:leader="none" w:pos="69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660" w:right="40" w:hanging="328"/>
        <w:spacing w:after="0"/>
        <w:tabs>
          <w:tab w:leader="none" w:pos="69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right="640" w:firstLine="8"/>
        <w:spacing w:after="0" w:line="234" w:lineRule="auto"/>
        <w:tabs>
          <w:tab w:leader="none" w:pos="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660" w:right="400" w:hanging="328"/>
        <w:spacing w:after="0" w:line="234" w:lineRule="auto"/>
        <w:tabs>
          <w:tab w:leader="none" w:pos="7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hanging="328"/>
        <w:spacing w:after="0" w:line="246" w:lineRule="auto"/>
        <w:tabs>
          <w:tab w:leader="none" w:pos="69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Stephen P. Wolfe</w:t>
      </w:r>
    </w:p>
    <w:p>
      <w:pPr>
        <w:spacing w:after="0" w:line="234" w:lineRule="auto"/>
        <w:rPr>
          <w:sz w:val="20"/>
          <w:szCs w:val="20"/>
          <w:color w:val="auto"/>
        </w:rPr>
      </w:pPr>
      <w:r>
        <w:rPr>
          <w:rFonts w:ascii="Arial" w:cs="Arial" w:eastAsia="Arial" w:hAnsi="Arial"/>
          <w:sz w:val="18"/>
          <w:szCs w:val="18"/>
          <w:color w:val="auto"/>
        </w:rPr>
        <w:t>Vice President Finance</w:t>
      </w:r>
    </w:p>
    <w:p>
      <w:pPr>
        <w:spacing w:after="0" w:line="235" w:lineRule="auto"/>
        <w:rPr>
          <w:sz w:val="20"/>
          <w:szCs w:val="20"/>
          <w:color w:val="auto"/>
        </w:rPr>
      </w:pPr>
      <w:r>
        <w:rPr>
          <w:rFonts w:ascii="Arial" w:cs="Arial" w:eastAsia="Arial" w:hAnsi="Arial"/>
          <w:sz w:val="18"/>
          <w:szCs w:val="18"/>
          <w:color w:val="auto"/>
        </w:rPr>
        <w:t>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234" w:lineRule="auto"/>
        <w:rPr>
          <w:sz w:val="20"/>
          <w:szCs w:val="20"/>
          <w:color w:val="auto"/>
        </w:rPr>
      </w:pPr>
      <w:r>
        <w:rPr>
          <w:rFonts w:ascii="Arial" w:cs="Arial" w:eastAsia="Arial" w:hAnsi="Arial"/>
          <w:sz w:val="18"/>
          <w:szCs w:val="18"/>
          <w:color w:val="auto"/>
        </w:rPr>
        <w:t>18 U.S.C. SECTION 1350,</w:t>
      </w:r>
    </w:p>
    <w:p>
      <w:pPr>
        <w:jc w:val="center"/>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2006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2" w:lineRule="exact"/>
        <w:rPr>
          <w:sz w:val="20"/>
          <w:szCs w:val="20"/>
          <w:color w:val="auto"/>
        </w:rPr>
      </w:pPr>
    </w:p>
    <w:p>
      <w:pPr>
        <w:ind w:left="1020" w:hanging="364"/>
        <w:spacing w:after="0"/>
        <w:tabs>
          <w:tab w:leader="none" w:pos="10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120" w:hanging="324"/>
        <w:spacing w:after="0" w:line="246" w:lineRule="auto"/>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J. Hoffman</w:t>
      </w:r>
    </w:p>
    <w:p>
      <w:pPr>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Stephen P. Wolfe</w:t>
      </w:r>
    </w:p>
    <w:p>
      <w:pPr>
        <w:spacing w:after="0" w:line="234" w:lineRule="auto"/>
        <w:rPr>
          <w:sz w:val="20"/>
          <w:szCs w:val="20"/>
          <w:color w:val="auto"/>
        </w:rPr>
      </w:pPr>
      <w:r>
        <w:rPr>
          <w:rFonts w:ascii="Arial" w:cs="Arial" w:eastAsia="Arial" w:hAnsi="Arial"/>
          <w:sz w:val="18"/>
          <w:szCs w:val="18"/>
          <w:color w:val="auto"/>
        </w:rPr>
        <w:t>Vice President Finance</w:t>
      </w:r>
    </w:p>
    <w:p>
      <w:pPr>
        <w:spacing w:after="0" w:line="235" w:lineRule="auto"/>
        <w:rPr>
          <w:sz w:val="20"/>
          <w:szCs w:val="20"/>
          <w:color w:val="auto"/>
        </w:rPr>
      </w:pPr>
      <w:r>
        <w:rPr>
          <w:rFonts w:ascii="Arial" w:cs="Arial" w:eastAsia="Arial" w:hAnsi="Arial"/>
          <w:sz w:val="18"/>
          <w:szCs w:val="18"/>
          <w:color w:val="auto"/>
        </w:rPr>
        <w:t>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2006</w:t>
      </w:r>
    </w:p>
    <w:p>
      <w:pPr>
        <w:spacing w:after="0" w:line="200" w:lineRule="exact"/>
        <w:rPr>
          <w:sz w:val="20"/>
          <w:szCs w:val="20"/>
          <w:color w:val="auto"/>
        </w:rPr>
      </w:pPr>
    </w:p>
    <w:p>
      <w:pPr>
        <w:spacing w:after="0" w:line="20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1"/>
      <w:numFmt w:val="bullet"/>
      <w:start w:val="1"/>
    </w:lvl>
  </w:abstractNum>
  <w:abstractNum w:abstractNumId="12">
    <w:nsid w:val="7BD3EE7B"/>
    <w:multiLevelType w:val="hybridMultilevel"/>
    <w:lvl w:ilvl="0">
      <w:lvlJc w:val="left"/>
      <w:lvlText w:val="2"/>
      <w:numFmt w:val="bullet"/>
      <w:start w:val="1"/>
    </w:lvl>
  </w:abstractNum>
  <w:abstractNum w:abstractNumId="13">
    <w:nsid w:val="51D9C564"/>
    <w:multiLevelType w:val="hybridMultilevel"/>
    <w:lvl w:ilvl="0">
      <w:lvlJc w:val="left"/>
      <w:lvlText w:val="1"/>
      <w:numFmt w:val="bullet"/>
      <w:start w:val="1"/>
    </w:lvl>
  </w:abstractNum>
  <w:abstractNum w:abstractNumId="14">
    <w:nsid w:val="613EFDC5"/>
    <w:multiLevelType w:val="hybridMultilevel"/>
    <w:lvl w:ilvl="0">
      <w:lvlJc w:val="left"/>
      <w:lvlText w:val="2"/>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1"/>
      <w:numFmt w:val="bullet"/>
      <w:start w:val="1"/>
    </w:lvl>
  </w:abstractNum>
  <w:abstractNum w:abstractNumId="17">
    <w:nsid w:val="42963E5A"/>
    <w:multiLevelType w:val="hybridMultilevel"/>
    <w:lvl w:ilvl="0">
      <w:lvlJc w:val="left"/>
      <w:lvlText w:val="2"/>
      <w:numFmt w:val="bullet"/>
      <w:start w:val="1"/>
    </w:lvl>
  </w:abstractNum>
  <w:abstractNum w:abstractNumId="18">
    <w:nsid w:val="A0382C5"/>
    <w:multiLevelType w:val="hybridMultilevel"/>
    <w:lvl w:ilvl="0">
      <w:lvlJc w:val="left"/>
      <w:lvlText w:val="3"/>
      <w:numFmt w:val="bullet"/>
      <w:start w:val="1"/>
    </w:lvl>
  </w:abstractNum>
  <w:abstractNum w:abstractNumId="19">
    <w:nsid w:val="8F2B15E"/>
    <w:multiLevelType w:val="hybridMultilevel"/>
    <w:lvl w:ilvl="0">
      <w:lvlJc w:val="left"/>
      <w:lvlText w:val="4"/>
      <w:numFmt w:val="bullet"/>
      <w:start w:val="1"/>
    </w:lvl>
  </w:abstractNum>
  <w:abstractNum w:abstractNumId="20">
    <w:nsid w:val="1A32234B"/>
    <w:multiLevelType w:val="hybridMultilevel"/>
    <w:lvl w:ilvl="0">
      <w:lvlJc w:val="left"/>
      <w:lvlText w:val="5"/>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1"/>
      <w:numFmt w:val="bullet"/>
      <w:start w:val="1"/>
    </w:lvl>
  </w:abstractNum>
  <w:abstractNum w:abstractNumId="67">
    <w:nsid w:val="555C55B5"/>
    <w:multiLevelType w:val="hybridMultilevel"/>
    <w:lvl w:ilvl="0">
      <w:lvlJc w:val="left"/>
      <w:lvlText w:val="2"/>
      <w:numFmt w:val="bullet"/>
      <w:start w:val="1"/>
    </w:lvl>
  </w:abstractNum>
  <w:abstractNum w:abstractNumId="68">
    <w:nsid w:val="3FA62ACA"/>
    <w:multiLevelType w:val="hybridMultilevel"/>
    <w:lvl w:ilvl="0">
      <w:lvlJc w:val="left"/>
      <w:lvlText w:val="3"/>
      <w:numFmt w:val="bullet"/>
      <w:start w:val="1"/>
    </w:lvl>
  </w:abstractNum>
  <w:abstractNum w:abstractNumId="69">
    <w:nsid w:val="14FCE74E"/>
    <w:multiLevelType w:val="hybridMultilevel"/>
    <w:lvl w:ilvl="0">
      <w:lvlJc w:val="left"/>
      <w:lvlText w:val="4"/>
      <w:numFmt w:val="bullet"/>
      <w:start w:val="1"/>
    </w:lvl>
  </w:abstractNum>
  <w:abstractNum w:abstractNumId="70">
    <w:nsid w:val="6A3DD3E8"/>
    <w:multiLevelType w:val="hybridMultilevel"/>
    <w:lvl w:ilvl="0">
      <w:lvlJc w:val="left"/>
      <w:lvlText w:val="5"/>
      <w:numFmt w:val="bullet"/>
      <w:start w:val="1"/>
    </w:lvl>
  </w:abstractNum>
  <w:abstractNum w:abstractNumId="71">
    <w:nsid w:val="71C91298"/>
    <w:multiLevelType w:val="hybridMultilevel"/>
    <w:lvl w:ilvl="0">
      <w:lvlJc w:val="left"/>
      <w:lvlText w:val="7"/>
      <w:numFmt w:val="bullet"/>
      <w:start w:val="1"/>
    </w:lvl>
  </w:abstractNum>
  <w:abstractNum w:abstractNumId="72">
    <w:nsid w:val="9DAF632"/>
    <w:multiLevelType w:val="hybridMultilevel"/>
    <w:lvl w:ilvl="0">
      <w:lvlJc w:val="left"/>
      <w:lvlText w:val="8"/>
      <w:numFmt w:val="bullet"/>
      <w:start w:val="1"/>
    </w:lvl>
  </w:abstractNum>
  <w:abstractNum w:abstractNumId="73">
    <w:nsid w:val="53299938"/>
    <w:multiLevelType w:val="hybridMultilevel"/>
    <w:lvl w:ilvl="0">
      <w:lvlJc w:val="left"/>
      <w:lvlText w:val="9"/>
      <w:numFmt w:val="bullet"/>
      <w:start w:val="1"/>
    </w:lvl>
  </w:abstractNum>
  <w:abstractNum w:abstractNumId="74">
    <w:nsid w:val="1FBFE8E0"/>
    <w:multiLevelType w:val="hybridMultilevel"/>
    <w:lvl w:ilvl="0">
      <w:lvlJc w:val="left"/>
      <w:lvlText w:val="1"/>
      <w:numFmt w:val="bullet"/>
      <w:start w:val="1"/>
    </w:lvl>
  </w:abstractNum>
  <w:abstractNum w:abstractNumId="75">
    <w:nsid w:val="5092CA79"/>
    <w:multiLevelType w:val="hybridMultilevel"/>
    <w:lvl w:ilvl="0">
      <w:lvlJc w:val="left"/>
      <w:lvlText w:val="2"/>
      <w:numFmt w:val="bullet"/>
      <w:start w:val="1"/>
    </w:lvl>
  </w:abstractNum>
  <w:abstractNum w:abstractNumId="76">
    <w:nsid w:val="1D545C4D"/>
    <w:multiLevelType w:val="hybridMultilevel"/>
    <w:lvl w:ilvl="0">
      <w:lvlJc w:val="left"/>
      <w:lvlText w:val="1"/>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1"/>
      <w:numFmt w:val="decimal"/>
      <w:start w:val="12"/>
    </w:lvl>
  </w:abstractNum>
  <w:abstractNum w:abstractNumId="81">
    <w:nsid w:val="97E1B4E"/>
    <w:multiLevelType w:val="hybridMultilevel"/>
    <w:lvl w:ilvl="0">
      <w:lvlJc w:val="left"/>
      <w:lvlText w:val="%1"/>
      <w:numFmt w:val="decimal"/>
      <w:start w:val="21"/>
    </w:lvl>
  </w:abstractNum>
  <w:abstractNum w:abstractNumId="82">
    <w:nsid w:val="51088277"/>
    <w:multiLevelType w:val="hybridMultilevel"/>
    <w:lvl w:ilvl="0">
      <w:lvlJc w:val="left"/>
      <w:lvlText w:val="%1"/>
      <w:numFmt w:val="decimal"/>
      <w:start w:val="23"/>
    </w:lvl>
  </w:abstractNum>
  <w:abstractNum w:abstractNumId="83">
    <w:nsid w:val="1CA0C5FA"/>
    <w:multiLevelType w:val="hybridMultilevel"/>
    <w:lvl w:ilvl="0">
      <w:lvlJc w:val="left"/>
      <w:lvlText w:val="%1"/>
      <w:numFmt w:val="decimal"/>
      <w:start w:val="32"/>
    </w:lvl>
  </w:abstractNum>
  <w:abstractNum w:abstractNumId="84">
    <w:nsid w:val="53584BCB"/>
    <w:multiLevelType w:val="hybridMultilevel"/>
    <w:lvl w:ilvl="0">
      <w:lvlJc w:val="left"/>
      <w:lvlText w:val="1"/>
      <w:numFmt w:val="bullet"/>
      <w:start w:val="1"/>
    </w:lvl>
  </w:abstractNum>
  <w:abstractNum w:abstractNumId="85">
    <w:nsid w:val="415E286C"/>
    <w:multiLevelType w:val="hybridMultilevel"/>
    <w:lvl w:ilvl="0">
      <w:lvlJc w:val="left"/>
      <w:lvlText w:val="2"/>
      <w:numFmt w:val="bullet"/>
      <w:start w:val="1"/>
    </w:lvl>
  </w:abstractNum>
  <w:abstractNum w:abstractNumId="86">
    <w:nsid w:val="7C58FD05"/>
    <w:multiLevelType w:val="hybridMultilevel"/>
    <w:lvl w:ilvl="0">
      <w:lvlJc w:val="left"/>
      <w:lvlText w:val="3"/>
      <w:numFmt w:val="bullet"/>
      <w:start w:val="1"/>
    </w:lvl>
  </w:abstractNum>
  <w:abstractNum w:abstractNumId="87">
    <w:nsid w:val="23D86AAC"/>
    <w:multiLevelType w:val="hybridMultilevel"/>
    <w:lvl w:ilvl="0">
      <w:lvlJc w:val="left"/>
      <w:lvlText w:val="%1."/>
      <w:numFmt w:val="decimal"/>
      <w:start w:val="1"/>
    </w:lvl>
  </w:abstractNum>
  <w:abstractNum w:abstractNumId="88">
    <w:nsid w:val="45E6D486"/>
    <w:multiLevelType w:val="hybridMultilevel"/>
    <w:lvl w:ilvl="0">
      <w:lvlJc w:val="left"/>
      <w:lvlText w:val="(%1)"/>
      <w:numFmt w:val="lowerLetter"/>
      <w:start w:val="1"/>
    </w:lvl>
  </w:abstractNum>
  <w:abstractNum w:abstractNumId="89">
    <w:nsid w:val="5C10FE21"/>
    <w:multiLevelType w:val="hybridMultilevel"/>
    <w:lvl w:ilvl="0">
      <w:lvlJc w:val="left"/>
      <w:lvlText w:val="(%1)"/>
      <w:numFmt w:val="lowerRoman"/>
      <w:start w:val="1"/>
    </w:lvl>
  </w:abstractNum>
  <w:abstractNum w:abstractNumId="90">
    <w:nsid w:val="E7FFA2B"/>
    <w:multiLevelType w:val="hybridMultilevel"/>
    <w:lvl w:ilvl="0">
      <w:lvlJc w:val="left"/>
      <w:lvlText w:val="(%1)"/>
      <w:numFmt w:val="lowerRoman"/>
      <w:start w:val="2"/>
    </w:lvl>
  </w:abstractNum>
  <w:abstractNum w:abstractNumId="91">
    <w:nsid w:val="3C5991AA"/>
    <w:multiLevelType w:val="hybridMultilevel"/>
    <w:lvl w:ilvl="0">
      <w:lvlJc w:val="left"/>
      <w:lvlText w:val="%1."/>
      <w:numFmt w:val="decimal"/>
      <w:start w:val="2"/>
    </w:lvl>
  </w:abstractNum>
  <w:abstractNum w:abstractNumId="92">
    <w:nsid w:val="4BD8591A"/>
    <w:multiLevelType w:val="hybridMultilevel"/>
    <w:lvl w:ilvl="0">
      <w:lvlJc w:val="left"/>
      <w:lvlText w:val="%1."/>
      <w:numFmt w:val="decimal"/>
      <w:start w:val="4"/>
    </w:lvl>
  </w:abstractNum>
  <w:abstractNum w:abstractNumId="93">
    <w:nsid w:val="78DF6A55"/>
    <w:multiLevelType w:val="hybridMultilevel"/>
    <w:lvl w:ilvl="0">
      <w:lvlJc w:val="left"/>
      <w:lvlText w:val="%1."/>
      <w:numFmt w:val="decimal"/>
      <w:start w:val="5"/>
    </w:lvl>
  </w:abstractNum>
  <w:abstractNum w:abstractNumId="94">
    <w:nsid w:val="39B7AAA2"/>
    <w:multiLevelType w:val="hybridMultilevel"/>
    <w:lvl w:ilvl="0">
      <w:lvlJc w:val="left"/>
      <w:lvlText w:val="%1."/>
      <w:numFmt w:val="decimal"/>
      <w:start w:val="1"/>
    </w:lvl>
  </w:abstractNum>
  <w:abstractNum w:abstractNumId="95">
    <w:nsid w:val="2B0D8DBE"/>
    <w:multiLevelType w:val="hybridMultilevel"/>
    <w:lvl w:ilvl="0">
      <w:lvlJc w:val="left"/>
      <w:lvlText w:val="%1."/>
      <w:numFmt w:val="decimal"/>
      <w:start w:val="2"/>
    </w:lvl>
    <w:lvl w:ilvl="1">
      <w:lvlJc w:val="left"/>
      <w:lvlText w:val="(%2)"/>
      <w:numFmt w:val="lowerLetter"/>
      <w:start w:val="1"/>
    </w:lvl>
  </w:abstractNum>
  <w:abstractNum w:abstractNumId="96">
    <w:nsid w:val="6C80EC70"/>
    <w:multiLevelType w:val="hybridMultilevel"/>
    <w:lvl w:ilvl="0">
      <w:lvlJc w:val="left"/>
      <w:lvlText w:val="%1"/>
      <w:numFmt w:val="lowerRoman"/>
      <w:start w:val="1"/>
    </w:lvl>
    <w:lvl w:ilvl="1">
      <w:lvlJc w:val="left"/>
      <w:lvlText w:val="(%2)"/>
      <w:numFmt w:val="lowerLetter"/>
      <w:start w:val="2"/>
    </w:lvl>
  </w:abstractNum>
  <w:abstractNum w:abstractNumId="97">
    <w:nsid w:val="379E21B5"/>
    <w:multiLevelType w:val="hybridMultilevel"/>
    <w:lvl w:ilvl="0">
      <w:lvlJc w:val="left"/>
      <w:lvlText w:val="(%1)"/>
      <w:numFmt w:val="lowerRoman"/>
      <w:start w:val="1"/>
    </w:lvl>
    <w:lvl w:ilvl="1">
      <w:lvlJc w:val="left"/>
      <w:lvlText w:val="%2"/>
      <w:numFmt w:val="lowerLetter"/>
      <w:start w:val="1"/>
    </w:lvl>
  </w:abstractNum>
  <w:abstractNum w:abstractNumId="98">
    <w:nsid w:val="69E373"/>
    <w:multiLevelType w:val="hybridMultilevel"/>
    <w:lvl w:ilvl="0">
      <w:lvlJc w:val="left"/>
      <w:lvlText w:val="%1."/>
      <w:numFmt w:val="decimal"/>
      <w:start w:val="3"/>
    </w:lvl>
  </w:abstractNum>
  <w:abstractNum w:abstractNumId="99">
    <w:nsid w:val="2C27173B"/>
    <w:multiLevelType w:val="hybridMultilevel"/>
    <w:lvl w:ilvl="0">
      <w:lvlJc w:val="left"/>
      <w:lvlText w:val="%1."/>
      <w:numFmt w:val="decimal"/>
      <w:start w:val="4"/>
    </w:lvl>
  </w:abstractNum>
  <w:abstractNum w:abstractNumId="100">
    <w:nsid w:val="4C9B0904"/>
    <w:multiLevelType w:val="hybridMultilevel"/>
    <w:lvl w:ilvl="0">
      <w:lvlJc w:val="left"/>
      <w:lvlText w:val="%1."/>
      <w:numFmt w:val="decimal"/>
      <w:start w:val="5"/>
    </w:lvl>
  </w:abstractNum>
  <w:abstractNum w:abstractNumId="101">
    <w:nsid w:val="6AA7B75C"/>
    <w:multiLevelType w:val="hybridMultilevel"/>
    <w:lvl w:ilvl="0">
      <w:lvlJc w:val="left"/>
      <w:lvlText w:val="%1."/>
      <w:numFmt w:val="decimal"/>
      <w:start w:val="6"/>
    </w:lvl>
  </w:abstractNum>
  <w:abstractNum w:abstractNumId="102">
    <w:nsid w:val="1DF029D3"/>
    <w:multiLevelType w:val="hybridMultilevel"/>
    <w:lvl w:ilvl="0">
      <w:lvlJc w:val="left"/>
      <w:lvlText w:val="%1."/>
      <w:numFmt w:val="decimal"/>
      <w:start w:val="7"/>
    </w:lvl>
  </w:abstractNum>
  <w:abstractNum w:abstractNumId="103">
    <w:nsid w:val="5675FF36"/>
    <w:multiLevelType w:val="hybridMultilevel"/>
    <w:lvl w:ilvl="0">
      <w:lvlJc w:val="left"/>
      <w:lvlText w:val="%1."/>
      <w:numFmt w:val="decimal"/>
      <w:start w:val="1"/>
    </w:lvl>
    <w:lvl w:ilvl="1">
      <w:lvlJc w:val="left"/>
      <w:lvlText w:val="(%2)"/>
      <w:numFmt w:val="lowerLetter"/>
      <w:start w:val="3"/>
    </w:lvl>
  </w:abstractNum>
  <w:abstractNum w:abstractNumId="104">
    <w:nsid w:val="3DD15094"/>
    <w:multiLevelType w:val="hybridMultilevel"/>
    <w:lvl w:ilvl="0">
      <w:lvlJc w:val="left"/>
      <w:lvlText w:val="%1"/>
      <w:numFmt w:val="decimal"/>
      <w:start w:val="1"/>
    </w:lvl>
    <w:lvl w:ilvl="1">
      <w:lvlJc w:val="left"/>
      <w:lvlText w:val="(%2)"/>
      <w:numFmt w:val="lowerLetter"/>
      <w:start w:val="1"/>
    </w:lvl>
  </w:abstractNum>
  <w:abstractNum w:abstractNumId="105">
    <w:nsid w:val="3DB012B3"/>
    <w:multiLevelType w:val="hybridMultilevel"/>
    <w:lvl w:ilvl="0">
      <w:lvlJc w:val="left"/>
      <w:lvlText w:val="%1."/>
      <w:numFmt w:val="decimal"/>
      <w:start w:val="3"/>
    </w:lvl>
    <w:lvl w:ilvl="1">
      <w:lvlJc w:val="left"/>
      <w:lvlText w:val="%2"/>
      <w:numFmt w:val="lowerLetter"/>
      <w:start w:val="1"/>
    </w:lvl>
  </w:abstractNum>
  <w:abstractNum w:abstractNumId="106">
    <w:nsid w:val="2708C9AF"/>
    <w:multiLevelType w:val="hybridMultilevel"/>
    <w:lvl w:ilvl="0">
      <w:lvlJc w:val="left"/>
      <w:lvlText w:val="%1."/>
      <w:numFmt w:val="decimal"/>
      <w:start w:val="1"/>
    </w:lvl>
    <w:lvl w:ilvl="1">
      <w:lvlJc w:val="left"/>
      <w:lvlText w:val="(%2)"/>
      <w:numFmt w:val="lowerLetter"/>
      <w:start w:val="1"/>
    </w:lvl>
  </w:abstractNum>
  <w:abstractNum w:abstractNumId="107">
    <w:nsid w:val="5B25ACE2"/>
    <w:multiLevelType w:val="hybridMultilevel"/>
    <w:lvl w:ilvl="0">
      <w:lvlJc w:val="left"/>
      <w:lvlText w:val="(%1)"/>
      <w:numFmt w:val="lowerRoman"/>
      <w:start w:val="1"/>
    </w:lvl>
  </w:abstractNum>
  <w:abstractNum w:abstractNumId="108">
    <w:nsid w:val="175DFCF0"/>
    <w:multiLevelType w:val="hybridMultilevel"/>
    <w:lvl w:ilvl="0">
      <w:lvlJc w:val="left"/>
      <w:lvlText w:val="(%1)"/>
      <w:numFmt w:val="lowerRoman"/>
      <w:start w:val="2"/>
    </w:lvl>
  </w:abstractNum>
  <w:abstractNum w:abstractNumId="109">
    <w:nsid w:val="4F97E3E4"/>
    <w:multiLevelType w:val="hybridMultilevel"/>
    <w:lvl w:ilvl="0">
      <w:lvlJc w:val="left"/>
      <w:lvlText w:val="(%1)"/>
      <w:numFmt w:val="upperLetter"/>
      <w:start w:val="1"/>
    </w:lvl>
  </w:abstractNum>
  <w:abstractNum w:abstractNumId="110">
    <w:nsid w:val="53B0A9E"/>
    <w:multiLevelType w:val="hybridMultilevel"/>
    <w:lvl w:ilvl="0">
      <w:lvlJc w:val="left"/>
      <w:lvlText w:val="%1."/>
      <w:numFmt w:val="decimal"/>
      <w:start w:val="2"/>
    </w:lvl>
    <w:lvl w:ilvl="1">
      <w:lvlJc w:val="left"/>
      <w:lvlText w:val="(%2)"/>
      <w:numFmt w:val="lowerLetter"/>
      <w:start w:val="2"/>
    </w:lvl>
  </w:abstractNum>
  <w:abstractNum w:abstractNumId="111">
    <w:nsid w:val="34FD6B4F"/>
    <w:multiLevelType w:val="hybridMultilevel"/>
    <w:lvl w:ilvl="0">
      <w:lvlJc w:val="left"/>
      <w:lvlText w:val="%1."/>
      <w:numFmt w:val="decimal"/>
      <w:start w:val="1"/>
    </w:lvl>
    <w:lvl w:ilvl="1">
      <w:lvlJc w:val="left"/>
      <w:lvlText w:val="(%2)"/>
      <w:numFmt w:val="lowerLetter"/>
      <w:start w:val="1"/>
    </w:lvl>
  </w:abstractNum>
  <w:abstractNum w:abstractNumId="112">
    <w:nsid w:val="5915FF32"/>
    <w:multiLevelType w:val="hybridMultilevel"/>
    <w:lvl w:ilvl="0">
      <w:lvlJc w:val="left"/>
      <w:lvlText w:val="(%1)"/>
      <w:numFmt w:val="lowerLetter"/>
      <w:start w:val="2"/>
    </w:lvl>
  </w:abstractNum>
  <w:abstractNum w:abstractNumId="113">
    <w:nsid w:val="56438D15"/>
    <w:multiLevelType w:val="hybridMultilevel"/>
    <w:lvl w:ilvl="0">
      <w:lvlJc w:val="left"/>
      <w:lvlText w:val="%1"/>
      <w:numFmt w:val="decimal"/>
      <w:start w:val="1"/>
    </w:lvl>
    <w:lvl w:ilvl="1">
      <w:lvlJc w:val="left"/>
      <w:lvlText w:val="(%2)"/>
      <w:numFmt w:val="lowerLetter"/>
      <w:start w:val="8"/>
    </w:lvl>
  </w:abstractNum>
  <w:abstractNum w:abstractNumId="114">
    <w:nsid w:val="519E3149"/>
    <w:multiLevelType w:val="hybridMultilevel"/>
    <w:lvl w:ilvl="0">
      <w:lvlJc w:val="left"/>
      <w:lvlText w:val="%1."/>
      <w:numFmt w:val="decimal"/>
      <w:start w:val="2"/>
    </w:lvl>
    <w:lvl w:ilvl="1">
      <w:lvlJc w:val="left"/>
      <w:lvlText w:val="(%2)"/>
      <w:numFmt w:val="lowerLetter"/>
      <w:start w:val="1"/>
    </w:lvl>
  </w:abstractNum>
  <w:abstractNum w:abstractNumId="115">
    <w:nsid w:val="2C6E4AFD"/>
    <w:multiLevelType w:val="hybridMultilevel"/>
    <w:lvl w:ilvl="0">
      <w:lvlJc w:val="left"/>
      <w:lvlText w:val="%1"/>
      <w:numFmt w:val="decimal"/>
      <w:start w:val="1"/>
    </w:lvl>
    <w:lvl w:ilvl="1">
      <w:lvlJc w:val="left"/>
      <w:lvlText w:val="(%2)"/>
      <w:numFmt w:val="lowerLetter"/>
      <w:start w:val="5"/>
    </w:lvl>
  </w:abstractNum>
  <w:abstractNum w:abstractNumId="116">
    <w:nsid w:val="17A1B582"/>
    <w:multiLevelType w:val="hybridMultilevel"/>
    <w:lvl w:ilvl="0">
      <w:lvlJc w:val="left"/>
      <w:lvlText w:val="%1."/>
      <w:numFmt w:val="decimal"/>
      <w:start w:val="3"/>
    </w:lvl>
    <w:lvl w:ilvl="1">
      <w:lvlJc w:val="left"/>
      <w:lvlText w:val="%2"/>
      <w:numFmt w:val="lowerLetter"/>
      <w:start w:val="1"/>
    </w:lvl>
  </w:abstractNum>
  <w:abstractNum w:abstractNumId="117">
    <w:nsid w:val="4DF72E4E"/>
    <w:multiLevelType w:val="hybridMultilevel"/>
    <w:lvl w:ilvl="0">
      <w:lvlJc w:val="left"/>
      <w:lvlText w:val="%1."/>
      <w:numFmt w:val="decimal"/>
      <w:start w:val="4"/>
    </w:lvl>
  </w:abstractNum>
  <w:abstractNum w:abstractNumId="118">
    <w:nsid w:val="5046B5A9"/>
    <w:multiLevelType w:val="hybridMultilevel"/>
    <w:lvl w:ilvl="0">
      <w:lvlJc w:val="left"/>
      <w:lvlText w:val="%1."/>
      <w:numFmt w:val="decimal"/>
      <w:start w:val="5"/>
    </w:lvl>
  </w:abstractNum>
  <w:abstractNum w:abstractNumId="119">
    <w:nsid w:val="5D888A08"/>
    <w:multiLevelType w:val="hybridMultilevel"/>
    <w:lvl w:ilvl="0">
      <w:lvlJc w:val="left"/>
      <w:lvlText w:val="%1."/>
      <w:numFmt w:val="decimal"/>
      <w:start w:val="6"/>
    </w:lvl>
    <w:lvl w:ilvl="1">
      <w:lvlJc w:val="left"/>
      <w:lvlText w:val="(%2)"/>
      <w:numFmt w:val="lowerLetter"/>
      <w:start w:val="1"/>
    </w:lvl>
  </w:abstractNum>
  <w:abstractNum w:abstractNumId="120">
    <w:nsid w:val="2A082C70"/>
    <w:multiLevelType w:val="hybridMultilevel"/>
    <w:lvl w:ilvl="0">
      <w:lvlJc w:val="left"/>
      <w:lvlText w:val="%1"/>
      <w:numFmt w:val="decimal"/>
      <w:start w:val="1"/>
    </w:lvl>
    <w:lvl w:ilvl="1">
      <w:lvlJc w:val="left"/>
      <w:lvlText w:val="(%2)"/>
      <w:numFmt w:val="lowerLetter"/>
      <w:start w:val="3"/>
    </w:lvl>
  </w:abstractNum>
  <w:abstractNum w:abstractNumId="121">
    <w:nsid w:val="5EC6AFD4"/>
    <w:multiLevelType w:val="hybridMultilevel"/>
    <w:lvl w:ilvl="0">
      <w:lvlJc w:val="left"/>
      <w:lvlText w:val="%1."/>
      <w:numFmt w:val="decimal"/>
      <w:start w:val="7"/>
    </w:lvl>
    <w:lvl w:ilvl="1">
      <w:lvlJc w:val="left"/>
      <w:lvlText w:val="%2"/>
      <w:numFmt w:val="lowerLetter"/>
      <w:start w:val="1"/>
    </w:lvl>
  </w:abstractNum>
  <w:abstractNum w:abstractNumId="122">
    <w:nsid w:val="19E21BB2"/>
    <w:multiLevelType w:val="hybridMultilevel"/>
    <w:lvl w:ilvl="0">
      <w:lvlJc w:val="left"/>
      <w:lvlText w:val="%1."/>
      <w:numFmt w:val="decimal"/>
      <w:start w:val="8"/>
    </w:lvl>
  </w:abstractNum>
  <w:abstractNum w:abstractNumId="123">
    <w:nsid w:val="75E0858A"/>
    <w:multiLevelType w:val="hybridMultilevel"/>
    <w:lvl w:ilvl="0">
      <w:lvlJc w:val="left"/>
      <w:lvlText w:val="%1."/>
      <w:numFmt w:val="decimal"/>
      <w:start w:val="9"/>
    </w:lvl>
  </w:abstractNum>
  <w:abstractNum w:abstractNumId="124">
    <w:nsid w:val="57A61A29"/>
    <w:multiLevelType w:val="hybridMultilevel"/>
    <w:lvl w:ilvl="0">
      <w:lvlJc w:val="left"/>
      <w:lvlText w:val="%1."/>
      <w:numFmt w:val="decimal"/>
      <w:start w:val="10"/>
    </w:lvl>
  </w:abstractNum>
  <w:abstractNum w:abstractNumId="125">
    <w:nsid w:val="5399C654"/>
    <w:multiLevelType w:val="hybridMultilevel"/>
    <w:lvl w:ilvl="0">
      <w:lvlJc w:val="left"/>
      <w:lvlText w:val="%1."/>
      <w:numFmt w:val="decimal"/>
      <w:start w:val="11"/>
    </w:lvl>
  </w:abstractNum>
  <w:abstractNum w:abstractNumId="126">
    <w:nsid w:val="20EE1348"/>
    <w:multiLevelType w:val="hybridMultilevel"/>
    <w:lvl w:ilvl="0">
      <w:lvlJc w:val="left"/>
      <w:lvlText w:val="%1."/>
      <w:numFmt w:val="decimal"/>
      <w:start w:val="12"/>
    </w:lvl>
  </w:abstractNum>
  <w:abstractNum w:abstractNumId="127">
    <w:nsid w:val="4427069A"/>
    <w:multiLevelType w:val="hybridMultilevel"/>
    <w:lvl w:ilvl="0">
      <w:lvlJc w:val="left"/>
      <w:lvlText w:val="%1."/>
      <w:numFmt w:val="decimal"/>
      <w:start w:val="13"/>
    </w:lvl>
  </w:abstractNum>
  <w:abstractNum w:abstractNumId="128">
    <w:nsid w:val="B37E80A"/>
    <w:multiLevelType w:val="hybridMultilevel"/>
    <w:lvl w:ilvl="0">
      <w:lvlJc w:val="left"/>
      <w:lvlText w:val="%1."/>
      <w:numFmt w:val="decimal"/>
      <w:start w:val="14"/>
    </w:lvl>
  </w:abstractNum>
  <w:abstractNum w:abstractNumId="129">
    <w:nsid w:val="2157F6BC"/>
    <w:multiLevelType w:val="hybridMultilevel"/>
    <w:lvl w:ilvl="0">
      <w:lvlJc w:val="left"/>
      <w:lvlText w:val="%1."/>
      <w:numFmt w:val="decimal"/>
      <w:start w:val="15"/>
    </w:lvl>
  </w:abstractNum>
  <w:abstractNum w:abstractNumId="130">
    <w:nsid w:val="704E1DD5"/>
    <w:multiLevelType w:val="hybridMultilevel"/>
    <w:lvl w:ilvl="0">
      <w:lvlJc w:val="left"/>
      <w:lvlText w:val="%1."/>
      <w:numFmt w:val="decimal"/>
      <w:start w:val="16"/>
    </w:lvl>
  </w:abstractNum>
  <w:abstractNum w:abstractNumId="131">
    <w:nsid w:val="57D2F10E"/>
    <w:multiLevelType w:val="hybridMultilevel"/>
    <w:lvl w:ilvl="0">
      <w:lvlJc w:val="left"/>
      <w:lvlText w:val="%1."/>
      <w:numFmt w:val="decimal"/>
      <w:start w:val="17"/>
    </w:lvl>
  </w:abstractNum>
  <w:abstractNum w:abstractNumId="132">
    <w:nsid w:val="BFFAE18"/>
    <w:multiLevelType w:val="hybridMultilevel"/>
    <w:lvl w:ilvl="0">
      <w:lvlJc w:val="left"/>
      <w:lvlText w:val="%1."/>
      <w:numFmt w:val="decimal"/>
      <w:start w:val="18"/>
    </w:lvl>
  </w:abstractNum>
  <w:abstractNum w:abstractNumId="133">
    <w:nsid w:val="E3E47A8"/>
    <w:multiLevelType w:val="hybridMultilevel"/>
    <w:lvl w:ilvl="0">
      <w:lvlJc w:val="left"/>
      <w:lvlText w:val="%1."/>
      <w:numFmt w:val="decimal"/>
      <w:start w:val="19"/>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2019-12-13T13:54:16Z</dcterms:created>
  <dcterms:modified xsi:type="dcterms:W3CDTF">2019-12-13T13:54:16Z</dcterms:modified>
</cp:coreProperties>
</file>