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036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0369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Olson Richard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Group VP, Intl, MIB &amp; DD</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80" w:type="dxa"/>
            <w:vAlign w:val="bottom"/>
            <w:gridSpan w:val="5"/>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jc w:val="center"/>
              <w:ind w:left="354"/>
              <w:spacing w:after="0"/>
              <w:rPr>
                <w:sz w:val="20"/>
                <w:szCs w:val="20"/>
                <w:color w:val="auto"/>
              </w:rPr>
            </w:pPr>
            <w:r>
              <w:rPr>
                <w:rFonts w:ascii="Arial" w:cs="Arial" w:eastAsia="Arial" w:hAnsi="Arial"/>
                <w:sz w:val="18"/>
                <w:szCs w:val="18"/>
                <w:color w:val="0000FF"/>
                <w:w w:val="86"/>
              </w:rPr>
              <w:t>344</w:t>
            </w: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gridSpan w:val="5"/>
          </w:tcPr>
          <w:p>
            <w:pPr>
              <w:ind w:left="6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5"/>
          </w:tcPr>
          <w:p>
            <w:pPr>
              <w:ind w:left="6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3"/>
              </w:rPr>
              <w:t>7,364.161</w:t>
            </w:r>
            <w:r>
              <w:rPr>
                <w:rFonts w:ascii="Arial" w:cs="Arial" w:eastAsia="Arial" w:hAnsi="Arial"/>
                <w:sz w:val="22"/>
                <w:szCs w:val="22"/>
                <w:color w:val="008000"/>
                <w:w w:val="83"/>
                <w:vertAlign w:val="superscript"/>
              </w:rPr>
              <w:t>(1)</w:t>
            </w:r>
          </w:p>
        </w:tc>
        <w:tc>
          <w:tcPr>
            <w:tcW w:w="340" w:type="dxa"/>
            <w:vAlign w:val="bottom"/>
          </w:tcPr>
          <w:p>
            <w:pPr>
              <w:spacing w:after="0"/>
              <w:rPr>
                <w:sz w:val="18"/>
                <w:szCs w:val="18"/>
                <w:color w:val="auto"/>
              </w:rPr>
            </w:pPr>
          </w:p>
        </w:tc>
        <w:tc>
          <w:tcPr>
            <w:tcW w:w="56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80" w:type="dxa"/>
            <w:vAlign w:val="bottom"/>
            <w:gridSpan w:val="5"/>
          </w:tcPr>
          <w:p>
            <w:pPr>
              <w:ind w:left="6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5"/>
          </w:tcPr>
          <w:p>
            <w:pPr>
              <w:ind w:left="6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gridSpan w:val="5"/>
          </w:tcPr>
          <w:p>
            <w:pPr>
              <w:ind w:left="60"/>
              <w:spacing w:after="0"/>
              <w:rPr>
                <w:sz w:val="20"/>
                <w:szCs w:val="20"/>
                <w:color w:val="auto"/>
              </w:rPr>
            </w:pPr>
            <w:r>
              <w:rPr>
                <w:rFonts w:ascii="Arial" w:cs="Arial" w:eastAsia="Arial" w:hAnsi="Arial"/>
                <w:sz w:val="18"/>
                <w:szCs w:val="18"/>
                <w:color w:val="0000FF"/>
              </w:rPr>
              <w:t>ISOP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3,248.343</w:t>
            </w:r>
            <w:r>
              <w:rPr>
                <w:rFonts w:ascii="Arial" w:cs="Arial" w:eastAsia="Arial" w:hAnsi="Arial"/>
                <w:sz w:val="22"/>
                <w:szCs w:val="22"/>
                <w:color w:val="008000"/>
                <w:w w:val="83"/>
                <w:vertAlign w:val="superscript"/>
              </w:rPr>
              <w:t>(2)</w:t>
            </w: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80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2,400</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06/16/2014</w:t>
            </w:r>
          </w:p>
        </w:tc>
        <w:tc>
          <w:tcPr>
            <w:tcW w:w="1140" w:type="dxa"/>
            <w:vAlign w:val="bottom"/>
          </w:tcPr>
          <w:p>
            <w:pPr>
              <w:spacing w:after="0"/>
              <w:rPr>
                <w:sz w:val="5"/>
                <w:szCs w:val="5"/>
                <w:color w:val="auto"/>
              </w:rPr>
            </w:pPr>
          </w:p>
        </w:tc>
        <w:tc>
          <w:tcPr>
            <w:tcW w:w="6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200" w:type="dxa"/>
            <w:vAlign w:val="bottom"/>
          </w:tcPr>
          <w:p>
            <w:pPr>
              <w:spacing w:after="0"/>
              <w:rPr>
                <w:sz w:val="5"/>
                <w:szCs w:val="5"/>
                <w:color w:val="auto"/>
              </w:rPr>
            </w:pPr>
          </w:p>
        </w:tc>
        <w:tc>
          <w:tcPr>
            <w:tcW w:w="52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2,400</w:t>
            </w:r>
          </w:p>
        </w:tc>
        <w:tc>
          <w:tcPr>
            <w:tcW w:w="3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vMerge w:val="restart"/>
          </w:tcPr>
          <w:p>
            <w:pPr>
              <w:ind w:left="260"/>
              <w:spacing w:after="0" w:line="149" w:lineRule="exact"/>
              <w:rPr>
                <w:sz w:val="20"/>
                <w:szCs w:val="20"/>
                <w:color w:val="auto"/>
              </w:rPr>
            </w:pPr>
            <w:r>
              <w:rPr>
                <w:rFonts w:ascii="Arial" w:cs="Arial" w:eastAsia="Arial" w:hAnsi="Arial"/>
                <w:sz w:val="14"/>
                <w:szCs w:val="14"/>
                <w:color w:val="0000FF"/>
              </w:rPr>
              <w:t>2,400</w:t>
            </w:r>
          </w:p>
        </w:tc>
        <w:tc>
          <w:tcPr>
            <w:tcW w:w="560" w:type="dxa"/>
            <w:vAlign w:val="bottom"/>
            <w:vMerge w:val="restart"/>
          </w:tcPr>
          <w:p>
            <w:pPr>
              <w:ind w:left="420"/>
              <w:spacing w:after="0" w:line="149" w:lineRule="exact"/>
              <w:rPr>
                <w:sz w:val="20"/>
                <w:szCs w:val="20"/>
                <w:color w:val="auto"/>
              </w:rPr>
            </w:pPr>
            <w:r>
              <w:rPr>
                <w:rFonts w:ascii="Arial" w:cs="Arial" w:eastAsia="Arial" w:hAnsi="Arial"/>
                <w:sz w:val="14"/>
                <w:szCs w:val="14"/>
                <w:color w:val="0000FF"/>
              </w:rPr>
              <w:t>D</w:t>
            </w: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45.455 net shares acquired under the dividend reinvestment feature of The Toro Company Investment, Savings &amp; ESOP (IS&amp;ESOP) less quarterly non-discretionary administrative fees; and 58.661 shares acquired through issuer annual investment fund contributions to the IS&amp;ESOP.</w:t>
      </w: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20.343 performance share units acquired by the reporting person under the dividend reinvestment feature of The Toro Company Deferred Compensation Plan for Officers since the date of his last report.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Toro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and become non-forfeitable in full on June 16, 2017, which is the third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06/18/2014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540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2019-12-17T01:58:59Z</dcterms:created>
  <dcterms:modified xsi:type="dcterms:W3CDTF">2019-12-17T01:58:59Z</dcterms:modified>
</cp:coreProperties>
</file>