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5, 2026, The Toro Company announced its financial results for the three month period ended January 30, 2026.</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440" w:type="dxa"/>
            <w:vAlign w:val="bottom"/>
          </w:tcPr>
          <w:p>
            <w:pPr>
              <w:spacing w:after="0"/>
              <w:rPr>
                <w:sz w:val="22"/>
                <w:szCs w:val="22"/>
                <w:color w:val="auto"/>
              </w:rPr>
            </w:pPr>
          </w:p>
        </w:tc>
      </w:tr>
      <w:tr>
        <w:trPr>
          <w:trHeight w:val="484"/>
        </w:trPr>
        <w:tc>
          <w:tcPr>
            <w:tcW w:w="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20" w:type="dxa"/>
            <w:vAlign w:val="bottom"/>
          </w:tcPr>
          <w:p>
            <w:pPr>
              <w:spacing w:after="0"/>
              <w:rPr>
                <w:sz w:val="18"/>
                <w:szCs w:val="18"/>
                <w:color w:val="auto"/>
              </w:rPr>
            </w:pPr>
          </w:p>
        </w:tc>
        <w:tc>
          <w:tcPr>
            <w:tcW w:w="36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1220" w:type="dxa"/>
            <w:vAlign w:val="bottom"/>
          </w:tcPr>
          <w:p>
            <w:pPr>
              <w:spacing w:after="0"/>
              <w:rPr>
                <w:sz w:val="18"/>
                <w:szCs w:val="18"/>
                <w:color w:val="auto"/>
              </w:rPr>
            </w:pPr>
          </w:p>
        </w:tc>
        <w:tc>
          <w:tcPr>
            <w:tcW w:w="9440" w:type="dxa"/>
            <w:vAlign w:val="bottom"/>
          </w:tcPr>
          <w:p>
            <w:pPr>
              <w:ind w:left="580"/>
              <w:spacing w:after="0" w:line="212" w:lineRule="exact"/>
              <w:rPr>
                <w:sz w:val="20"/>
                <w:szCs w:val="20"/>
                <w:color w:val="auto"/>
              </w:rPr>
            </w:pPr>
            <w:r>
              <w:rPr>
                <w:rFonts w:ascii="Times New Roman" w:cs="Times New Roman" w:eastAsia="Times New Roman" w:hAnsi="Times New Roman"/>
                <w:sz w:val="20"/>
                <w:szCs w:val="20"/>
                <w:color w:val="auto"/>
              </w:rPr>
              <w:t>Press release dated March 5, 2026 (furnished herewith).</w:t>
            </w:r>
          </w:p>
        </w:tc>
      </w:tr>
      <w:tr>
        <w:trPr>
          <w:trHeight w:val="283"/>
        </w:trPr>
        <w:tc>
          <w:tcPr>
            <w:tcW w:w="5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122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March 5, 2026</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and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Affairs and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Fiscal 2026 First-Quarter Results and Raises Full-Year Guidance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Beat First-Quarter Expectations In Both Segments Driven by Strong Execution</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up 4% year-over-year to $1.04 billion</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EPS of $0.69</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EPS up 14% year-over-year to $0.74</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Returned $133 million to shareholders</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Raising full-year net sales and EPS guidance</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March 5, 2026—</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 provider</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of solutions for the outdoor environment, </w:t>
      </w:r>
      <w:r>
        <w:rPr>
          <w:rFonts w:ascii="Arial" w:cs="Arial" w:eastAsia="Arial" w:hAnsi="Arial"/>
          <w:sz w:val="20"/>
          <w:szCs w:val="20"/>
          <w:color w:val="000000"/>
        </w:rPr>
        <w:t>today reported results for its fiscal first-quarter ended January 30, 2026.</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0A0A0A"/>
        </w:rPr>
        <w:t>“</w:t>
      </w:r>
      <w:r>
        <w:rPr>
          <w:rFonts w:ascii="Arial" w:cs="Arial" w:eastAsia="Arial" w:hAnsi="Arial"/>
          <w:sz w:val="20"/>
          <w:szCs w:val="20"/>
          <w:color w:val="000000"/>
        </w:rPr>
        <w:t>We delivered first-quarter net sales and adjusted earnings that exceeded our expectations, as strong execution in both</w:t>
      </w:r>
      <w:r>
        <w:rPr>
          <w:rFonts w:ascii="Arial" w:cs="Arial" w:eastAsia="Arial" w:hAnsi="Arial"/>
          <w:sz w:val="20"/>
          <w:szCs w:val="20"/>
          <w:color w:val="0A0A0A"/>
        </w:rPr>
        <w:t xml:space="preserve"> </w:t>
      </w:r>
      <w:r>
        <w:rPr>
          <w:rFonts w:ascii="Arial" w:cs="Arial" w:eastAsia="Arial" w:hAnsi="Arial"/>
          <w:sz w:val="20"/>
          <w:szCs w:val="20"/>
          <w:color w:val="000000"/>
        </w:rPr>
        <w:t>Professional and Residential segments enabled us to capitalize on incremental demand for snow and ice products,” said Richard M. Olson, chairman and chief executive officer. “Our Underground Construction business continued its sustainable growth and was further strengthened by our acquisition of Tornado Infrastructure Equipment. Additionally, our ongoing operational efficiency and working capital improvement efforts helped us outperform our typical cash flow generation at this point in the year.</w:t>
      </w:r>
      <w:r>
        <w:rPr>
          <w:rFonts w:ascii="Arial" w:cs="Arial" w:eastAsia="Arial" w:hAnsi="Arial"/>
          <w:sz w:val="20"/>
          <w:szCs w:val="20"/>
          <w:color w:val="0A0A0A"/>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9"/>
          <w:szCs w:val="19"/>
          <w:color w:val="0A0A0A"/>
        </w:rPr>
        <w:t xml:space="preserve">"Looking ahead, </w:t>
      </w:r>
      <w:r>
        <w:rPr>
          <w:rFonts w:ascii="Arial" w:cs="Arial" w:eastAsia="Arial" w:hAnsi="Arial"/>
          <w:sz w:val="19"/>
          <w:szCs w:val="19"/>
          <w:color w:val="000000"/>
        </w:rPr>
        <w:t>we are investing in technology and innovation that enhance customer productivity, capitalizing on market</w:t>
      </w:r>
      <w:r>
        <w:rPr>
          <w:rFonts w:ascii="Arial" w:cs="Arial" w:eastAsia="Arial" w:hAnsi="Arial"/>
          <w:sz w:val="19"/>
          <w:szCs w:val="19"/>
          <w:color w:val="0A0A0A"/>
        </w:rPr>
        <w:t xml:space="preserve"> </w:t>
      </w:r>
      <w:r>
        <w:rPr>
          <w:rFonts w:ascii="Arial" w:cs="Arial" w:eastAsia="Arial" w:hAnsi="Arial"/>
          <w:sz w:val="19"/>
          <w:szCs w:val="19"/>
          <w:color w:val="000000"/>
        </w:rPr>
        <w:t>opportunities and customer demand, and leveraging our diverse portfolio of leading brands for profitable growth and competitive</w:t>
      </w:r>
    </w:p>
    <w:p>
      <w:pPr>
        <w:spacing w:after="0" w:line="232" w:lineRule="auto"/>
        <w:rPr>
          <w:sz w:val="20"/>
          <w:szCs w:val="20"/>
          <w:color w:val="auto"/>
        </w:rPr>
      </w:pPr>
      <w:r>
        <w:rPr>
          <w:rFonts w:ascii="Arial" w:cs="Arial" w:eastAsia="Arial" w:hAnsi="Arial"/>
          <w:sz w:val="20"/>
          <w:szCs w:val="20"/>
          <w:color w:val="auto"/>
        </w:rPr>
        <w:t>advantage. These actions, combined with the productivity benefits and cost savings delivered by execution of our AMP program, position us well to build on our positive momentum," concluded Olson</w:t>
      </w:r>
      <w:r>
        <w:rPr>
          <w:rFonts w:ascii="Arial" w:cs="Arial" w:eastAsia="Arial" w:hAnsi="Arial"/>
          <w:sz w:val="20"/>
          <w:szCs w:val="20"/>
          <w:color w:val="0A0A0A"/>
        </w:rPr>
        <w:t>.</w:t>
      </w:r>
    </w:p>
    <w:p>
      <w:pPr>
        <w:spacing w:after="0" w:line="212"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color w:val="auto"/>
        </w:rPr>
        <w:t>The company is raising its full-year guidance, and management now expects total company net sales growth in the range of 3% to 6.5%, up from a range of 2% to 5%, and *adjusted EPS in the range of $4.40 to $4.60, up from a range of $4.35 to $4.50.</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This guidance is based on current visibility, inclusive of the geopolitical environment and known tariff dynamics, and reflects:</w:t>
      </w:r>
    </w:p>
    <w:p>
      <w:pPr>
        <w:spacing w:after="0" w:line="175" w:lineRule="exact"/>
        <w:rPr>
          <w:sz w:val="20"/>
          <w:szCs w:val="20"/>
          <w:color w:val="auto"/>
        </w:rPr>
      </w:pPr>
    </w:p>
    <w:p>
      <w:pPr>
        <w:ind w:left="66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demand and stable supply for our underground construction, golf and grounds, and professional landscape contractor businesses</w:t>
      </w:r>
    </w:p>
    <w:p>
      <w:pPr>
        <w:spacing w:after="0" w:line="1"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impact of the Tornado acquisition which is expected to add approximately 2% to total company net sales and be modestly accretive to *adjusted EPS</w:t>
      </w:r>
    </w:p>
    <w:p>
      <w:pPr>
        <w:ind w:left="640" w:hanging="308"/>
        <w:spacing w:after="0" w:line="225"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Homeowner markets reflecting current consumer sentiment and macro uncertainty</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progress towards normalizing field inventories of turf products</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benefit of the snow equipment sell-in during the second half of the year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2026 FINANCIAL HIGHLIGHTS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F26 Q1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F25 Q1</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F26 Q1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F25 Q1</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1,036.3</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67.9</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0.69</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FIRST-QUARTER FISCAL 2026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$824.0 million, up 7.2% from $768.8 million in the same period last year. The increase was driven primarily by net price realization, higher shipments of snow and ice management and underground construction products, in addition to the Tornado acquisition.</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$137.6 million, up from $127.2 million in the same period last year, and when expressed as a percentage of net sales, 16.7%, up from 16.5% in the prior-year period. The increase in profitability was primarily due to net price realization and productivity improvements, partially offset by higher material and manufacturing costs.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$206.0 million, down 6.8% from $221.0 million in the same period last year. The decrease was primarily driven by lower shipments of lawn care products, partially offset by higher shipments of snow and ice management products and net price realization.</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$13.2 million, down from $17.2 million in the same period last year, and when expressed as a percentage of net sales, 6.4%, down from 7.8% in the prior-year period. The decrease was largely driven by higher materials costs and lower net sales volume, partially offset by net price realization, productivity improvements, product mix, and cost savings measures.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Gross margin and *adjusted gross margin for the first quarter were 32.5% and 33.4%, respectively, down from 33.7% and 34.1%, respectively, in the same prior-year period. The change in gross margin was primarily due to higher material and manufacturing costs, partially offset by net price realization and productivity improvements.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SG&amp;A expense as a percentage of net sales for the first quarter was 24.1%, compared with 25.9% in the prior-year period, primarily driven by net sales leverage, lower productivity initiative charges, lower corporate expenses, and cost savings measures.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8.4% for the first quarter, compared with 7.8% in the same prior-year period. *Adjusted operating earnings as a percentage of net sales for the first quarter were 9.8%, compared with 9.4%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$14.2 million for the first quarter, down $0.8 million from the same prior-year period. This decrease was primarily due to lower average interest rates.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reported effective tax rate for the first quarter was 21.9%, compared with 20.1% in the same prior-year period. The *adjusted effective tax rate for the first quarter was 21.5% compared with 20.2% in the same prior-year period. The increase in both the reported and adjusted effective tax rate was primarily due to a less favorable geographic mix of earnings.</w:t>
      </w:r>
    </w:p>
    <w:p>
      <w:pPr>
        <w:spacing w:after="0" w:line="200" w:lineRule="exact"/>
        <w:rPr>
          <w:sz w:val="20"/>
          <w:szCs w:val="20"/>
          <w:color w:val="auto"/>
        </w:rPr>
      </w:pPr>
    </w:p>
    <w:p>
      <w:pPr>
        <w:spacing w:after="0" w:line="35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5, 2026 at 10:00a.m. CT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CT on March 5, 2026.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global provider of solutions for the outdoor environment including turf and landscape maintenance, snow and ice management, underground construction, rental and specialty construction, and irrigation and outdoor lighting solutions. With net sales of $4.5 billion in fiscal 2025, The Toro Company’s global presence extends to more than 125 countries through a family of brands that includes Toro, Ditch Witch, Exmark, Spartan, BOSS, Ventrac, Tornado, American Augers,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2026 to diluted EPS, which is the most directly comparable GAAP measure, in reliance on the unreasonable efforts exception provided under Item 10(e)(1)(i)(B) of Regulation S-K. The company’s adjusted diluted EPS guidance for fiscal 2026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2026 to diluted EPS reconciliation without unreasonable efforts. A quantitative reconciliation of adjusted diluted EPS for fiscal 2026 to diluted EPS would imply a degree of precision and certainty as to these future items that does not exist and could be confusing to investors. From a qualitative perspective, it is anticipated that the differences between adjusted diluted EPS for fiscal 2026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"remain," “promise,” “may,” “likely,” “intend,” “can,” “seek,” “pursue,” “potential,”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2026 financial guidance, expectations regarding demand trends, our recent strategic acquisition, and the success of new products,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or strategic partnership;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recent acquisition of Tornado Infrastructure Equipment Ltd. and possible additional future impairment of goodwill or other intangible assets; impacts AMP and any future restructuring activities or productivity or cost savings initiatives;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millions, except per-share data)</w:t>
      </w:r>
    </w:p>
    <w:p>
      <w:pPr>
        <w:spacing w:after="0" w:line="19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January 30, 2026</w:t>
            </w: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January 31, 2025</w:t>
            </w: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1,036.3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995.0</w:t>
            </w:r>
          </w:p>
        </w:tc>
      </w:tr>
      <w:tr>
        <w:trPr>
          <w:trHeight w:val="216"/>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699.8</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659.4</w:t>
            </w: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336.5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335.6</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1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33.7 %</w:t>
            </w: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249.4</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257.8</w:t>
            </w:r>
          </w:p>
        </w:tc>
      </w:tr>
      <w:tr>
        <w:trPr>
          <w:trHeight w:val="209"/>
        </w:trPr>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1480" w:type="dxa"/>
            <w:vAlign w:val="bottom"/>
          </w:tcPr>
          <w:p>
            <w:pPr>
              <w:spacing w:after="0"/>
              <w:rPr>
                <w:sz w:val="18"/>
                <w:szCs w:val="18"/>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87.1</w:t>
            </w:r>
          </w:p>
        </w:tc>
        <w:tc>
          <w:tcPr>
            <w:tcW w:w="22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77.8</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(15.0)</w:t>
            </w:r>
          </w:p>
        </w:tc>
      </w:tr>
      <w:tr>
        <w:trPr>
          <w:trHeight w:val="216"/>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3.3</w:t>
            </w:r>
          </w:p>
        </w:tc>
      </w:tr>
      <w:tr>
        <w:trPr>
          <w:trHeight w:val="209"/>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86.9</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66.1</w:t>
            </w:r>
          </w:p>
        </w:tc>
      </w:tr>
      <w:tr>
        <w:trPr>
          <w:trHeight w:val="216"/>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1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13.3</w:t>
            </w:r>
          </w:p>
        </w:tc>
      </w:tr>
      <w:tr>
        <w:trPr>
          <w:trHeight w:val="235"/>
        </w:trPr>
        <w:tc>
          <w:tcPr>
            <w:tcW w:w="6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67.9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52.8</w:t>
            </w:r>
          </w:p>
        </w:tc>
      </w:tr>
      <w:tr>
        <w:trPr>
          <w:trHeight w:val="20"/>
        </w:trPr>
        <w:tc>
          <w:tcPr>
            <w:tcW w:w="6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9"/>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0.52</w:t>
            </w:r>
          </w:p>
        </w:tc>
      </w:tr>
      <w:tr>
        <w:trPr>
          <w:trHeight w:val="74"/>
        </w:trPr>
        <w:tc>
          <w:tcPr>
            <w:tcW w:w="65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10"/>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0.52</w:t>
            </w:r>
          </w:p>
        </w:tc>
      </w:tr>
      <w:tr>
        <w:trPr>
          <w:trHeight w:val="74"/>
        </w:trPr>
        <w:tc>
          <w:tcPr>
            <w:tcW w:w="6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98.0</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101.3</w:t>
            </w:r>
          </w:p>
        </w:tc>
      </w:tr>
      <w:tr>
        <w:trPr>
          <w:trHeight w:val="95"/>
        </w:trPr>
        <w:tc>
          <w:tcPr>
            <w:tcW w:w="6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tc>
        <w:tc>
          <w:tcPr>
            <w:tcW w:w="1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98.3</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101.7</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29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9"/>
              </w:rPr>
              <w:t>January 30, 2026</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January 31, 2025</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768.8</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29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w:t>
            </w:r>
          </w:p>
        </w:tc>
      </w:tr>
      <w:tr>
        <w:trPr>
          <w:trHeight w:val="216"/>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9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0"/>
        </w:trPr>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1"/>
        </w:trPr>
        <w:tc>
          <w:tcPr>
            <w:tcW w:w="52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09"/>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r>
    </w:tbl>
    <w:p>
      <w:pPr>
        <w:spacing w:after="0" w:line="28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 before interest and taxes</w:t>
            </w:r>
          </w:p>
        </w:tc>
        <w:tc>
          <w:tcPr>
            <w:tcW w:w="24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January 30, 2026</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January 31, 2025</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24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6"/>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r>
      <w:tr>
        <w:trPr>
          <w:trHeight w:val="210"/>
        </w:trPr>
        <w:tc>
          <w:tcPr>
            <w:tcW w:w="5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 before interest and taxes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January 30, 2026</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January 31, 2025</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r>
      <w:tr>
        <w:trPr>
          <w:trHeight w:val="169"/>
        </w:trPr>
        <w:tc>
          <w:tcPr>
            <w:tcW w:w="20" w:type="dxa"/>
            <w:vAlign w:val="bottom"/>
            <w:shd w:val="clear" w:color="auto" w:fill="CCEEFF"/>
          </w:tcPr>
          <w:p>
            <w:pPr>
              <w:spacing w:after="0"/>
              <w:rPr>
                <w:sz w:val="14"/>
                <w:szCs w:val="14"/>
                <w:color w:val="auto"/>
              </w:rPr>
            </w:pPr>
          </w:p>
        </w:tc>
        <w:tc>
          <w:tcPr>
            <w:tcW w:w="52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1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189.0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171.3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486.1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494.3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w:t>
            </w: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983.7</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1,143.1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920.8</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77.7</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87.5</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09"/>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1,736.5</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1,896.2</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1,705.1</w:t>
            </w:r>
          </w:p>
        </w:tc>
      </w:tr>
      <w:tr>
        <w:trPr>
          <w:trHeight w:val="74"/>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8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636.5</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637.8</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615.8</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592.1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449.8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w:t>
            </w: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445.7</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490.6</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118.5</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113.0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40.6</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48.0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118.2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46.2</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r>
      <w:tr>
        <w:trPr>
          <w:trHeight w:val="216"/>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14.4</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15.1</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3,696.7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76"/>
        </w:trPr>
        <w:tc>
          <w:tcPr>
            <w:tcW w:w="20" w:type="dxa"/>
            <w:vAlign w:val="bottom"/>
            <w:shd w:val="clear" w:color="auto" w:fill="CCEEFF"/>
          </w:tcPr>
          <w:p>
            <w:pPr>
              <w:spacing w:after="0"/>
              <w:rPr>
                <w:sz w:val="15"/>
                <w:szCs w:val="15"/>
                <w:color w:val="auto"/>
              </w:rPr>
            </w:pPr>
          </w:p>
        </w:tc>
        <w:tc>
          <w:tcPr>
            <w:tcW w:w="5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long-term debt and short-term borrowings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437.0</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447.1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w:t>
            </w: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560.0</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511.3</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525.5</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21.5</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19.7</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09"/>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1,028.5</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993.1</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912.4</w:t>
            </w:r>
          </w:p>
        </w:tc>
      </w:tr>
      <w:tr>
        <w:trPr>
          <w:trHeight w:val="75"/>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8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1,061.7</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1,091.9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921.5</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102.1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98.3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71.0</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45.3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94"/>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96.9</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16"/>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12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1,339.6</w:t>
            </w:r>
          </w:p>
        </w:tc>
        <w:tc>
          <w:tcPr>
            <w:tcW w:w="1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1,414.5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1,390.5</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1,419.2</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1,467.6</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1,453.3</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3,696.7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January 30, 2026</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January 31, 2025</w:t>
            </w: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67.9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(used in) operating activities: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0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from finance affiliate, net</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0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23.2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6"/>
        </w:trPr>
        <w:tc>
          <w:tcPr>
            <w:tcW w:w="70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Deferred income taxes</w:t>
            </w:r>
            <w:r>
              <w:rPr>
                <w:rFonts w:ascii="Times New Roman" w:cs="Times New Roman" w:eastAsia="Times New Roman" w:hAnsi="Times New Roman"/>
                <w:sz w:val="21"/>
                <w:szCs w:val="21"/>
                <w:color w:val="auto"/>
                <w:vertAlign w:val="superscript"/>
              </w:rPr>
              <w:t>2</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0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16"/>
        </w:trPr>
        <w:tc>
          <w:tcPr>
            <w:tcW w:w="70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1"/>
                <w:szCs w:val="21"/>
                <w:color w:val="auto"/>
                <w:vertAlign w:val="superscript"/>
              </w:rPr>
              <w:t>2</w:t>
            </w:r>
          </w:p>
        </w:tc>
        <w:tc>
          <w:tcPr>
            <w:tcW w:w="10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48.6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6"/>
        </w:trPr>
        <w:tc>
          <w:tcPr>
            <w:tcW w:w="70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Other liabilities</w:t>
            </w:r>
            <w:r>
              <w:rPr>
                <w:rFonts w:ascii="Times New Roman" w:cs="Times New Roman" w:eastAsia="Times New Roman" w:hAnsi="Times New Roman"/>
                <w:sz w:val="21"/>
                <w:szCs w:val="21"/>
                <w:color w:val="auto"/>
                <w:vertAlign w:val="superscript"/>
              </w:rPr>
              <w:t>2</w:t>
            </w: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9"/>
        </w:trPr>
        <w:tc>
          <w:tcPr>
            <w:tcW w:w="7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26.1</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74"/>
        </w:trPr>
        <w:tc>
          <w:tcPr>
            <w:tcW w:w="7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0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of property, plant, and equipment</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Acquisitions, net of cash received</w:t>
            </w: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7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75"/>
        </w:trPr>
        <w:tc>
          <w:tcPr>
            <w:tcW w:w="7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0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Borrowings under debt arrangements</w:t>
            </w:r>
            <w:r>
              <w:rPr>
                <w:rFonts w:ascii="Times New Roman" w:cs="Times New Roman" w:eastAsia="Times New Roman" w:hAnsi="Times New Roman"/>
                <w:sz w:val="21"/>
                <w:szCs w:val="21"/>
                <w:color w:val="auto"/>
                <w:vertAlign w:val="superscript"/>
              </w:rPr>
              <w:t>1</w:t>
            </w:r>
          </w:p>
        </w:tc>
        <w:tc>
          <w:tcPr>
            <w:tcW w:w="10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220.0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370.0</w:t>
            </w:r>
          </w:p>
        </w:tc>
      </w:tr>
      <w:tr>
        <w:trPr>
          <w:trHeight w:val="216"/>
        </w:trPr>
        <w:tc>
          <w:tcPr>
            <w:tcW w:w="70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Repayments under debt arrangements</w:t>
            </w:r>
            <w:r>
              <w:rPr>
                <w:rFonts w:ascii="Times New Roman" w:cs="Times New Roman" w:eastAsia="Times New Roman" w:hAnsi="Times New Roman"/>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w:t>
            </w: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08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10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10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6"/>
        </w:trPr>
        <w:tc>
          <w:tcPr>
            <w:tcW w:w="7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9"/>
        </w:trPr>
        <w:tc>
          <w:tcPr>
            <w:tcW w:w="7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25.1</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75"/>
        </w:trPr>
        <w:tc>
          <w:tcPr>
            <w:tcW w:w="7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16"/>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7.2</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74"/>
        </w:trPr>
        <w:tc>
          <w:tcPr>
            <w:tcW w:w="7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16"/>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1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341.0</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w:t>
            </w:r>
          </w:p>
        </w:tc>
      </w:tr>
      <w:tr>
        <w:trPr>
          <w:trHeight w:val="234"/>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189.0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w:t>
            </w:r>
          </w:p>
        </w:tc>
      </w:tr>
      <w:tr>
        <w:trPr>
          <w:trHeight w:val="20"/>
        </w:trPr>
        <w:tc>
          <w:tcPr>
            <w:tcW w:w="7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hanging="171"/>
        <w:spacing w:after="0" w:line="222" w:lineRule="auto"/>
        <w:tabs>
          <w:tab w:leader="none" w:pos="3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123" w:lineRule="exact"/>
        <w:rPr>
          <w:sz w:val="20"/>
          <w:szCs w:val="20"/>
          <w:color w:val="auto"/>
        </w:rPr>
      </w:pPr>
    </w:p>
    <w:p>
      <w:pPr>
        <w:ind w:left="180" w:hanging="91"/>
        <w:spacing w:after="0"/>
        <w:tabs>
          <w:tab w:leader="none" w:pos="18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year deferred income taxes has been conformed to the current year presentation. There was no change to net cash used in operating activities.</w:t>
      </w:r>
    </w:p>
    <w:p>
      <w:pPr>
        <w:sectPr>
          <w:pgSz w:w="11900" w:h="16838" w:orient="portrait"/>
          <w:cols w:equalWidth="0" w:num="1">
            <w:col w:w="11240"/>
          </w:cols>
          <w:pgMar w:left="320" w:top="76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 except per-share data)</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our related earnings call to the most directly comparable measures calculated and reported in accordance with U.S. GAAP for the three month periods ended January 30, 2026 and January 31, 2025:</w:t>
      </w:r>
    </w:p>
    <w:p>
      <w:pPr>
        <w:spacing w:after="0" w:line="16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January 30, 2026</w:t>
            </w: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January 31, 2025</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336.5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335.6</w:t>
            </w:r>
          </w:p>
        </w:tc>
      </w:tr>
      <w:tr>
        <w:trPr>
          <w:trHeight w:val="216"/>
        </w:trPr>
        <w:tc>
          <w:tcPr>
            <w:tcW w:w="53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18"/>
                <w:szCs w:val="18"/>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3.8</w:t>
            </w: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346.6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339.4</w:t>
            </w:r>
          </w:p>
        </w:tc>
      </w:tr>
      <w:tr>
        <w:trPr>
          <w:trHeight w:val="75"/>
        </w:trPr>
        <w:tc>
          <w:tcPr>
            <w:tcW w:w="5380" w:type="dxa"/>
            <w:vAlign w:val="bottom"/>
            <w:tcBorders>
              <w:bottom w:val="single" w:sz="8" w:color="auto"/>
            </w:tcBorders>
            <w:shd w:val="clear" w:color="auto" w:fill="CCEEFF"/>
          </w:tcPr>
          <w:p>
            <w:pPr>
              <w:spacing w:after="0"/>
              <w:rPr>
                <w:sz w:val="6"/>
                <w:szCs w:val="6"/>
                <w:color w:val="auto"/>
              </w:rPr>
            </w:pPr>
          </w:p>
        </w:tc>
        <w:tc>
          <w:tcPr>
            <w:tcW w:w="26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6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33.7 %</w:t>
            </w:r>
          </w:p>
        </w:tc>
      </w:tr>
      <w:tr>
        <w:trPr>
          <w:trHeight w:val="216"/>
        </w:trPr>
        <w:tc>
          <w:tcPr>
            <w:tcW w:w="5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53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09"/>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margin</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34.1 %</w:t>
            </w:r>
          </w:p>
        </w:tc>
      </w:tr>
      <w:tr>
        <w:trPr>
          <w:trHeight w:val="74"/>
        </w:trPr>
        <w:tc>
          <w:tcPr>
            <w:tcW w:w="538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87.1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77.8</w:t>
            </w:r>
          </w:p>
        </w:tc>
      </w:tr>
      <w:tr>
        <w:trPr>
          <w:trHeight w:val="216"/>
        </w:trPr>
        <w:tc>
          <w:tcPr>
            <w:tcW w:w="53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18"/>
                <w:szCs w:val="18"/>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12.4</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16.2</w:t>
            </w: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101.7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94.0</w:t>
            </w:r>
          </w:p>
        </w:tc>
      </w:tr>
      <w:tr>
        <w:trPr>
          <w:trHeight w:val="75"/>
        </w:trPr>
        <w:tc>
          <w:tcPr>
            <w:tcW w:w="5380" w:type="dxa"/>
            <w:vAlign w:val="bottom"/>
            <w:tcBorders>
              <w:bottom w:val="single" w:sz="8" w:color="auto"/>
            </w:tcBorders>
            <w:shd w:val="clear" w:color="auto" w:fill="CCEEFF"/>
          </w:tcPr>
          <w:p>
            <w:pPr>
              <w:spacing w:after="0"/>
              <w:rPr>
                <w:sz w:val="6"/>
                <w:szCs w:val="6"/>
                <w:color w:val="auto"/>
              </w:rPr>
            </w:pPr>
          </w:p>
        </w:tc>
        <w:tc>
          <w:tcPr>
            <w:tcW w:w="26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26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r>
      <w:tr>
        <w:trPr>
          <w:trHeight w:val="216"/>
        </w:trPr>
        <w:tc>
          <w:tcPr>
            <w:tcW w:w="5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53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09"/>
        </w:trPr>
        <w:tc>
          <w:tcPr>
            <w:tcW w:w="5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75"/>
        </w:trPr>
        <w:tc>
          <w:tcPr>
            <w:tcW w:w="538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86.9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66.1</w:t>
            </w:r>
          </w:p>
        </w:tc>
      </w:tr>
      <w:tr>
        <w:trPr>
          <w:trHeight w:val="216"/>
        </w:trPr>
        <w:tc>
          <w:tcPr>
            <w:tcW w:w="53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00" w:type="dxa"/>
            <w:vAlign w:val="bottom"/>
          </w:tcPr>
          <w:p>
            <w:pPr>
              <w:spacing w:after="0"/>
              <w:rPr>
                <w:sz w:val="18"/>
                <w:szCs w:val="18"/>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16.5</w:t>
            </w: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92.5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82.6</w:t>
            </w:r>
          </w:p>
        </w:tc>
      </w:tr>
      <w:tr>
        <w:trPr>
          <w:trHeight w:val="75"/>
        </w:trPr>
        <w:tc>
          <w:tcPr>
            <w:tcW w:w="5380" w:type="dxa"/>
            <w:vAlign w:val="bottom"/>
            <w:tcBorders>
              <w:bottom w:val="single" w:sz="8" w:color="auto"/>
            </w:tcBorders>
            <w:shd w:val="clear" w:color="auto" w:fill="CCEEFF"/>
          </w:tcPr>
          <w:p>
            <w:pPr>
              <w:spacing w:after="0"/>
              <w:rPr>
                <w:sz w:val="6"/>
                <w:szCs w:val="6"/>
                <w:color w:val="auto"/>
              </w:rPr>
            </w:pPr>
          </w:p>
        </w:tc>
        <w:tc>
          <w:tcPr>
            <w:tcW w:w="26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13.3</w:t>
            </w:r>
          </w:p>
        </w:tc>
      </w:tr>
      <w:tr>
        <w:trPr>
          <w:trHeight w:val="216"/>
        </w:trPr>
        <w:tc>
          <w:tcPr>
            <w:tcW w:w="5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2</w:t>
            </w:r>
          </w:p>
        </w:tc>
        <w:tc>
          <w:tcPr>
            <w:tcW w:w="2600" w:type="dxa"/>
            <w:vAlign w:val="bottom"/>
          </w:tcPr>
          <w:p>
            <w:pPr>
              <w:spacing w:after="0"/>
              <w:rPr>
                <w:sz w:val="18"/>
                <w:szCs w:val="18"/>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3.3</w:t>
            </w:r>
          </w:p>
        </w:tc>
      </w:tr>
      <w:tr>
        <w:trPr>
          <w:trHeight w:val="216"/>
        </w:trPr>
        <w:tc>
          <w:tcPr>
            <w:tcW w:w="53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1"/>
                <w:szCs w:val="21"/>
                <w:color w:val="auto"/>
                <w:vertAlign w:val="superscript"/>
              </w:rPr>
              <w:t>3</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0.1</w:t>
            </w:r>
          </w:p>
        </w:tc>
      </w:tr>
      <w:tr>
        <w:trPr>
          <w:trHeight w:val="20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income tax provision</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16.7</w:t>
            </w:r>
          </w:p>
        </w:tc>
      </w:tr>
      <w:tr>
        <w:trPr>
          <w:trHeight w:val="75"/>
        </w:trPr>
        <w:tc>
          <w:tcPr>
            <w:tcW w:w="5380" w:type="dxa"/>
            <w:vAlign w:val="bottom"/>
            <w:tcBorders>
              <w:bottom w:val="single" w:sz="8" w:color="auto"/>
            </w:tcBorders>
            <w:shd w:val="clear" w:color="auto" w:fill="CCEEFF"/>
          </w:tcPr>
          <w:p>
            <w:pPr>
              <w:spacing w:after="0"/>
              <w:rPr>
                <w:sz w:val="6"/>
                <w:szCs w:val="6"/>
                <w:color w:val="auto"/>
              </w:rPr>
            </w:pPr>
          </w:p>
        </w:tc>
        <w:tc>
          <w:tcPr>
            <w:tcW w:w="26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67.9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52.8</w:t>
            </w:r>
          </w:p>
        </w:tc>
      </w:tr>
      <w:tr>
        <w:trPr>
          <w:trHeight w:val="216"/>
        </w:trPr>
        <w:tc>
          <w:tcPr>
            <w:tcW w:w="5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 net of tax</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 net of tax</w:t>
            </w:r>
            <w:r>
              <w:rPr>
                <w:rFonts w:ascii="Times New Roman" w:cs="Times New Roman" w:eastAsia="Times New Roman" w:hAnsi="Times New Roman"/>
                <w:sz w:val="21"/>
                <w:szCs w:val="21"/>
                <w:color w:val="auto"/>
                <w:vertAlign w:val="superscript"/>
              </w:rPr>
              <w:t>2</w:t>
            </w:r>
          </w:p>
        </w:tc>
        <w:tc>
          <w:tcPr>
            <w:tcW w:w="2600" w:type="dxa"/>
            <w:vAlign w:val="bottom"/>
          </w:tcPr>
          <w:p>
            <w:pPr>
              <w:spacing w:after="0"/>
              <w:rPr>
                <w:sz w:val="18"/>
                <w:szCs w:val="18"/>
                <w:color w:val="auto"/>
              </w:rPr>
            </w:pP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2.7</w:t>
            </w:r>
          </w:p>
        </w:tc>
        <w:tc>
          <w:tcPr>
            <w:tcW w:w="22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13.2</w:t>
            </w:r>
          </w:p>
        </w:tc>
      </w:tr>
      <w:tr>
        <w:trPr>
          <w:trHeight w:val="216"/>
        </w:trPr>
        <w:tc>
          <w:tcPr>
            <w:tcW w:w="53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1"/>
                <w:szCs w:val="21"/>
                <w:color w:val="auto"/>
                <w:vertAlign w:val="superscript"/>
              </w:rPr>
              <w:t>3</w:t>
            </w:r>
          </w:p>
        </w:tc>
        <w:tc>
          <w:tcPr>
            <w:tcW w:w="26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w:t>
            </w:r>
          </w:p>
        </w:tc>
      </w:tr>
      <w:tr>
        <w:trPr>
          <w:trHeight w:val="21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72.6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65.9</w:t>
            </w:r>
          </w:p>
        </w:tc>
      </w:tr>
      <w:tr>
        <w:trPr>
          <w:trHeight w:val="75"/>
        </w:trPr>
        <w:tc>
          <w:tcPr>
            <w:tcW w:w="5380" w:type="dxa"/>
            <w:vAlign w:val="bottom"/>
            <w:tcBorders>
              <w:bottom w:val="single" w:sz="8" w:color="auto"/>
            </w:tcBorders>
            <w:shd w:val="clear" w:color="auto" w:fill="CCEEFF"/>
          </w:tcPr>
          <w:p>
            <w:pPr>
              <w:spacing w:after="0"/>
              <w:rPr>
                <w:sz w:val="6"/>
                <w:szCs w:val="6"/>
                <w:color w:val="auto"/>
              </w:rPr>
            </w:pPr>
          </w:p>
        </w:tc>
        <w:tc>
          <w:tcPr>
            <w:tcW w:w="26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per diluted share</w:t>
            </w:r>
          </w:p>
        </w:tc>
        <w:tc>
          <w:tcPr>
            <w:tcW w:w="2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0.69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0.52</w:t>
            </w:r>
          </w:p>
        </w:tc>
      </w:tr>
      <w:tr>
        <w:trPr>
          <w:trHeight w:val="216"/>
        </w:trPr>
        <w:tc>
          <w:tcPr>
            <w:tcW w:w="5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 net of tax</w:t>
            </w:r>
            <w:r>
              <w:rPr>
                <w:rFonts w:ascii="Times New Roman" w:cs="Times New Roman" w:eastAsia="Times New Roman" w:hAnsi="Times New Roman"/>
                <w:sz w:val="21"/>
                <w:szCs w:val="21"/>
                <w:color w:val="auto"/>
                <w:vertAlign w:val="superscript"/>
              </w:rPr>
              <w:t>1</w:t>
            </w:r>
          </w:p>
        </w:tc>
        <w:tc>
          <w:tcPr>
            <w:tcW w:w="2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 net of tax</w:t>
            </w:r>
            <w:r>
              <w:rPr>
                <w:rFonts w:ascii="Times New Roman" w:cs="Times New Roman" w:eastAsia="Times New Roman" w:hAnsi="Times New Roman"/>
                <w:sz w:val="21"/>
                <w:szCs w:val="21"/>
                <w:color w:val="auto"/>
                <w:vertAlign w:val="superscript"/>
              </w:rPr>
              <w:t>2</w:t>
            </w:r>
          </w:p>
        </w:tc>
        <w:tc>
          <w:tcPr>
            <w:tcW w:w="2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0.03</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0.13</w:t>
            </w:r>
          </w:p>
        </w:tc>
      </w:tr>
      <w:tr>
        <w:trPr>
          <w:trHeight w:val="235"/>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earnings per diluted share</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0.65</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38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20.1 %</w:t>
            </w:r>
          </w:p>
        </w:tc>
      </w:tr>
      <w:tr>
        <w:trPr>
          <w:trHeight w:val="216"/>
        </w:trPr>
        <w:tc>
          <w:tcPr>
            <w:tcW w:w="53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1"/>
                <w:szCs w:val="21"/>
                <w:color w:val="auto"/>
                <w:vertAlign w:val="superscript"/>
              </w:rPr>
              <w:t>3</w:t>
            </w:r>
          </w:p>
        </w:tc>
        <w:tc>
          <w:tcPr>
            <w:tcW w:w="2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35"/>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2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21.5 %</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20.2 %</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sectPr>
      </w:pPr>
    </w:p>
    <w:bookmarkStart w:id="12" w:name="page13"/>
    <w:bookmarkEnd w:id="12"/>
    <w:p>
      <w:pPr>
        <w:ind w:left="260" w:hanging="171"/>
        <w:spacing w:after="0" w:line="222" w:lineRule="auto"/>
        <w:tabs>
          <w:tab w:leader="none" w:pos="2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8, 2025, the company completed the acquisition of Tornado Infrastructure Equipment. Acquisition-related costs for the three month period ended January 30, 2026 represent integration costs and amortization of the backlog intangible asset resulting from purchase accounting adjustments.</w:t>
      </w:r>
    </w:p>
    <w:p>
      <w:pPr>
        <w:spacing w:after="0" w:line="154" w:lineRule="exact"/>
        <w:rPr>
          <w:sz w:val="20"/>
          <w:szCs w:val="20"/>
          <w:color w:val="auto"/>
        </w:rPr>
      </w:pPr>
    </w:p>
    <w:p>
      <w:pPr>
        <w:jc w:val="both"/>
        <w:ind w:left="260" w:hanging="171"/>
        <w:spacing w:after="0" w:line="238" w:lineRule="auto"/>
        <w:tabs>
          <w:tab w:leader="none" w:pos="26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month periods ended January 30, 2026 and January 31, 2025 primarily represent facility exit-related costs and gains, severance and termination benefits, compensation for fully-dedicated AMP personnel, third-party consulting costs, and product-line exit costs.</w:t>
      </w:r>
    </w:p>
    <w:p>
      <w:pPr>
        <w:spacing w:after="0" w:line="154" w:lineRule="exact"/>
        <w:rPr>
          <w:sz w:val="20"/>
          <w:szCs w:val="20"/>
          <w:color w:val="auto"/>
        </w:rPr>
      </w:pPr>
    </w:p>
    <w:p>
      <w:pPr>
        <w:jc w:val="both"/>
        <w:ind w:left="260" w:hanging="171"/>
        <w:spacing w:after="0" w:line="232" w:lineRule="auto"/>
        <w:tabs>
          <w:tab w:leader="none" w:pos="274"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January 30, 2026 and January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January 30, 2026 and January 31, 2025:</w:t>
      </w:r>
    </w:p>
    <w:p>
      <w:pPr>
        <w:spacing w:after="0" w:line="19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23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January 30, 2026</w:t>
            </w: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January 31, 2025</w:t>
            </w: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26.1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(48.6)</w:t>
            </w:r>
          </w:p>
        </w:tc>
      </w:tr>
      <w:tr>
        <w:trPr>
          <w:trHeight w:val="216"/>
        </w:trPr>
        <w:tc>
          <w:tcPr>
            <w:tcW w:w="5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w:t>
            </w:r>
          </w:p>
        </w:tc>
        <w:tc>
          <w:tcPr>
            <w:tcW w:w="2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11.5</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19.1</w:t>
            </w:r>
          </w:p>
        </w:tc>
      </w:tr>
      <w:tr>
        <w:trPr>
          <w:trHeight w:val="209"/>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2360" w:type="dxa"/>
            <w:vAlign w:val="bottom"/>
            <w:shd w:val="clear" w:color="auto" w:fill="CCEEFF"/>
          </w:tcPr>
          <w:p>
            <w:pPr>
              <w:spacing w:after="0"/>
              <w:rPr>
                <w:sz w:val="18"/>
                <w:szCs w:val="18"/>
                <w:color w:val="auto"/>
              </w:rPr>
            </w:pPr>
          </w:p>
        </w:tc>
        <w:tc>
          <w:tcPr>
            <w:tcW w:w="1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14.6</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(67.7)</w:t>
            </w:r>
          </w:p>
        </w:tc>
      </w:tr>
      <w:tr>
        <w:trPr>
          <w:trHeight w:val="216"/>
        </w:trPr>
        <w:tc>
          <w:tcPr>
            <w:tcW w:w="5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67.9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52.8</w:t>
            </w:r>
          </w:p>
        </w:tc>
      </w:tr>
      <w:tr>
        <w:trPr>
          <w:trHeight w:val="235"/>
        </w:trPr>
        <w:tc>
          <w:tcPr>
            <w:tcW w:w="5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2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21.5 %</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1"/>
      <w:numFmt w:val="bullet"/>
      <w:start w:val="1"/>
    </w:lvl>
  </w:abstractNum>
  <w:abstractNum w:abstractNumId="10">
    <w:nsid w:val="1190CDE7"/>
    <w:multiLevelType w:val="hybridMultilevel"/>
    <w:lvl w:ilvl="0">
      <w:lvlJc w:val="left"/>
      <w:lvlText w:val="2"/>
      <w:numFmt w:val="bullet"/>
      <w:start w:val="1"/>
    </w:lvl>
  </w:abstractNum>
  <w:abstractNum w:abstractNumId="11">
    <w:nsid w:val="66EF438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2026-03-05T07:26:04Z</dcterms:created>
  <dcterms:modified xsi:type="dcterms:W3CDTF">2026-03-05T07:26:04Z</dcterms:modified>
</cp:coreProperties>
</file>