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9086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08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JANEY GREGORY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12/19/2019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VP, RLC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1,932.901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2,022.997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and 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76.53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12/19/2019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8,700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12/19/2029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8,700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8,700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1"/>
              </w:rPr>
              <w:t>1. The option vests in three equal annual installments commencing on the first anniversary of the date of grant.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Nancy A. McGrath,</w:t>
            </w:r>
          </w:p>
        </w:tc>
        <w:tc>
          <w:tcPr>
            <w:tcW w:w="1400" w:type="dxa"/>
            <w:vAlign w:val="bottom"/>
            <w:gridSpan w:val="5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12/20/2019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-3261995</wp:posOffset>
            </wp:positionV>
            <wp:extent cx="24765" cy="23063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06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96389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2019-12-20T13:40:04Z</dcterms:created>
  <dcterms:modified xsi:type="dcterms:W3CDTF">2019-12-20T13:40:04Z</dcterms:modified>
</cp:coreProperties>
</file>