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4, 2026, The Toro Company announced its financial results for the three and six month periods ended May 1, 2026.</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440" w:type="dxa"/>
            <w:vAlign w:val="bottom"/>
          </w:tcPr>
          <w:p>
            <w:pPr>
              <w:spacing w:after="0"/>
              <w:rPr>
                <w:sz w:val="22"/>
                <w:szCs w:val="22"/>
                <w:color w:val="auto"/>
              </w:rPr>
            </w:pPr>
          </w:p>
        </w:tc>
      </w:tr>
      <w:tr>
        <w:trPr>
          <w:trHeight w:val="484"/>
        </w:trPr>
        <w:tc>
          <w:tcPr>
            <w:tcW w:w="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20" w:type="dxa"/>
            <w:vAlign w:val="bottom"/>
          </w:tcPr>
          <w:p>
            <w:pPr>
              <w:spacing w:after="0"/>
              <w:rPr>
                <w:sz w:val="18"/>
                <w:szCs w:val="18"/>
                <w:color w:val="auto"/>
              </w:rPr>
            </w:pPr>
          </w:p>
        </w:tc>
        <w:tc>
          <w:tcPr>
            <w:tcW w:w="36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1220" w:type="dxa"/>
            <w:vAlign w:val="bottom"/>
          </w:tcPr>
          <w:p>
            <w:pPr>
              <w:spacing w:after="0"/>
              <w:rPr>
                <w:sz w:val="18"/>
                <w:szCs w:val="18"/>
                <w:color w:val="auto"/>
              </w:rPr>
            </w:pPr>
          </w:p>
        </w:tc>
        <w:tc>
          <w:tcPr>
            <w:tcW w:w="9440" w:type="dxa"/>
            <w:vAlign w:val="bottom"/>
          </w:tcPr>
          <w:p>
            <w:pPr>
              <w:ind w:left="580"/>
              <w:spacing w:after="0" w:line="212" w:lineRule="exact"/>
              <w:rPr>
                <w:sz w:val="20"/>
                <w:szCs w:val="20"/>
                <w:color w:val="auto"/>
              </w:rPr>
            </w:pPr>
            <w:r>
              <w:rPr>
                <w:rFonts w:ascii="Times New Roman" w:cs="Times New Roman" w:eastAsia="Times New Roman" w:hAnsi="Times New Roman"/>
                <w:sz w:val="20"/>
                <w:szCs w:val="20"/>
                <w:color w:val="auto"/>
              </w:rPr>
              <w:t>Press release dated June 4, 2026 (furnished herewith).</w:t>
            </w:r>
          </w:p>
        </w:tc>
      </w:tr>
      <w:tr>
        <w:trPr>
          <w:trHeight w:val="283"/>
        </w:trPr>
        <w:tc>
          <w:tcPr>
            <w:tcW w:w="5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122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June 4, 2026</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and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Affairs and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line="248" w:lineRule="auto"/>
        <w:rPr>
          <w:sz w:val="20"/>
          <w:szCs w:val="20"/>
          <w:color w:val="auto"/>
        </w:rPr>
      </w:pPr>
      <w:r>
        <w:rPr>
          <w:rFonts w:ascii="Arial" w:cs="Arial" w:eastAsia="Arial" w:hAnsi="Arial"/>
          <w:sz w:val="22"/>
          <w:szCs w:val="22"/>
          <w:b w:val="1"/>
          <w:bCs w:val="1"/>
          <w:color w:val="auto"/>
        </w:rPr>
        <w:t>The Toro Company Reports Strong Second-Quarter Results Driven by Broad-Based Customer Demand and Margin Improvement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Exceeds second-quarter expectations and raises full-year guidance</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up 8.1% year-over-year to $1.42 billion</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EPS up 9.5% year-over-year to $1.50</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EPS up 12.7% year-over-year to $1.60</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Returned $228 million to shareholders</w:t>
      </w:r>
    </w:p>
    <w:p>
      <w:pPr>
        <w:spacing w:after="0" w:line="155"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color w:val="auto"/>
        </w:rPr>
        <w:t>BLOOMINGTON, Minn.—(BUSINESS WIRE) — June 4, 2026—</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 provider of</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solutions for the outdoor environment, </w:t>
      </w:r>
      <w:r>
        <w:rPr>
          <w:rFonts w:ascii="Arial" w:cs="Arial" w:eastAsia="Arial" w:hAnsi="Arial"/>
          <w:sz w:val="20"/>
          <w:szCs w:val="20"/>
          <w:color w:val="000000"/>
        </w:rPr>
        <w:t>today reported results for its fiscal second-quarter ended May 1, 2026.</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0A0A0A"/>
        </w:rPr>
        <w:t xml:space="preserve">"We grew adjusted earnings per share by double-digits once again in the second quarter. This was driven by strong demand across our portfolio and continued margin expansion from operational execution,” </w:t>
      </w:r>
      <w:r>
        <w:rPr>
          <w:rFonts w:ascii="Arial" w:cs="Arial" w:eastAsia="Arial" w:hAnsi="Arial"/>
          <w:sz w:val="20"/>
          <w:szCs w:val="20"/>
          <w:color w:val="000000"/>
        </w:rPr>
        <w:t>said Richard M. Olson, chairman and chief</w:t>
      </w:r>
      <w:r>
        <w:rPr>
          <w:rFonts w:ascii="Arial" w:cs="Arial" w:eastAsia="Arial" w:hAnsi="Arial"/>
          <w:sz w:val="20"/>
          <w:szCs w:val="20"/>
          <w:color w:val="0A0A0A"/>
        </w:rPr>
        <w:t xml:space="preserve"> </w:t>
      </w:r>
      <w:r>
        <w:rPr>
          <w:rFonts w:ascii="Arial" w:cs="Arial" w:eastAsia="Arial" w:hAnsi="Arial"/>
          <w:sz w:val="20"/>
          <w:szCs w:val="20"/>
          <w:color w:val="000000"/>
        </w:rPr>
        <w:t>executive officer. “The strength of our portfolio is based in the quality and performance of our products in attractive end markets which drives demand and ultimately the strong financial results delivered by the team in the second quarter. Combined with disciplined working capital management, this execution also supported another quarter of robust free cash flow and value creation for our shareholders through dividends and share repurchases.”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ind w:right="60"/>
        <w:spacing w:after="0"/>
        <w:rPr>
          <w:sz w:val="20"/>
          <w:szCs w:val="20"/>
          <w:color w:val="auto"/>
        </w:rPr>
      </w:pPr>
      <w:r>
        <w:rPr>
          <w:rFonts w:ascii="Arial" w:cs="Arial" w:eastAsia="Arial" w:hAnsi="Arial"/>
          <w:sz w:val="20"/>
          <w:szCs w:val="20"/>
          <w:color w:val="0A0A0A"/>
        </w:rPr>
        <w:t xml:space="preserve">“The focus on our key strategic priorities to accelerate profitable growth, drive operational excellence, and empower people is driving results. Importantly, the team achieved these results despite macroeconomic and geopolitical headwinds and increasing inflationary pressures. We continue to capitalize on market opportunities in underground construction, landscape contractor and golf, while successfully executing our margin improvement initiatives. This performance gives us the confidence to raise our full-year guidance, </w:t>
      </w:r>
      <w:r>
        <w:rPr>
          <w:rFonts w:ascii="Arial" w:cs="Arial" w:eastAsia="Arial" w:hAnsi="Arial"/>
          <w:sz w:val="20"/>
          <w:szCs w:val="20"/>
          <w:color w:val="000000"/>
        </w:rPr>
        <w:t>while also reflecting the persistent and dynamic inflationary environment</w:t>
      </w:r>
      <w:r>
        <w:rPr>
          <w:rFonts w:ascii="Arial" w:cs="Arial" w:eastAsia="Arial" w:hAnsi="Arial"/>
          <w:sz w:val="20"/>
          <w:szCs w:val="20"/>
          <w:color w:val="0A0A0A"/>
        </w:rPr>
        <w:t>.”</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is raising its full-year net sales and *adjusted EPS guidance and now expects total company net sales growth in the range of 4.0% to 6.5%, up from the previous range of 3.0% to 6.5%, and *adjusted EPS in the range of $4.50 to $4.62, up from the previous range of $4.40 to $4.60.</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2026 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b w:val="1"/>
                <w:bCs w:val="1"/>
                <w:color w:val="auto"/>
              </w:rPr>
              <w:t>Reported</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0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7"/>
                <w:szCs w:val="17"/>
                <w:b w:val="1"/>
                <w:bCs w:val="1"/>
                <w:color w:val="auto"/>
              </w:rPr>
              <w:t>F26 Q2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7"/>
                <w:szCs w:val="17"/>
                <w:b w:val="1"/>
                <w:bCs w:val="1"/>
                <w:color w:val="auto"/>
              </w:rPr>
              <w:t>F25 Q2</w:t>
            </w: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w w:val="94"/>
              </w:rPr>
              <w:t>% Change</w:t>
            </w: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7"/>
                <w:szCs w:val="17"/>
                <w:b w:val="1"/>
                <w:bCs w:val="1"/>
                <w:color w:val="auto"/>
              </w:rPr>
              <w:t>F26 Q2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7"/>
                <w:szCs w:val="17"/>
                <w:b w:val="1"/>
                <w:bCs w:val="1"/>
                <w:color w:val="auto"/>
              </w:rPr>
              <w:t>F25 Q2</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7"/>
                <w:szCs w:val="17"/>
                <w:b w:val="1"/>
                <w:bCs w:val="1"/>
                <w:color w:val="auto"/>
              </w:rPr>
              <w:t>% Change</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1,317.9</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8.1 %</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136.8</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7"/>
              </w:rPr>
              <w:t>6.3 %</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141.8</w:t>
            </w:r>
          </w:p>
        </w:tc>
        <w:tc>
          <w:tcPr>
            <w:tcW w:w="132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1.37</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9.5 %</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SECOND-QUARTER FISCAL 2026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$1,106.6 million, up 9.1% from $1,014.1 million in the same period last year. The increase was driven primarily by net price realization, the Tornado acquisition, and higher shipments of underground construction equipment and zero-turn mowers.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$224.4 million, up from $202.1 million in the same period last year, and when expressed as a percentage of net sales, 20.3%, up from 19.9% in the prior-year period. The increase in profitability was primarily due to net price realization, productivity improvements, and net sales leverage, partially offset by higher material, manufacturing, and freight costs, as well as product mix.</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$310.4 million, up 4.4% from $297.40 million in the same period last year. The increase was primarily driven by net price realization and higher shipments of zero-turn mowers, partially offset by lower shipments of snow products.</w:t>
      </w:r>
    </w:p>
    <w:p>
      <w:pPr>
        <w:spacing w:after="0" w:line="130" w:lineRule="exact"/>
        <w:rPr>
          <w:rFonts w:ascii="Arial" w:cs="Arial" w:eastAsia="Arial" w:hAnsi="Arial"/>
          <w:sz w:val="20"/>
          <w:szCs w:val="20"/>
          <w:color w:val="auto"/>
        </w:rPr>
      </w:pPr>
    </w:p>
    <w:p>
      <w:pPr>
        <w:jc w:val="both"/>
        <w:ind w:left="660" w:hanging="328"/>
        <w:spacing w:after="0" w:line="24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$30.3 million, up from $16.10 million in the same period last year, and when expressed as a percentage of net sales, 9.8%, up from 5.4% in the prior-year period. The increase was largely driven by net price realization, productivity improvements, prior year inventory valuation adjustments that did not recur, cost savings measures, and net sales leverage, partially offset by higher material, manufacturing, and freight costs.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and *adjusted gross margin for the second quarter were 33.9% and 34.5%, respectively, up from 33.1% and 33.4%, respectively, in the same prior-year period. The change in gross margin was primarily due to net price realization and productivity improvements, partially offset by higher material, manufacturing, and freight costs, as well as product mix.</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SG&amp;A expense as a percentage of net sales for the second quarter was 20.2%, compared with 19.8% in the prior-year period, primarily driven by higher warranty and incentive expenses, partially offset by net sales leverage and lower warehousing costs.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13.7% for the second quarter, compared with 13.3% in the same prior-year period. *Adjusted operating earnings as a percentage of net sales for the second quarter were 14.4%, compared with 13.7%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$14.8 million for the second quarter, down $ 1.0 million from the same prior-year period. This decrease was primarily due to lower average interest rates and lower average outstanding borrowings.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reported effective tax rate for the second quarter was 20.7%, compared with 18.9% in the same prior-year period. The *adjusted effective tax rate for the second quarter was 21.7% compared with 18.7% in the same prior-year period. The increase in both the reported and adjusted effective tax rate was primarily due to a less favorable geographic mix of earnings.</w:t>
      </w:r>
    </w:p>
    <w:p>
      <w:pPr>
        <w:spacing w:after="0" w:line="200" w:lineRule="exact"/>
        <w:rPr>
          <w:sz w:val="20"/>
          <w:szCs w:val="20"/>
          <w:color w:val="auto"/>
        </w:rPr>
      </w:pPr>
    </w:p>
    <w:p>
      <w:pPr>
        <w:spacing w:after="0" w:line="35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4, 2026 at 10:00a.m. CT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CT on June 4, 2026.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global provider of solutions for the outdoor environment including turf and landscape maintenance, snow and ice management, underground construction, rental and specialty construction, and irrigation and outdoor lighting solutions. With net sales of $4.5 billion in fiscal 2025,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2026 to diluted EPS, which is the most directly comparable GAAP measure, in reliance on the unreasonable efforts exception provided under Item 10(e)(1)(i)(B) of Regulation S-K. The company’s adjusted diluted EPS guidance for fiscal 2026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2026 to diluted EPS reconciliation without unreasonable efforts. A quantitative reconciliation of adjusted diluted EPS for fiscal 2026 to diluted EPS would imply a degree of precision and certainty as to these future items that does not exist and could be confusing to investors. From a qualitative perspective, it is anticipated that the differences between adjusted diluted EPS for fiscal 2026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"remain," “promise,” “may,” “likely,” “intend,” “can,” “seek,” “pursue,” “potential,”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2026 financial guidance, expectations regarding demand trends, our recent strategic acquisition, and the success of new products,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or strategic partnership;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recent acquisition of Tornado Infrastructure Equipment Ltd. and possible additional future impairment of goodwill or other intangible assets; impacts AMP and any future restructuring activities or productivity or cost savings initiatives;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millions, except per-share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4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May 1, 2026</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May 2, 2025</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1, 2026</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May 2, 2025</w:t>
            </w: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1,424.7</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1,317.9</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2,461.0</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2,312.9</w:t>
            </w:r>
          </w:p>
        </w:tc>
      </w:tr>
      <w:tr>
        <w:trPr>
          <w:trHeight w:val="21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942.0</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881.2</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1,641.8</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1,540.6</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482.7</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436.7</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819.2</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772.3</w:t>
            </w:r>
          </w:p>
        </w:tc>
      </w:tr>
      <w:tr>
        <w:trPr>
          <w:trHeight w:val="216"/>
        </w:trPr>
        <w:tc>
          <w:tcPr>
            <w:tcW w:w="402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6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33.9 %</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33.1 %</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33.3 %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33.4 %</w:t>
            </w:r>
          </w:p>
        </w:tc>
      </w:tr>
      <w:tr>
        <w:trPr>
          <w:trHeight w:val="216"/>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287.7</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261.9</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537.1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519.7</w:t>
            </w:r>
          </w:p>
        </w:tc>
      </w:tr>
      <w:tr>
        <w:trPr>
          <w:trHeight w:val="209"/>
        </w:trPr>
        <w:tc>
          <w:tcPr>
            <w:tcW w:w="402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660" w:type="dxa"/>
            <w:vAlign w:val="bottom"/>
          </w:tcPr>
          <w:p>
            <w:pPr>
              <w:spacing w:after="0"/>
              <w:rPr>
                <w:sz w:val="18"/>
                <w:szCs w:val="18"/>
                <w:color w:val="auto"/>
              </w:rPr>
            </w:pPr>
          </w:p>
        </w:tc>
        <w:tc>
          <w:tcPr>
            <w:tcW w:w="1480" w:type="dxa"/>
            <w:vAlign w:val="bottom"/>
          </w:tcPr>
          <w:p>
            <w:pPr>
              <w:jc w:val="right"/>
              <w:ind w:right="198"/>
              <w:spacing w:after="0"/>
              <w:rPr>
                <w:sz w:val="20"/>
                <w:szCs w:val="20"/>
                <w:color w:val="auto"/>
              </w:rPr>
            </w:pPr>
            <w:r>
              <w:rPr>
                <w:rFonts w:ascii="Arial" w:cs="Arial" w:eastAsia="Arial" w:hAnsi="Arial"/>
                <w:sz w:val="16"/>
                <w:szCs w:val="16"/>
                <w:color w:val="auto"/>
              </w:rPr>
              <w:t>195.0</w:t>
            </w:r>
          </w:p>
        </w:tc>
        <w:tc>
          <w:tcPr>
            <w:tcW w:w="3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174.8</w:t>
            </w:r>
          </w:p>
        </w:tc>
        <w:tc>
          <w:tcPr>
            <w:tcW w:w="24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Arial" w:cs="Arial" w:eastAsia="Arial" w:hAnsi="Arial"/>
                <w:sz w:val="17"/>
                <w:szCs w:val="17"/>
                <w:color w:val="auto"/>
              </w:rPr>
              <w:t>282.1</w:t>
            </w:r>
          </w:p>
        </w:tc>
        <w:tc>
          <w:tcPr>
            <w:tcW w:w="260" w:type="dxa"/>
            <w:vAlign w:val="bottom"/>
          </w:tcPr>
          <w:p>
            <w:pPr>
              <w:spacing w:after="0"/>
              <w:rPr>
                <w:sz w:val="18"/>
                <w:szCs w:val="18"/>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252.6</w:t>
            </w: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(14.8)</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(29.0)</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(30.8)</w:t>
            </w:r>
          </w:p>
        </w:tc>
      </w:tr>
      <w:tr>
        <w:trPr>
          <w:trHeight w:val="21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17.2</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13.0</w:t>
            </w:r>
          </w:p>
        </w:tc>
      </w:tr>
      <w:tr>
        <w:trPr>
          <w:trHeight w:val="209"/>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183.4</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168.7</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270.3</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234.8</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provision</w:t>
            </w: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38.0</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31.9</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57.0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45.2</w:t>
            </w:r>
          </w:p>
        </w:tc>
      </w:tr>
      <w:tr>
        <w:trPr>
          <w:trHeight w:val="234"/>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145.4</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136.8</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213.3</w:t>
            </w:r>
          </w:p>
        </w:tc>
        <w:tc>
          <w:tcPr>
            <w:tcW w:w="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189.6</w:t>
            </w: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1.51</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1.37</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2.19</w:t>
            </w:r>
          </w:p>
        </w:tc>
        <w:tc>
          <w:tcPr>
            <w:tcW w:w="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1.88</w:t>
            </w:r>
          </w:p>
        </w:tc>
      </w:tr>
      <w:tr>
        <w:trPr>
          <w:trHeight w:val="75"/>
        </w:trPr>
        <w:tc>
          <w:tcPr>
            <w:tcW w:w="40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20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1.50</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1.37</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2.18</w:t>
            </w:r>
          </w:p>
        </w:tc>
        <w:tc>
          <w:tcPr>
            <w:tcW w:w="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1.88</w:t>
            </w:r>
          </w:p>
        </w:tc>
      </w:tr>
    </w:tbl>
    <w:p>
      <w:pPr>
        <w:spacing w:after="0" w:line="90" w:lineRule="exact"/>
        <w:rPr>
          <w:sz w:val="20"/>
          <w:szCs w:val="20"/>
          <w:color w:val="auto"/>
        </w:rPr>
      </w:pPr>
    </w:p>
    <w:p>
      <w:pPr>
        <w:sectPr>
          <w:pgSz w:w="11900" w:h="16838" w:orient="portrait"/>
          <w:cols w:equalWidth="0" w:num="1">
            <w:col w:w="11240"/>
          </w:cols>
          <w:pgMar w:left="320" w:top="761" w:right="339" w:bottom="1440" w:gutter="0" w:footer="0" w:header="0"/>
        </w:sectPr>
      </w:pPr>
    </w:p>
    <w:p>
      <w:pPr>
        <w:ind w:left="20" w:right="820"/>
        <w:spacing w:after="0" w:line="233" w:lineRule="auto"/>
        <w:rPr>
          <w:sz w:val="20"/>
          <w:szCs w:val="20"/>
          <w:color w:val="auto"/>
        </w:rPr>
      </w:pPr>
      <w:r>
        <w:rPr>
          <w:rFonts w:ascii="Arial" w:cs="Arial" w:eastAsia="Arial" w:hAnsi="Arial"/>
          <w:sz w:val="17"/>
          <w:szCs w:val="17"/>
          <w:color w:val="auto"/>
        </w:rPr>
        <w:t>Weighted-average number of shares of common stock outstanding — Basic</w:t>
      </w:r>
    </w:p>
    <w:p>
      <w:pPr>
        <w:spacing w:after="0" w:line="160" w:lineRule="exact"/>
        <w:rPr>
          <w:sz w:val="20"/>
          <w:szCs w:val="20"/>
          <w:color w:val="auto"/>
        </w:rPr>
      </w:pPr>
    </w:p>
    <w:p>
      <w:pPr>
        <w:ind w:left="20" w:right="820"/>
        <w:spacing w:after="0" w:line="233" w:lineRule="auto"/>
        <w:rPr>
          <w:sz w:val="20"/>
          <w:szCs w:val="20"/>
          <w:color w:val="auto"/>
        </w:rPr>
      </w:pPr>
      <w:r>
        <w:rPr>
          <w:rFonts w:ascii="Arial" w:cs="Arial" w:eastAsia="Arial" w:hAnsi="Arial"/>
          <w:sz w:val="17"/>
          <w:szCs w:val="17"/>
          <w:color w:val="auto"/>
        </w:rPr>
        <w:t>Weighted-average number of shares of common stock outstanding — Diluted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000" w:type="dxa"/>
            <w:vAlign w:val="bottom"/>
          </w:tcPr>
          <w:p>
            <w:pPr>
              <w:jc w:val="right"/>
              <w:ind w:right="597"/>
              <w:spacing w:after="0"/>
              <w:rPr>
                <w:sz w:val="20"/>
                <w:szCs w:val="20"/>
                <w:color w:val="auto"/>
              </w:rPr>
            </w:pPr>
            <w:r>
              <w:rPr>
                <w:rFonts w:ascii="Arial" w:cs="Arial" w:eastAsia="Arial" w:hAnsi="Arial"/>
                <w:sz w:val="17"/>
                <w:szCs w:val="17"/>
                <w:color w:val="auto"/>
                <w:w w:val="90"/>
              </w:rPr>
              <w:t>96.6</w:t>
            </w:r>
          </w:p>
        </w:tc>
        <w:tc>
          <w:tcPr>
            <w:tcW w:w="1760" w:type="dxa"/>
            <w:vAlign w:val="bottom"/>
          </w:tcPr>
          <w:p>
            <w:pPr>
              <w:jc w:val="right"/>
              <w:ind w:right="577"/>
              <w:spacing w:after="0"/>
              <w:rPr>
                <w:sz w:val="20"/>
                <w:szCs w:val="20"/>
                <w:color w:val="auto"/>
              </w:rPr>
            </w:pPr>
            <w:r>
              <w:rPr>
                <w:rFonts w:ascii="Arial" w:cs="Arial" w:eastAsia="Arial" w:hAnsi="Arial"/>
                <w:sz w:val="17"/>
                <w:szCs w:val="17"/>
                <w:color w:val="auto"/>
              </w:rPr>
              <w:t>99.8</w:t>
            </w:r>
          </w:p>
        </w:tc>
        <w:tc>
          <w:tcPr>
            <w:tcW w:w="1620" w:type="dxa"/>
            <w:vAlign w:val="bottom"/>
          </w:tcPr>
          <w:p>
            <w:pPr>
              <w:jc w:val="right"/>
              <w:ind w:right="557"/>
              <w:spacing w:after="0"/>
              <w:rPr>
                <w:sz w:val="20"/>
                <w:szCs w:val="20"/>
                <w:color w:val="auto"/>
              </w:rPr>
            </w:pPr>
            <w:r>
              <w:rPr>
                <w:rFonts w:ascii="Arial" w:cs="Arial" w:eastAsia="Arial" w:hAnsi="Arial"/>
                <w:sz w:val="17"/>
                <w:szCs w:val="17"/>
                <w:color w:val="auto"/>
              </w:rPr>
              <w:t>97.3</w:t>
            </w:r>
          </w:p>
        </w:tc>
        <w:tc>
          <w:tcPr>
            <w:tcW w:w="1080" w:type="dxa"/>
            <w:vAlign w:val="bottom"/>
          </w:tcPr>
          <w:p>
            <w:pPr>
              <w:jc w:val="right"/>
              <w:spacing w:after="0"/>
              <w:rPr>
                <w:sz w:val="20"/>
                <w:szCs w:val="20"/>
                <w:color w:val="auto"/>
              </w:rPr>
            </w:pPr>
            <w:r>
              <w:rPr>
                <w:rFonts w:ascii="Arial" w:cs="Arial" w:eastAsia="Arial" w:hAnsi="Arial"/>
                <w:sz w:val="17"/>
                <w:szCs w:val="17"/>
                <w:color w:val="auto"/>
              </w:rPr>
              <w:t>100.6</w:t>
            </w:r>
          </w:p>
        </w:tc>
      </w:tr>
      <w:tr>
        <w:trPr>
          <w:trHeight w:val="540"/>
        </w:trPr>
        <w:tc>
          <w:tcPr>
            <w:tcW w:w="1000" w:type="dxa"/>
            <w:vAlign w:val="bottom"/>
          </w:tcPr>
          <w:p>
            <w:pPr>
              <w:jc w:val="right"/>
              <w:ind w:right="597"/>
              <w:spacing w:after="0"/>
              <w:rPr>
                <w:sz w:val="20"/>
                <w:szCs w:val="20"/>
                <w:color w:val="auto"/>
              </w:rPr>
            </w:pPr>
            <w:r>
              <w:rPr>
                <w:rFonts w:ascii="Arial" w:cs="Arial" w:eastAsia="Arial" w:hAnsi="Arial"/>
                <w:sz w:val="17"/>
                <w:szCs w:val="17"/>
                <w:color w:val="auto"/>
                <w:w w:val="90"/>
              </w:rPr>
              <w:t>97.1</w:t>
            </w:r>
          </w:p>
        </w:tc>
        <w:tc>
          <w:tcPr>
            <w:tcW w:w="1760" w:type="dxa"/>
            <w:vAlign w:val="bottom"/>
          </w:tcPr>
          <w:p>
            <w:pPr>
              <w:jc w:val="right"/>
              <w:ind w:right="577"/>
              <w:spacing w:after="0"/>
              <w:rPr>
                <w:sz w:val="20"/>
                <w:szCs w:val="20"/>
                <w:color w:val="auto"/>
              </w:rPr>
            </w:pPr>
            <w:r>
              <w:rPr>
                <w:rFonts w:ascii="Arial" w:cs="Arial" w:eastAsia="Arial" w:hAnsi="Arial"/>
                <w:sz w:val="17"/>
                <w:szCs w:val="17"/>
                <w:color w:val="auto"/>
              </w:rPr>
              <w:t>100.1</w:t>
            </w:r>
          </w:p>
        </w:tc>
        <w:tc>
          <w:tcPr>
            <w:tcW w:w="1620" w:type="dxa"/>
            <w:vAlign w:val="bottom"/>
          </w:tcPr>
          <w:p>
            <w:pPr>
              <w:jc w:val="right"/>
              <w:ind w:right="557"/>
              <w:spacing w:after="0"/>
              <w:rPr>
                <w:sz w:val="20"/>
                <w:szCs w:val="20"/>
                <w:color w:val="auto"/>
              </w:rPr>
            </w:pPr>
            <w:r>
              <w:rPr>
                <w:rFonts w:ascii="Arial" w:cs="Arial" w:eastAsia="Arial" w:hAnsi="Arial"/>
                <w:sz w:val="17"/>
                <w:szCs w:val="17"/>
                <w:color w:val="auto"/>
              </w:rPr>
              <w:t>97.7</w:t>
            </w:r>
          </w:p>
        </w:tc>
        <w:tc>
          <w:tcPr>
            <w:tcW w:w="1080" w:type="dxa"/>
            <w:vAlign w:val="bottom"/>
          </w:tcPr>
          <w:p>
            <w:pPr>
              <w:jc w:val="right"/>
              <w:spacing w:after="0"/>
              <w:rPr>
                <w:sz w:val="20"/>
                <w:szCs w:val="20"/>
                <w:color w:val="auto"/>
              </w:rPr>
            </w:pPr>
            <w:r>
              <w:rPr>
                <w:rFonts w:ascii="Arial" w:cs="Arial" w:eastAsia="Arial" w:hAnsi="Arial"/>
                <w:sz w:val="17"/>
                <w:szCs w:val="17"/>
                <w:color w:val="auto"/>
              </w:rPr>
              <w:t>100.9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-589280</wp:posOffset>
            </wp:positionV>
            <wp:extent cx="713232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-246380</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761" w:right="3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May 1, 2026</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 2025</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May 1, 2026</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May 2, 2025</w:t>
            </w: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1,106.6</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1,014.1</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1,930.6</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1,782.9</w:t>
            </w:r>
          </w:p>
        </w:tc>
      </w:tr>
      <w:tr>
        <w:trPr>
          <w:trHeight w:val="216"/>
        </w:trPr>
        <w:tc>
          <w:tcPr>
            <w:tcW w:w="43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600" w:type="dxa"/>
            <w:vAlign w:val="bottom"/>
          </w:tcPr>
          <w:p>
            <w:pPr>
              <w:spacing w:after="0"/>
              <w:rPr>
                <w:sz w:val="18"/>
                <w:szCs w:val="18"/>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color w:val="auto"/>
              </w:rPr>
              <w:t>310.4</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297.4</w:t>
            </w:r>
          </w:p>
        </w:tc>
        <w:tc>
          <w:tcPr>
            <w:tcW w:w="22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516.4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518.4</w:t>
            </w:r>
          </w:p>
        </w:tc>
      </w:tr>
      <w:tr>
        <w:trPr>
          <w:trHeight w:val="216"/>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7.7</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14.0</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10"/>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1,424.7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2,461.0</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2,312.9</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1"/>
        </w:trPr>
        <w:tc>
          <w:tcPr>
            <w:tcW w:w="43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1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278.8</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466.3</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467.0</w:t>
            </w:r>
          </w:p>
        </w:tc>
      </w:tr>
      <w:tr>
        <w:trPr>
          <w:trHeight w:val="507"/>
        </w:trPr>
        <w:tc>
          <w:tcPr>
            <w:tcW w:w="4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7"/>
                <w:szCs w:val="17"/>
                <w:b w:val="1"/>
                <w:bCs w:val="1"/>
                <w:color w:val="auto"/>
              </w:rPr>
              <w:t>Six Months Ended</w:t>
            </w:r>
          </w:p>
        </w:tc>
      </w:tr>
      <w:tr>
        <w:trPr>
          <w:trHeight w:val="20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interest and taxes</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May 1, 2026</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 2025</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May 1, 2026</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May 2, 2025</w:t>
            </w: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224.4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362.0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329.3</w:t>
            </w:r>
          </w:p>
        </w:tc>
      </w:tr>
      <w:tr>
        <w:trPr>
          <w:trHeight w:val="216"/>
        </w:trPr>
        <w:tc>
          <w:tcPr>
            <w:tcW w:w="43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600" w:type="dxa"/>
            <w:vAlign w:val="bottom"/>
          </w:tcPr>
          <w:p>
            <w:pPr>
              <w:spacing w:after="0"/>
              <w:rPr>
                <w:sz w:val="18"/>
                <w:szCs w:val="18"/>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color w:val="auto"/>
              </w:rPr>
              <w:t>30.3</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43.5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16"/>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(56.5)</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w:t>
            </w:r>
          </w:p>
        </w:tc>
      </w:tr>
      <w:tr>
        <w:trPr>
          <w:trHeight w:val="210"/>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interest and taxes</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198.2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299.3</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May 1, 2026</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May 2, 2025</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96"/>
              </w:rPr>
              <w:t>October 31, 2025</w:t>
            </w:r>
          </w:p>
        </w:tc>
      </w:tr>
      <w:tr>
        <w:trPr>
          <w:trHeight w:val="169"/>
        </w:trPr>
        <w:tc>
          <w:tcPr>
            <w:tcW w:w="20" w:type="dxa"/>
            <w:vAlign w:val="bottom"/>
            <w:shd w:val="clear" w:color="auto" w:fill="CCEEFF"/>
          </w:tcPr>
          <w:p>
            <w:pPr>
              <w:spacing w:after="0"/>
              <w:rPr>
                <w:sz w:val="14"/>
                <w:szCs w:val="14"/>
                <w:color w:val="auto"/>
              </w:rPr>
            </w:pPr>
          </w:p>
        </w:tc>
        <w:tc>
          <w:tcPr>
            <w:tcW w:w="540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180.4</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176.5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341.0</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575.1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602.5</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378.2</w:t>
            </w: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923.4</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1,119.8</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920.8</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81.3</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80.1</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09"/>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1,760.2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1,978.9</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1,705.1</w:t>
            </w:r>
          </w:p>
        </w:tc>
      </w:tr>
      <w:tr>
        <w:trPr>
          <w:trHeight w:val="74"/>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623.0</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635.8</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615.8</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591.0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450.8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450.9</w:t>
            </w: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433.8</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487.3</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390.3</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115.7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110.9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45.0</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51.2</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120.7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58.6</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w:t>
            </w:r>
          </w:p>
        </w:tc>
      </w:tr>
      <w:tr>
        <w:trPr>
          <w:trHeight w:val="216"/>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14.6</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4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3,706.6</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3,788.1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76"/>
        </w:trPr>
        <w:tc>
          <w:tcPr>
            <w:tcW w:w="20" w:type="dxa"/>
            <w:vAlign w:val="bottom"/>
            <w:shd w:val="clear" w:color="auto" w:fill="CCEEFF"/>
          </w:tcPr>
          <w:p>
            <w:pPr>
              <w:spacing w:after="0"/>
              <w:rPr>
                <w:sz w:val="15"/>
                <w:szCs w:val="15"/>
                <w:color w:val="auto"/>
              </w:rPr>
            </w:pPr>
          </w:p>
        </w:tc>
        <w:tc>
          <w:tcPr>
            <w:tcW w:w="540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Current portion of long-term debt and short-term borrowings</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20.0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551.8</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516.0</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559.2</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536.7</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525.5</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20.2</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18.5</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09"/>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1,131.2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1,091.2</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912.4</w:t>
            </w:r>
          </w:p>
        </w:tc>
      </w:tr>
      <w:tr>
        <w:trPr>
          <w:trHeight w:val="75"/>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1,016.8</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1,077.1</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921.5</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96.2</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19.9</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70.6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46.4</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94"/>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Common stock</w:t>
            </w:r>
            <w:r>
              <w:rPr>
                <w:rFonts w:ascii="Arial" w:cs="Arial" w:eastAsia="Arial" w:hAnsi="Arial"/>
                <w:sz w:val="21"/>
                <w:szCs w:val="21"/>
                <w:color w:val="auto"/>
                <w:vertAlign w:val="superscript"/>
              </w:rPr>
              <w:t>1</w:t>
            </w:r>
          </w:p>
        </w:tc>
        <w:tc>
          <w:tcPr>
            <w:tcW w:w="1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99.0</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1,386.2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1,419.6</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1,390.5</w:t>
            </w:r>
          </w:p>
        </w:tc>
      </w:tr>
      <w:tr>
        <w:trPr>
          <w:trHeight w:val="216"/>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Accumulated other comprehensive loss</w:t>
            </w:r>
          </w:p>
        </w:tc>
        <w:tc>
          <w:tcPr>
            <w:tcW w:w="1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7"/>
                <w:szCs w:val="17"/>
                <w:color w:val="auto"/>
              </w:rPr>
              <w:t>Total stockholders’ equity</w:t>
            </w:r>
          </w:p>
        </w:tc>
        <w:tc>
          <w:tcPr>
            <w:tcW w:w="1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1,368.1</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1,476.6</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1,453.3</w:t>
            </w:r>
          </w:p>
        </w:tc>
      </w:tr>
      <w:tr>
        <w:trPr>
          <w:trHeight w:val="209"/>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Total liabilities and stockholders’ equity</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3,706.6</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3,788.1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3,438.8</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firstLine="8"/>
        <w:spacing w:after="0" w:line="236" w:lineRule="auto"/>
        <w:tabs>
          <w:tab w:leader="none" w:pos="74"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company’s second quarter ended May 1, 2026 the company amended its certificate of incorporation to change the par value of its preferred and common stock from $1.00 per share to $0.01 per share. This change has been adopted prospectively.</w:t>
      </w:r>
    </w:p>
    <w:p>
      <w:pPr>
        <w:sectPr>
          <w:pgSz w:w="11900" w:h="16838" w:orient="portrait"/>
          <w:cols w:equalWidth="0" w:num="1">
            <w:col w:w="11240"/>
          </w:cols>
          <w:pgMar w:left="320" w:top="76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8" w:lineRule="exact"/>
        <w:rPr>
          <w:sz w:val="20"/>
          <w:szCs w:val="20"/>
          <w:color w:val="auto"/>
        </w:rPr>
      </w:pPr>
    </w:p>
    <w:p>
      <w:pPr>
        <w:ind w:left="890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May 1, 2026</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May 2, 2025</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213.3</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189.6</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(used in) operating activities: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8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48.9</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48.0</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21.1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8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12.5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6"/>
        </w:trPr>
        <w:tc>
          <w:tcPr>
            <w:tcW w:w="738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Deferred income taxes</w:t>
            </w:r>
            <w:r>
              <w:rPr>
                <w:rFonts w:ascii="Arial" w:cs="Arial" w:eastAsia="Arial" w:hAnsi="Arial"/>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Other</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Receivables, net</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(189.5)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(141.6)</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37.7</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7380" w:type="dxa"/>
            <w:vAlign w:val="bottom"/>
          </w:tcPr>
          <w:p>
            <w:pPr>
              <w:ind w:left="140"/>
              <w:spacing w:after="0" w:line="216" w:lineRule="exact"/>
              <w:rPr>
                <w:sz w:val="20"/>
                <w:szCs w:val="20"/>
                <w:color w:val="auto"/>
              </w:rPr>
            </w:pPr>
            <w:r>
              <w:rPr>
                <w:rFonts w:ascii="Arial" w:cs="Arial" w:eastAsia="Arial" w:hAnsi="Arial"/>
                <w:sz w:val="17"/>
                <w:szCs w:val="17"/>
                <w:color w:val="auto"/>
              </w:rPr>
              <w:t>Other assets</w:t>
            </w:r>
            <w:r>
              <w:rPr>
                <w:rFonts w:ascii="Arial" w:cs="Arial" w:eastAsia="Arial" w:hAnsi="Arial"/>
                <w:sz w:val="21"/>
                <w:szCs w:val="21"/>
                <w:color w:val="auto"/>
                <w:vertAlign w:val="superscript"/>
              </w:rPr>
              <w:t>1</w:t>
            </w:r>
          </w:p>
        </w:tc>
        <w:tc>
          <w:tcPr>
            <w:tcW w:w="8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6.2</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63.2</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166.3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w:t>
            </w:r>
          </w:p>
        </w:tc>
      </w:tr>
      <w:tr>
        <w:trPr>
          <w:trHeight w:val="216"/>
        </w:trPr>
        <w:tc>
          <w:tcPr>
            <w:tcW w:w="73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Other liabilities</w:t>
            </w:r>
            <w:r>
              <w:rPr>
                <w:rFonts w:ascii="Arial" w:cs="Arial" w:eastAsia="Arial" w:hAnsi="Arial"/>
                <w:sz w:val="21"/>
                <w:szCs w:val="2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r>
      <w:tr>
        <w:trPr>
          <w:trHeight w:val="209"/>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293.5</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w:t>
            </w:r>
          </w:p>
        </w:tc>
      </w:tr>
      <w:tr>
        <w:trPr>
          <w:trHeight w:val="74"/>
        </w:trPr>
        <w:tc>
          <w:tcPr>
            <w:tcW w:w="7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of property, plant, and equipment</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11.6</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7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Acquisitions, net of cash received</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1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(226.7)</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75"/>
        </w:trPr>
        <w:tc>
          <w:tcPr>
            <w:tcW w:w="7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80" w:type="dxa"/>
            <w:vAlign w:val="bottom"/>
          </w:tcPr>
          <w:p>
            <w:pPr>
              <w:ind w:left="140"/>
              <w:spacing w:after="0" w:line="216" w:lineRule="exact"/>
              <w:rPr>
                <w:sz w:val="20"/>
                <w:szCs w:val="20"/>
                <w:color w:val="auto"/>
              </w:rPr>
            </w:pPr>
            <w:r>
              <w:rPr>
                <w:rFonts w:ascii="Arial" w:cs="Arial" w:eastAsia="Arial" w:hAnsi="Arial"/>
                <w:sz w:val="17"/>
                <w:szCs w:val="17"/>
                <w:color w:val="auto"/>
              </w:rPr>
              <w:t>Borrowings under debt arrangements</w:t>
            </w:r>
            <w:r>
              <w:rPr>
                <w:rFonts w:ascii="Arial" w:cs="Arial" w:eastAsia="Arial" w:hAnsi="Arial"/>
                <w:sz w:val="21"/>
                <w:szCs w:val="21"/>
                <w:color w:val="auto"/>
                <w:vertAlign w:val="superscript"/>
              </w:rPr>
              <w:t>1</w:t>
            </w:r>
          </w:p>
        </w:tc>
        <w:tc>
          <w:tcPr>
            <w:tcW w:w="8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350.0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740.0</w:t>
            </w:r>
          </w:p>
        </w:tc>
      </w:tr>
      <w:tr>
        <w:trPr>
          <w:trHeight w:val="216"/>
        </w:trPr>
        <w:tc>
          <w:tcPr>
            <w:tcW w:w="738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Repayments under debt arrangements</w:t>
            </w:r>
            <w:r>
              <w:rPr>
                <w:rFonts w:ascii="Arial" w:cs="Arial" w:eastAsia="Arial" w:hAnsi="Arial"/>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(565.0)</w:t>
            </w: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8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380" w:type="dxa"/>
            <w:vAlign w:val="bottom"/>
          </w:tcPr>
          <w:p>
            <w:pPr>
              <w:ind w:left="140"/>
              <w:spacing w:after="0"/>
              <w:rPr>
                <w:sz w:val="20"/>
                <w:szCs w:val="20"/>
                <w:color w:val="auto"/>
              </w:rPr>
            </w:pPr>
            <w:r>
              <w:rPr>
                <w:rFonts w:ascii="Arial" w:cs="Arial" w:eastAsia="Arial" w:hAnsi="Arial"/>
                <w:sz w:val="17"/>
                <w:szCs w:val="17"/>
                <w:color w:val="auto"/>
              </w:rPr>
              <w:t>Common stock repurchases</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(285.1)</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(200.0)</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r>
      <w:tr>
        <w:trPr>
          <w:trHeight w:val="216"/>
        </w:trPr>
        <w:tc>
          <w:tcPr>
            <w:tcW w:w="7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09"/>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(232.4)</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w:t>
            </w:r>
          </w:p>
        </w:tc>
      </w:tr>
      <w:tr>
        <w:trPr>
          <w:trHeight w:val="75"/>
        </w:trPr>
        <w:tc>
          <w:tcPr>
            <w:tcW w:w="7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16"/>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5.0</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74"/>
        </w:trPr>
        <w:tc>
          <w:tcPr>
            <w:tcW w:w="7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16"/>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r>
      <w:tr>
        <w:trPr>
          <w:trHeight w:val="21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341.0</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r>
      <w:tr>
        <w:trPr>
          <w:trHeight w:val="234"/>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180.4</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176.5</w:t>
            </w:r>
          </w:p>
        </w:tc>
      </w:tr>
      <w:tr>
        <w:trPr>
          <w:trHeight w:val="20"/>
        </w:trPr>
        <w:tc>
          <w:tcPr>
            <w:tcW w:w="7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80" w:hanging="91"/>
        <w:spacing w:after="0"/>
        <w:tabs>
          <w:tab w:leader="none" w:pos="18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year deferred income taxes has been conformed to the current year presentation. There was no change to net cash used in operating activities.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 except per-share data)</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tables provide a reconciliation of the non-GAAP financial performance measures used in this press release and our related earnings call to the most directly comparable measures calculated and reported in accordance with U.S. GAAP for the three and six month periods ended May 1, 2026 and May 2, 2025:</w:t>
      </w:r>
    </w:p>
    <w:p>
      <w:pPr>
        <w:sectPr>
          <w:pgSz w:w="11900" w:h="16838" w:orient="portrait"/>
          <w:cols w:equalWidth="0" w:num="1">
            <w:col w:w="11240"/>
          </w:cols>
          <w:pgMar w:left="320" w:top="7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Adjusted Profit &amp; Loss Statement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60" w:type="dxa"/>
            <w:vAlign w:val="bottom"/>
            <w:gridSpan w:val="4"/>
          </w:tcPr>
          <w:p>
            <w:pPr>
              <w:ind w:left="48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19"/>
                <w:szCs w:val="19"/>
                <w:color w:val="auto"/>
              </w:rPr>
            </w:pPr>
          </w:p>
        </w:tc>
        <w:tc>
          <w:tcPr>
            <w:tcW w:w="2620" w:type="dxa"/>
            <w:vAlign w:val="bottom"/>
            <w:gridSpan w:val="3"/>
          </w:tcPr>
          <w:p>
            <w:pPr>
              <w:jc w:val="right"/>
              <w:ind w:right="517"/>
              <w:spacing w:after="0"/>
              <w:rPr>
                <w:sz w:val="20"/>
                <w:szCs w:val="20"/>
                <w:color w:val="auto"/>
              </w:rPr>
            </w:pPr>
            <w:r>
              <w:rPr>
                <w:rFonts w:ascii="Arial" w:cs="Arial" w:eastAsia="Arial" w:hAnsi="Arial"/>
                <w:sz w:val="17"/>
                <w:szCs w:val="17"/>
                <w:b w:val="1"/>
                <w:bCs w:val="1"/>
                <w:color w:val="auto"/>
              </w:rPr>
              <w:t>Six Months Ended</w:t>
            </w:r>
          </w:p>
        </w:tc>
        <w:tc>
          <w:tcPr>
            <w:tcW w:w="180" w:type="dxa"/>
            <w:vAlign w:val="bottom"/>
          </w:tcPr>
          <w:p>
            <w:pPr>
              <w:spacing w:after="0"/>
              <w:rPr>
                <w:sz w:val="19"/>
                <w:szCs w:val="19"/>
                <w:color w:val="auto"/>
              </w:rPr>
            </w:pPr>
          </w:p>
        </w:tc>
      </w:tr>
      <w:tr>
        <w:trPr>
          <w:trHeight w:val="210"/>
        </w:trPr>
        <w:tc>
          <w:tcPr>
            <w:tcW w:w="4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1, 2026</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2, 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May 1, 2026</w:t>
            </w: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2025</w:t>
            </w:r>
          </w:p>
        </w:tc>
        <w:tc>
          <w:tcPr>
            <w:tcW w:w="180" w:type="dxa"/>
            <w:vAlign w:val="bottom"/>
            <w:tcBorders>
              <w:top w:val="single" w:sz="8" w:color="auto"/>
              <w:bottom w:val="single" w:sz="8" w:color="auto"/>
            </w:tcBorders>
          </w:tcPr>
          <w:p>
            <w:pPr>
              <w:spacing w:after="0"/>
              <w:rPr>
                <w:sz w:val="18"/>
                <w:szCs w:val="18"/>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482.7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772.3</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80" w:type="dxa"/>
            <w:vAlign w:val="bottom"/>
            <w:tcBorders>
              <w:bottom w:val="single" w:sz="8" w:color="auto"/>
            </w:tcBorders>
            <w:shd w:val="clear" w:color="auto" w:fill="CCEEFF"/>
          </w:tcPr>
          <w:p>
            <w:pPr>
              <w:spacing w:after="0"/>
              <w:rPr>
                <w:sz w:val="18"/>
                <w:szCs w:val="18"/>
                <w:color w:val="auto"/>
              </w:rPr>
            </w:pP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gross profit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492.1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440.4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779.8</w:t>
            </w:r>
          </w:p>
        </w:tc>
        <w:tc>
          <w:tcPr>
            <w:tcW w:w="180" w:type="dxa"/>
            <w:vAlign w:val="bottom"/>
            <w:tcBorders>
              <w:bottom w:val="single" w:sz="8" w:color="auto"/>
            </w:tcBorders>
          </w:tcPr>
          <w:p>
            <w:pPr>
              <w:spacing w:after="0"/>
              <w:rPr>
                <w:sz w:val="18"/>
                <w:szCs w:val="18"/>
                <w:color w:val="auto"/>
              </w:rPr>
            </w:pPr>
          </w:p>
        </w:tc>
      </w:tr>
      <w:tr>
        <w:trPr>
          <w:trHeight w:val="74"/>
        </w:trPr>
        <w:tc>
          <w:tcPr>
            <w:tcW w:w="4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17"/>
              <w:spacing w:after="0"/>
              <w:rPr>
                <w:sz w:val="20"/>
                <w:szCs w:val="20"/>
                <w:color w:val="auto"/>
              </w:rPr>
            </w:pPr>
            <w:r>
              <w:rPr>
                <w:rFonts w:ascii="Arial" w:cs="Arial" w:eastAsia="Arial" w:hAnsi="Arial"/>
                <w:sz w:val="17"/>
                <w:szCs w:val="17"/>
                <w:color w:val="auto"/>
              </w:rPr>
              <w:t>33.3 %</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33.4 %</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7"/>
              <w:spacing w:after="0"/>
              <w:rPr>
                <w:sz w:val="20"/>
                <w:szCs w:val="20"/>
                <w:color w:val="auto"/>
              </w:rPr>
            </w:pPr>
            <w:r>
              <w:rPr>
                <w:rFonts w:ascii="Arial" w:cs="Arial" w:eastAsia="Arial" w:hAnsi="Arial"/>
                <w:sz w:val="17"/>
                <w:szCs w:val="17"/>
                <w:color w:val="auto"/>
              </w:rPr>
              <w:t>0.2 %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w:t>
            </w:r>
          </w:p>
        </w:tc>
      </w:tr>
      <w:tr>
        <w:trPr>
          <w:trHeight w:val="209"/>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margin</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7"/>
                <w:szCs w:val="17"/>
                <w:color w:val="auto"/>
              </w:rPr>
              <w:t>34.1 %</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33.7 %</w:t>
            </w:r>
          </w:p>
        </w:tc>
      </w:tr>
      <w:tr>
        <w:trPr>
          <w:trHeight w:val="34"/>
        </w:trPr>
        <w:tc>
          <w:tcPr>
            <w:tcW w:w="4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80" w:type="dxa"/>
            <w:vAlign w:val="bottom"/>
            <w:tcBorders>
              <w:bottom w:val="single" w:sz="8" w:color="auto"/>
            </w:tcBorders>
            <w:shd w:val="clear" w:color="auto" w:fill="CCEEFF"/>
          </w:tcPr>
          <w:p>
            <w:pPr>
              <w:spacing w:after="0"/>
              <w:rPr>
                <w:sz w:val="18"/>
                <w:szCs w:val="18"/>
                <w:color w:val="auto"/>
              </w:rPr>
            </w:pP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operating earnings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180.4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274.4</w:t>
            </w:r>
          </w:p>
        </w:tc>
        <w:tc>
          <w:tcPr>
            <w:tcW w:w="180" w:type="dxa"/>
            <w:vAlign w:val="bottom"/>
            <w:tcBorders>
              <w:bottom w:val="single" w:sz="8" w:color="auto"/>
            </w:tcBorders>
          </w:tcPr>
          <w:p>
            <w:pPr>
              <w:spacing w:after="0"/>
              <w:rPr>
                <w:sz w:val="18"/>
                <w:szCs w:val="18"/>
                <w:color w:val="auto"/>
              </w:rPr>
            </w:pPr>
          </w:p>
        </w:tc>
      </w:tr>
      <w:tr>
        <w:trPr>
          <w:trHeight w:val="75"/>
        </w:trPr>
        <w:tc>
          <w:tcPr>
            <w:tcW w:w="4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Operating earnings margin</w:t>
            </w:r>
          </w:p>
        </w:tc>
        <w:tc>
          <w:tcPr>
            <w:tcW w:w="1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17"/>
              <w:spacing w:after="0"/>
              <w:rPr>
                <w:sz w:val="20"/>
                <w:szCs w:val="20"/>
                <w:color w:val="auto"/>
              </w:rPr>
            </w:pPr>
            <w:r>
              <w:rPr>
                <w:rFonts w:ascii="Arial" w:cs="Arial" w:eastAsia="Arial" w:hAnsi="Arial"/>
                <w:sz w:val="17"/>
                <w:szCs w:val="17"/>
                <w:color w:val="auto"/>
              </w:rPr>
              <w:t>11.5 %</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10.9 %</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7"/>
              <w:spacing w:after="0"/>
              <w:rPr>
                <w:sz w:val="20"/>
                <w:szCs w:val="20"/>
                <w:color w:val="auto"/>
              </w:rPr>
            </w:pPr>
            <w:r>
              <w:rPr>
                <w:rFonts w:ascii="Arial" w:cs="Arial" w:eastAsia="Arial" w:hAnsi="Arial"/>
                <w:sz w:val="17"/>
                <w:szCs w:val="17"/>
                <w:color w:val="auto"/>
              </w:rPr>
              <w:t>0.2 %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w:t>
            </w:r>
          </w:p>
        </w:tc>
      </w:tr>
      <w:tr>
        <w:trPr>
          <w:trHeight w:val="210"/>
        </w:trPr>
        <w:tc>
          <w:tcPr>
            <w:tcW w:w="4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operating earnings margin</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7"/>
                <w:szCs w:val="17"/>
                <w:color w:val="auto"/>
              </w:rPr>
              <w:t>12.5 %</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11.9 %</w:t>
            </w:r>
          </w:p>
        </w:tc>
      </w:tr>
      <w:tr>
        <w:trPr>
          <w:trHeight w:val="74"/>
        </w:trPr>
        <w:tc>
          <w:tcPr>
            <w:tcW w:w="4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80" w:type="dxa"/>
            <w:vAlign w:val="bottom"/>
            <w:tcBorders>
              <w:bottom w:val="single" w:sz="8" w:color="auto"/>
            </w:tcBorders>
            <w:shd w:val="clear" w:color="auto" w:fill="CCEEFF"/>
          </w:tcPr>
          <w:p>
            <w:pPr>
              <w:spacing w:after="0"/>
              <w:rPr>
                <w:sz w:val="18"/>
                <w:szCs w:val="18"/>
                <w:color w:val="auto"/>
              </w:rPr>
            </w:pP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earnings before income taxes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174.4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257.0</w:t>
            </w:r>
          </w:p>
        </w:tc>
        <w:tc>
          <w:tcPr>
            <w:tcW w:w="180" w:type="dxa"/>
            <w:vAlign w:val="bottom"/>
            <w:tcBorders>
              <w:bottom w:val="single" w:sz="8" w:color="auto"/>
            </w:tcBorders>
          </w:tcPr>
          <w:p>
            <w:pPr>
              <w:spacing w:after="0"/>
              <w:rPr>
                <w:sz w:val="18"/>
                <w:szCs w:val="18"/>
                <w:color w:val="auto"/>
              </w:rPr>
            </w:pPr>
          </w:p>
        </w:tc>
      </w:tr>
      <w:tr>
        <w:trPr>
          <w:trHeight w:val="75"/>
        </w:trPr>
        <w:tc>
          <w:tcPr>
            <w:tcW w:w="4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57.0</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45.2</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rPr>
                <w:sz w:val="20"/>
                <w:szCs w:val="20"/>
                <w:color w:val="auto"/>
              </w:rPr>
            </w:pPr>
            <w:r>
              <w:rPr>
                <w:rFonts w:ascii="Arial" w:cs="Arial" w:eastAsia="Arial" w:hAnsi="Arial"/>
                <w:sz w:val="17"/>
                <w:szCs w:val="17"/>
                <w:color w:val="auto"/>
              </w:rPr>
              <w:t>Adjusted income tax provision</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43.0</w:t>
            </w: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62.9</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49.3</w:t>
            </w:r>
          </w:p>
        </w:tc>
        <w:tc>
          <w:tcPr>
            <w:tcW w:w="180" w:type="dxa"/>
            <w:vAlign w:val="bottom"/>
          </w:tcPr>
          <w:p>
            <w:pPr>
              <w:spacing w:after="0"/>
              <w:rPr>
                <w:sz w:val="18"/>
                <w:szCs w:val="18"/>
                <w:color w:val="auto"/>
              </w:rPr>
            </w:pPr>
          </w:p>
        </w:tc>
      </w:tr>
      <w:tr>
        <w:trPr>
          <w:trHeight w:val="95"/>
        </w:trPr>
        <w:tc>
          <w:tcPr>
            <w:tcW w:w="422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earnings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189.6</w:t>
            </w:r>
          </w:p>
        </w:tc>
        <w:tc>
          <w:tcPr>
            <w:tcW w:w="180" w:type="dxa"/>
            <w:vAlign w:val="bottom"/>
            <w:tcBorders>
              <w:bottom w:val="single" w:sz="8" w:color="auto"/>
            </w:tcBorders>
          </w:tcPr>
          <w:p>
            <w:pPr>
              <w:spacing w:after="0"/>
              <w:rPr>
                <w:sz w:val="18"/>
                <w:szCs w:val="18"/>
                <w:color w:val="auto"/>
              </w:rPr>
            </w:pPr>
          </w:p>
        </w:tc>
      </w:tr>
      <w:tr>
        <w:trPr>
          <w:trHeight w:val="210"/>
        </w:trPr>
        <w:tc>
          <w:tcPr>
            <w:tcW w:w="4220" w:type="dxa"/>
            <w:vAlign w:val="bottom"/>
            <w:shd w:val="clear" w:color="auto" w:fill="CCEEFF"/>
          </w:tcPr>
          <w:p>
            <w:pPr>
              <w:ind w:left="140"/>
              <w:spacing w:after="0" w:line="210"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18.0</w:t>
            </w:r>
          </w:p>
        </w:tc>
        <w:tc>
          <w:tcPr>
            <w:tcW w:w="180" w:type="dxa"/>
            <w:vAlign w:val="bottom"/>
          </w:tcPr>
          <w:p>
            <w:pPr>
              <w:spacing w:after="0"/>
              <w:rPr>
                <w:sz w:val="18"/>
                <w:szCs w:val="18"/>
                <w:color w:val="auto"/>
              </w:rPr>
            </w:pP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tcBorders>
              <w:bottom w:val="single" w:sz="8" w:color="auto"/>
            </w:tcBorders>
            <w:shd w:val="clear" w:color="auto" w:fill="CCEEFF"/>
          </w:tcPr>
          <w:p>
            <w:pPr>
              <w:spacing w:after="0"/>
              <w:rPr>
                <w:sz w:val="18"/>
                <w:szCs w:val="18"/>
                <w:color w:val="auto"/>
              </w:rPr>
            </w:pP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207.7</w:t>
            </w:r>
          </w:p>
        </w:tc>
        <w:tc>
          <w:tcPr>
            <w:tcW w:w="180" w:type="dxa"/>
            <w:vAlign w:val="bottom"/>
            <w:tcBorders>
              <w:bottom w:val="single" w:sz="8" w:color="auto"/>
            </w:tcBorders>
          </w:tcPr>
          <w:p>
            <w:pPr>
              <w:spacing w:after="0"/>
              <w:rPr>
                <w:sz w:val="18"/>
                <w:szCs w:val="18"/>
                <w:color w:val="auto"/>
              </w:rPr>
            </w:pPr>
          </w:p>
        </w:tc>
      </w:tr>
      <w:tr>
        <w:trPr>
          <w:trHeight w:val="75"/>
        </w:trPr>
        <w:tc>
          <w:tcPr>
            <w:tcW w:w="4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7"/>
                <w:szCs w:val="17"/>
                <w:color w:val="auto"/>
              </w:rPr>
              <w:t>Net earnings per diluted share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2.18</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1.88</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1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0.09</w:t>
            </w:r>
          </w:p>
        </w:tc>
        <w:tc>
          <w:tcPr>
            <w:tcW w:w="2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0.12</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0.18</w:t>
            </w:r>
          </w:p>
        </w:tc>
        <w:tc>
          <w:tcPr>
            <w:tcW w:w="180" w:type="dxa"/>
            <w:vAlign w:val="bottom"/>
          </w:tcPr>
          <w:p>
            <w:pPr>
              <w:spacing w:after="0"/>
              <w:rPr>
                <w:sz w:val="18"/>
                <w:szCs w:val="18"/>
                <w:color w:val="auto"/>
              </w:rPr>
            </w:pP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r>
      <w:tr>
        <w:trPr>
          <w:trHeight w:val="210"/>
        </w:trPr>
        <w:tc>
          <w:tcPr>
            <w:tcW w:w="4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1.60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1.42</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80" w:type="dxa"/>
            <w:vAlign w:val="bottom"/>
            <w:tcBorders>
              <w:top w:val="single" w:sz="8" w:color="auto"/>
              <w:bottom w:val="single" w:sz="8" w:color="auto"/>
            </w:tcBorders>
          </w:tcPr>
          <w:p>
            <w:pPr>
              <w:spacing w:after="0"/>
              <w:rPr>
                <w:sz w:val="18"/>
                <w:szCs w:val="18"/>
                <w:color w:val="auto"/>
              </w:rPr>
            </w:pPr>
          </w:p>
        </w:tc>
      </w:tr>
      <w:tr>
        <w:trPr>
          <w:trHeight w:val="74"/>
        </w:trPr>
        <w:tc>
          <w:tcPr>
            <w:tcW w:w="4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17"/>
              <w:spacing w:after="0"/>
              <w:rPr>
                <w:sz w:val="20"/>
                <w:szCs w:val="20"/>
                <w:color w:val="auto"/>
              </w:rPr>
            </w:pPr>
            <w:r>
              <w:rPr>
                <w:rFonts w:ascii="Arial" w:cs="Arial" w:eastAsia="Arial" w:hAnsi="Arial"/>
                <w:sz w:val="17"/>
                <w:szCs w:val="17"/>
                <w:color w:val="auto"/>
              </w:rPr>
              <w:t>21.1 %</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19.3 %</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7"/>
              <w:spacing w:after="0"/>
              <w:rPr>
                <w:sz w:val="20"/>
                <w:szCs w:val="20"/>
                <w:color w:val="auto"/>
              </w:rPr>
            </w:pPr>
            <w:r>
              <w:rPr>
                <w:rFonts w:ascii="Arial" w:cs="Arial" w:eastAsia="Arial" w:hAnsi="Arial"/>
                <w:sz w:val="17"/>
                <w:szCs w:val="17"/>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7"/>
                <w:szCs w:val="17"/>
                <w:color w:val="auto"/>
              </w:rPr>
              <w:t>0.5 %</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(0.1)%</w:t>
            </w: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effective tax rate</w:t>
            </w: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7"/>
                <w:szCs w:val="17"/>
                <w:color w:val="auto"/>
              </w:rPr>
              <w:t>21.6 %</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19.2 %</w:t>
            </w:r>
          </w:p>
        </w:tc>
      </w:tr>
    </w:tbl>
    <w:p>
      <w:pPr>
        <w:spacing w:after="0" w:line="253" w:lineRule="exact"/>
        <w:rPr>
          <w:sz w:val="20"/>
          <w:szCs w:val="20"/>
          <w:color w:val="auto"/>
        </w:rPr>
      </w:pPr>
    </w:p>
    <w:p>
      <w:pPr>
        <w:ind w:left="260" w:hanging="171"/>
        <w:spacing w:after="0" w:line="222" w:lineRule="auto"/>
        <w:tabs>
          <w:tab w:leader="none" w:pos="274"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8, 2025, the company completed the acquisition of Tornado Infrastructure Equipment. Acquisition-related costs for the three and six month periods ended May 1, 2026 represent integration costs and amortization of the backlog intangible asset resulting from purchase accounting adjustments.</w:t>
      </w:r>
    </w:p>
    <w:p>
      <w:pPr>
        <w:spacing w:after="0" w:line="154" w:lineRule="exact"/>
        <w:rPr>
          <w:sz w:val="20"/>
          <w:szCs w:val="20"/>
          <w:color w:val="auto"/>
        </w:rPr>
      </w:pPr>
    </w:p>
    <w:p>
      <w:pPr>
        <w:jc w:val="both"/>
        <w:ind w:left="260" w:hanging="171"/>
        <w:spacing w:after="0" w:line="234" w:lineRule="auto"/>
        <w:tabs>
          <w:tab w:leader="none" w:pos="2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and six month periods ended May 1, 2026 and May 2, 2025 primarily represent facility exit-related costs and gains, severance and termination benefits, compensation for fully-dedicated AMP personnel, third-party consulting costs, and product-line exit costs.</w:t>
      </w:r>
    </w:p>
    <w:p>
      <w:pPr>
        <w:spacing w:after="0" w:line="170" w:lineRule="exact"/>
        <w:rPr>
          <w:sz w:val="20"/>
          <w:szCs w:val="20"/>
          <w:color w:val="auto"/>
        </w:rPr>
      </w:pPr>
    </w:p>
    <w:p>
      <w:pPr>
        <w:jc w:val="both"/>
        <w:ind w:left="260" w:hanging="171"/>
        <w:spacing w:after="0" w:line="232" w:lineRule="auto"/>
        <w:tabs>
          <w:tab w:leader="none" w:pos="274"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1, 2026 and May 2, 2025.</w:t>
      </w:r>
    </w:p>
    <w:p>
      <w:pPr>
        <w:sectPr>
          <w:pgSz w:w="11900" w:h="16838" w:orient="portrait"/>
          <w:cols w:equalWidth="0" w:num="1">
            <w:col w:w="11240"/>
          </w:cols>
          <w:pgMar w:left="320" w:top="76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Organic Sales Growth</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7"/>
                <w:szCs w:val="17"/>
                <w:b w:val="1"/>
                <w:bCs w:val="1"/>
                <w:color w:val="auto"/>
              </w:rPr>
              <w:t>Three Months Ended May 1, 2026</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980" w:type="dxa"/>
            <w:vAlign w:val="bottom"/>
            <w:vMerge w:val="restart"/>
          </w:tcPr>
          <w:p>
            <w:pPr>
              <w:jc w:val="right"/>
              <w:ind w:right="217"/>
              <w:spacing w:after="0"/>
              <w:rPr>
                <w:sz w:val="20"/>
                <w:szCs w:val="20"/>
                <w:color w:val="auto"/>
              </w:rPr>
            </w:pPr>
            <w:r>
              <w:rPr>
                <w:rFonts w:ascii="Arial" w:cs="Arial" w:eastAsia="Arial" w:hAnsi="Arial"/>
                <w:sz w:val="17"/>
                <w:szCs w:val="17"/>
                <w:b w:val="1"/>
                <w:bCs w:val="1"/>
                <w:color w:val="auto"/>
              </w:rPr>
              <w:t>Reported (GAAP)</w:t>
            </w:r>
          </w:p>
        </w:tc>
        <w:tc>
          <w:tcPr>
            <w:tcW w:w="1660" w:type="dxa"/>
            <w:vAlign w:val="bottom"/>
            <w:vMerge w:val="restart"/>
          </w:tcPr>
          <w:p>
            <w:pPr>
              <w:jc w:val="center"/>
              <w:ind w:right="57"/>
              <w:spacing w:after="0"/>
              <w:rPr>
                <w:sz w:val="20"/>
                <w:szCs w:val="20"/>
                <w:color w:val="auto"/>
              </w:rPr>
            </w:pPr>
            <w:r>
              <w:rPr>
                <w:rFonts w:ascii="Arial" w:cs="Arial" w:eastAsia="Arial" w:hAnsi="Arial"/>
                <w:sz w:val="17"/>
                <w:szCs w:val="17"/>
                <w:b w:val="1"/>
                <w:bCs w:val="1"/>
                <w:color w:val="auto"/>
                <w:w w:val="97"/>
              </w:rPr>
              <w:t>Acquisitions &amp;</w:t>
            </w:r>
          </w:p>
        </w:tc>
        <w:tc>
          <w:tcPr>
            <w:tcW w:w="1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Foreign Exchange</w:t>
            </w:r>
          </w:p>
        </w:tc>
        <w:tc>
          <w:tcPr>
            <w:tcW w:w="1660" w:type="dxa"/>
            <w:vAlign w:val="bottom"/>
          </w:tcPr>
          <w:p>
            <w:pPr>
              <w:jc w:val="center"/>
              <w:spacing w:after="0" w:line="155" w:lineRule="exact"/>
              <w:rPr>
                <w:sz w:val="20"/>
                <w:szCs w:val="20"/>
                <w:color w:val="auto"/>
              </w:rPr>
            </w:pPr>
            <w:r>
              <w:rPr>
                <w:rFonts w:ascii="Arial" w:cs="Arial" w:eastAsia="Arial" w:hAnsi="Arial"/>
                <w:sz w:val="17"/>
                <w:szCs w:val="17"/>
                <w:b w:val="1"/>
                <w:bCs w:val="1"/>
                <w:color w:val="auto"/>
                <w:w w:val="98"/>
              </w:rPr>
              <w:t>Organic Sales</w:t>
            </w:r>
          </w:p>
        </w:tc>
        <w:tc>
          <w:tcPr>
            <w:tcW w:w="0" w:type="dxa"/>
            <w:vAlign w:val="bottom"/>
          </w:tcPr>
          <w:p>
            <w:pPr>
              <w:spacing w:after="0"/>
              <w:rPr>
                <w:sz w:val="1"/>
                <w:szCs w:val="1"/>
                <w:color w:val="auto"/>
              </w:rPr>
            </w:pPr>
          </w:p>
        </w:tc>
      </w:tr>
      <w:tr>
        <w:trPr>
          <w:trHeight w:val="162"/>
        </w:trPr>
        <w:tc>
          <w:tcPr>
            <w:tcW w:w="4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(Percentage change versus the prior year period)</w:t>
            </w:r>
          </w:p>
        </w:tc>
        <w:tc>
          <w:tcPr>
            <w:tcW w:w="19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7"/>
              </w:rPr>
              <w:t>Growth/ (Decrease)</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Net Sales Growth</w:t>
            </w:r>
          </w:p>
        </w:tc>
        <w:tc>
          <w:tcPr>
            <w:tcW w:w="166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98"/>
              </w:rPr>
              <w:t>Divestitures</w:t>
            </w:r>
          </w:p>
        </w:tc>
        <w:tc>
          <w:tcPr>
            <w:tcW w:w="17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7"/>
                <w:szCs w:val="17"/>
                <w:b w:val="1"/>
                <w:bCs w:val="1"/>
                <w:color w:val="auto"/>
                <w:w w:val="92"/>
              </w:rPr>
              <w:t>Impact</w:t>
            </w:r>
            <w:r>
              <w:rPr>
                <w:rFonts w:ascii="Arial" w:cs="Arial" w:eastAsia="Arial" w:hAnsi="Arial"/>
                <w:sz w:val="21"/>
                <w:szCs w:val="21"/>
                <w:b w:val="1"/>
                <w:bCs w:val="1"/>
                <w:color w:val="auto"/>
                <w:w w:val="92"/>
                <w:vertAlign w:val="superscript"/>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(Non-GAAP)</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9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9.1 %</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(2.4)%</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980" w:type="dxa"/>
            <w:vAlign w:val="bottom"/>
          </w:tcPr>
          <w:p>
            <w:pPr>
              <w:jc w:val="right"/>
              <w:ind w:right="97"/>
              <w:spacing w:after="0"/>
              <w:rPr>
                <w:sz w:val="20"/>
                <w:szCs w:val="20"/>
                <w:color w:val="auto"/>
              </w:rPr>
            </w:pPr>
            <w:r>
              <w:rPr>
                <w:rFonts w:ascii="Arial" w:cs="Arial" w:eastAsia="Arial" w:hAnsi="Arial"/>
                <w:sz w:val="17"/>
                <w:szCs w:val="17"/>
                <w:color w:val="auto"/>
              </w:rPr>
              <w:t>4.4 %</w:t>
            </w:r>
          </w:p>
        </w:tc>
        <w:tc>
          <w:tcPr>
            <w:tcW w:w="1660" w:type="dxa"/>
            <w:vAlign w:val="bottom"/>
          </w:tcPr>
          <w:p>
            <w:pPr>
              <w:jc w:val="right"/>
              <w:ind w:right="17"/>
              <w:spacing w:after="0"/>
              <w:rPr>
                <w:sz w:val="20"/>
                <w:szCs w:val="20"/>
                <w:color w:val="auto"/>
              </w:rPr>
            </w:pPr>
            <w:r>
              <w:rPr>
                <w:rFonts w:ascii="Arial" w:cs="Arial" w:eastAsia="Arial" w:hAnsi="Arial"/>
                <w:sz w:val="17"/>
                <w:szCs w:val="17"/>
                <w:color w:val="auto"/>
              </w:rPr>
              <w:t>— %</w:t>
            </w:r>
          </w:p>
        </w:tc>
        <w:tc>
          <w:tcPr>
            <w:tcW w:w="1720" w:type="dxa"/>
            <w:vAlign w:val="bottom"/>
          </w:tcPr>
          <w:p>
            <w:pPr>
              <w:jc w:val="right"/>
              <w:spacing w:after="0"/>
              <w:rPr>
                <w:sz w:val="20"/>
                <w:szCs w:val="20"/>
                <w:color w:val="auto"/>
              </w:rPr>
            </w:pPr>
            <w:r>
              <w:rPr>
                <w:rFonts w:ascii="Arial" w:cs="Arial" w:eastAsia="Arial" w:hAnsi="Arial"/>
                <w:sz w:val="17"/>
                <w:szCs w:val="17"/>
                <w:color w:val="auto"/>
              </w:rPr>
              <w:t>(0.3)%</w:t>
            </w:r>
          </w:p>
        </w:tc>
        <w:tc>
          <w:tcPr>
            <w:tcW w:w="1660" w:type="dxa"/>
            <w:vAlign w:val="bottom"/>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20.3 %</w:t>
            </w:r>
          </w:p>
        </w:tc>
        <w:tc>
          <w:tcPr>
            <w:tcW w:w="1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20.3 %</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9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8.1 %</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5.7 %</w:t>
            </w:r>
          </w:p>
        </w:tc>
        <w:tc>
          <w:tcPr>
            <w:tcW w:w="0" w:type="dxa"/>
            <w:vAlign w:val="bottom"/>
          </w:tcPr>
          <w:p>
            <w:pPr>
              <w:spacing w:after="0"/>
              <w:rPr>
                <w:sz w:val="1"/>
                <w:szCs w:val="1"/>
                <w:color w:val="auto"/>
              </w:rPr>
            </w:pPr>
          </w:p>
        </w:tc>
      </w:tr>
      <w:tr>
        <w:trPr>
          <w:trHeight w:val="20"/>
        </w:trPr>
        <w:tc>
          <w:tcPr>
            <w:tcW w:w="958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580" w:type="dxa"/>
            <w:vAlign w:val="bottom"/>
            <w:gridSpan w:val="4"/>
          </w:tcPr>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The foreign exchange impact to sales growth measures the change in sales between current and prior year periods using constant exchange rates.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7"/>
                <w:szCs w:val="17"/>
                <w:b w:val="1"/>
                <w:bCs w:val="1"/>
                <w:color w:val="auto"/>
              </w:rPr>
              <w:t>Six Months Ended May 1, 2026</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980" w:type="dxa"/>
            <w:vAlign w:val="bottom"/>
            <w:vMerge w:val="restart"/>
          </w:tcPr>
          <w:p>
            <w:pPr>
              <w:jc w:val="right"/>
              <w:ind w:right="217"/>
              <w:spacing w:after="0"/>
              <w:rPr>
                <w:sz w:val="20"/>
                <w:szCs w:val="20"/>
                <w:color w:val="auto"/>
              </w:rPr>
            </w:pPr>
            <w:r>
              <w:rPr>
                <w:rFonts w:ascii="Arial" w:cs="Arial" w:eastAsia="Arial" w:hAnsi="Arial"/>
                <w:sz w:val="17"/>
                <w:szCs w:val="17"/>
                <w:b w:val="1"/>
                <w:bCs w:val="1"/>
                <w:color w:val="auto"/>
              </w:rPr>
              <w:t>Reported (GAAP)</w:t>
            </w:r>
          </w:p>
        </w:tc>
        <w:tc>
          <w:tcPr>
            <w:tcW w:w="1660" w:type="dxa"/>
            <w:vAlign w:val="bottom"/>
            <w:vMerge w:val="restart"/>
          </w:tcPr>
          <w:p>
            <w:pPr>
              <w:jc w:val="center"/>
              <w:ind w:right="57"/>
              <w:spacing w:after="0"/>
              <w:rPr>
                <w:sz w:val="20"/>
                <w:szCs w:val="20"/>
                <w:color w:val="auto"/>
              </w:rPr>
            </w:pPr>
            <w:r>
              <w:rPr>
                <w:rFonts w:ascii="Arial" w:cs="Arial" w:eastAsia="Arial" w:hAnsi="Arial"/>
                <w:sz w:val="17"/>
                <w:szCs w:val="17"/>
                <w:b w:val="1"/>
                <w:bCs w:val="1"/>
                <w:color w:val="auto"/>
                <w:w w:val="97"/>
              </w:rPr>
              <w:t>Acquisitions &amp;</w:t>
            </w:r>
          </w:p>
        </w:tc>
        <w:tc>
          <w:tcPr>
            <w:tcW w:w="1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Foreign Exchange</w:t>
            </w:r>
          </w:p>
        </w:tc>
        <w:tc>
          <w:tcPr>
            <w:tcW w:w="1660" w:type="dxa"/>
            <w:vAlign w:val="bottom"/>
          </w:tcPr>
          <w:p>
            <w:pPr>
              <w:jc w:val="center"/>
              <w:spacing w:after="0" w:line="155" w:lineRule="exact"/>
              <w:rPr>
                <w:sz w:val="20"/>
                <w:szCs w:val="20"/>
                <w:color w:val="auto"/>
              </w:rPr>
            </w:pPr>
            <w:r>
              <w:rPr>
                <w:rFonts w:ascii="Arial" w:cs="Arial" w:eastAsia="Arial" w:hAnsi="Arial"/>
                <w:sz w:val="17"/>
                <w:szCs w:val="17"/>
                <w:b w:val="1"/>
                <w:bCs w:val="1"/>
                <w:color w:val="auto"/>
                <w:w w:val="98"/>
              </w:rPr>
              <w:t>Organic Sales</w:t>
            </w:r>
          </w:p>
        </w:tc>
        <w:tc>
          <w:tcPr>
            <w:tcW w:w="0" w:type="dxa"/>
            <w:vAlign w:val="bottom"/>
          </w:tcPr>
          <w:p>
            <w:pPr>
              <w:spacing w:after="0"/>
              <w:rPr>
                <w:sz w:val="1"/>
                <w:szCs w:val="1"/>
                <w:color w:val="auto"/>
              </w:rPr>
            </w:pPr>
          </w:p>
        </w:tc>
      </w:tr>
      <w:tr>
        <w:trPr>
          <w:trHeight w:val="162"/>
        </w:trPr>
        <w:tc>
          <w:tcPr>
            <w:tcW w:w="4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(Percentage change versus the prior year period)</w:t>
            </w:r>
          </w:p>
        </w:tc>
        <w:tc>
          <w:tcPr>
            <w:tcW w:w="19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7"/>
              </w:rPr>
              <w:t>Growth/ (Decrease)</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Net Sales Growth</w:t>
            </w:r>
          </w:p>
        </w:tc>
        <w:tc>
          <w:tcPr>
            <w:tcW w:w="166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98"/>
              </w:rPr>
              <w:t>Divestitures</w:t>
            </w:r>
          </w:p>
        </w:tc>
        <w:tc>
          <w:tcPr>
            <w:tcW w:w="17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7"/>
                <w:szCs w:val="17"/>
                <w:b w:val="1"/>
                <w:bCs w:val="1"/>
                <w:color w:val="auto"/>
                <w:w w:val="92"/>
              </w:rPr>
              <w:t>Impact</w:t>
            </w:r>
            <w:r>
              <w:rPr>
                <w:rFonts w:ascii="Arial" w:cs="Arial" w:eastAsia="Arial" w:hAnsi="Arial"/>
                <w:sz w:val="21"/>
                <w:szCs w:val="21"/>
                <w:b w:val="1"/>
                <w:bCs w:val="1"/>
                <w:color w:val="auto"/>
                <w:w w:val="92"/>
                <w:vertAlign w:val="superscript"/>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(Non-GAAP)</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9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8.3 %</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(2.3)%</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980" w:type="dxa"/>
            <w:vAlign w:val="bottom"/>
          </w:tcPr>
          <w:p>
            <w:pPr>
              <w:jc w:val="right"/>
              <w:ind w:right="97"/>
              <w:spacing w:after="0"/>
              <w:rPr>
                <w:sz w:val="20"/>
                <w:szCs w:val="20"/>
                <w:color w:val="auto"/>
              </w:rPr>
            </w:pPr>
            <w:r>
              <w:rPr>
                <w:rFonts w:ascii="Arial" w:cs="Arial" w:eastAsia="Arial" w:hAnsi="Arial"/>
                <w:sz w:val="17"/>
                <w:szCs w:val="17"/>
                <w:color w:val="auto"/>
              </w:rPr>
              <w:t>(0.4)%</w:t>
            </w:r>
          </w:p>
        </w:tc>
        <w:tc>
          <w:tcPr>
            <w:tcW w:w="1660" w:type="dxa"/>
            <w:vAlign w:val="bottom"/>
          </w:tcPr>
          <w:p>
            <w:pPr>
              <w:jc w:val="right"/>
              <w:ind w:right="17"/>
              <w:spacing w:after="0"/>
              <w:rPr>
                <w:sz w:val="20"/>
                <w:szCs w:val="20"/>
                <w:color w:val="auto"/>
              </w:rPr>
            </w:pPr>
            <w:r>
              <w:rPr>
                <w:rFonts w:ascii="Arial" w:cs="Arial" w:eastAsia="Arial" w:hAnsi="Arial"/>
                <w:sz w:val="17"/>
                <w:szCs w:val="17"/>
                <w:color w:val="auto"/>
              </w:rPr>
              <w:t>— %</w:t>
            </w:r>
          </w:p>
        </w:tc>
        <w:tc>
          <w:tcPr>
            <w:tcW w:w="1720" w:type="dxa"/>
            <w:vAlign w:val="bottom"/>
          </w:tcPr>
          <w:p>
            <w:pPr>
              <w:jc w:val="right"/>
              <w:spacing w:after="0"/>
              <w:rPr>
                <w:sz w:val="20"/>
                <w:szCs w:val="20"/>
                <w:color w:val="auto"/>
              </w:rPr>
            </w:pPr>
            <w:r>
              <w:rPr>
                <w:rFonts w:ascii="Arial" w:cs="Arial" w:eastAsia="Arial" w:hAnsi="Arial"/>
                <w:sz w:val="17"/>
                <w:szCs w:val="17"/>
                <w:color w:val="auto"/>
              </w:rPr>
              <w:t>(0.3)%</w:t>
            </w:r>
          </w:p>
        </w:tc>
        <w:tc>
          <w:tcPr>
            <w:tcW w:w="16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20.7 %</w:t>
            </w:r>
          </w:p>
        </w:tc>
        <w:tc>
          <w:tcPr>
            <w:tcW w:w="1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20.7 %</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9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6.4 %</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The foreign exchange impact to sales growth measures the change in sales between current and prior year periods using constant exchange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7"/>
                <w:szCs w:val="17"/>
                <w:b w:val="1"/>
                <w:bCs w:val="1"/>
                <w:color w:val="auto"/>
              </w:rPr>
              <w:t>Three Months Ended May 2, 2025</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220" w:type="dxa"/>
            <w:vAlign w:val="bottom"/>
          </w:tcPr>
          <w:p>
            <w:pPr>
              <w:spacing w:after="0"/>
              <w:rPr>
                <w:sz w:val="14"/>
                <w:szCs w:val="14"/>
                <w:color w:val="auto"/>
              </w:rPr>
            </w:pPr>
          </w:p>
        </w:tc>
        <w:tc>
          <w:tcPr>
            <w:tcW w:w="1980" w:type="dxa"/>
            <w:vAlign w:val="bottom"/>
            <w:vMerge w:val="restart"/>
          </w:tcPr>
          <w:p>
            <w:pPr>
              <w:jc w:val="right"/>
              <w:ind w:right="217"/>
              <w:spacing w:after="0"/>
              <w:rPr>
                <w:sz w:val="20"/>
                <w:szCs w:val="20"/>
                <w:color w:val="auto"/>
              </w:rPr>
            </w:pPr>
            <w:r>
              <w:rPr>
                <w:rFonts w:ascii="Arial" w:cs="Arial" w:eastAsia="Arial" w:hAnsi="Arial"/>
                <w:sz w:val="17"/>
                <w:szCs w:val="17"/>
                <w:b w:val="1"/>
                <w:bCs w:val="1"/>
                <w:color w:val="auto"/>
              </w:rPr>
              <w:t>Reported (GAAP)</w:t>
            </w:r>
          </w:p>
        </w:tc>
        <w:tc>
          <w:tcPr>
            <w:tcW w:w="1660" w:type="dxa"/>
            <w:vAlign w:val="bottom"/>
            <w:vMerge w:val="restart"/>
          </w:tcPr>
          <w:p>
            <w:pPr>
              <w:jc w:val="center"/>
              <w:ind w:right="57"/>
              <w:spacing w:after="0"/>
              <w:rPr>
                <w:sz w:val="20"/>
                <w:szCs w:val="20"/>
                <w:color w:val="auto"/>
              </w:rPr>
            </w:pPr>
            <w:r>
              <w:rPr>
                <w:rFonts w:ascii="Arial" w:cs="Arial" w:eastAsia="Arial" w:hAnsi="Arial"/>
                <w:sz w:val="17"/>
                <w:szCs w:val="17"/>
                <w:b w:val="1"/>
                <w:bCs w:val="1"/>
                <w:color w:val="auto"/>
                <w:w w:val="97"/>
              </w:rPr>
              <w:t>Acquisitions &amp;</w:t>
            </w:r>
          </w:p>
        </w:tc>
        <w:tc>
          <w:tcPr>
            <w:tcW w:w="1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Foreign Exchange</w:t>
            </w:r>
          </w:p>
        </w:tc>
        <w:tc>
          <w:tcPr>
            <w:tcW w:w="1660" w:type="dxa"/>
            <w:vAlign w:val="bottom"/>
          </w:tcPr>
          <w:p>
            <w:pPr>
              <w:jc w:val="center"/>
              <w:spacing w:after="0" w:line="164" w:lineRule="exact"/>
              <w:rPr>
                <w:sz w:val="20"/>
                <w:szCs w:val="20"/>
                <w:color w:val="auto"/>
              </w:rPr>
            </w:pPr>
            <w:r>
              <w:rPr>
                <w:rFonts w:ascii="Arial" w:cs="Arial" w:eastAsia="Arial" w:hAnsi="Arial"/>
                <w:sz w:val="17"/>
                <w:szCs w:val="17"/>
                <w:b w:val="1"/>
                <w:bCs w:val="1"/>
                <w:color w:val="auto"/>
                <w:w w:val="98"/>
              </w:rPr>
              <w:t>Organic Sales</w:t>
            </w:r>
          </w:p>
        </w:tc>
        <w:tc>
          <w:tcPr>
            <w:tcW w:w="0" w:type="dxa"/>
            <w:vAlign w:val="bottom"/>
          </w:tcPr>
          <w:p>
            <w:pPr>
              <w:spacing w:after="0"/>
              <w:rPr>
                <w:sz w:val="1"/>
                <w:szCs w:val="1"/>
                <w:color w:val="auto"/>
              </w:rPr>
            </w:pPr>
          </w:p>
        </w:tc>
      </w:tr>
      <w:tr>
        <w:trPr>
          <w:trHeight w:val="167"/>
        </w:trPr>
        <w:tc>
          <w:tcPr>
            <w:tcW w:w="4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(Percentage change versus the prior year period)</w:t>
            </w:r>
          </w:p>
        </w:tc>
        <w:tc>
          <w:tcPr>
            <w:tcW w:w="19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7"/>
              </w:rPr>
              <w:t>Growth/ (Decrease)</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Net Sales Growth</w:t>
            </w:r>
          </w:p>
        </w:tc>
        <w:tc>
          <w:tcPr>
            <w:tcW w:w="166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98"/>
              </w:rPr>
              <w:t>Divestitures</w:t>
            </w: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7"/>
                <w:szCs w:val="17"/>
                <w:b w:val="1"/>
                <w:bCs w:val="1"/>
                <w:color w:val="auto"/>
                <w:w w:val="92"/>
              </w:rPr>
              <w:t>Impact</w:t>
            </w:r>
            <w:r>
              <w:rPr>
                <w:rFonts w:ascii="Arial" w:cs="Arial" w:eastAsia="Arial" w:hAnsi="Arial"/>
                <w:sz w:val="21"/>
                <w:szCs w:val="21"/>
                <w:b w:val="1"/>
                <w:bCs w:val="1"/>
                <w:color w:val="auto"/>
                <w:w w:val="92"/>
                <w:vertAlign w:val="superscript"/>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(Non-GAAP)</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9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0.8 %</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0.2 %</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980" w:type="dxa"/>
            <w:vAlign w:val="bottom"/>
          </w:tcPr>
          <w:p>
            <w:pPr>
              <w:jc w:val="right"/>
              <w:ind w:right="97"/>
              <w:spacing w:after="0"/>
              <w:rPr>
                <w:sz w:val="20"/>
                <w:szCs w:val="20"/>
                <w:color w:val="auto"/>
              </w:rPr>
            </w:pPr>
            <w:r>
              <w:rPr>
                <w:rFonts w:ascii="Arial" w:cs="Arial" w:eastAsia="Arial" w:hAnsi="Arial"/>
                <w:sz w:val="17"/>
                <w:szCs w:val="17"/>
                <w:color w:val="auto"/>
              </w:rPr>
              <w:t>(11.4)%</w:t>
            </w:r>
          </w:p>
        </w:tc>
        <w:tc>
          <w:tcPr>
            <w:tcW w:w="1660" w:type="dxa"/>
            <w:vAlign w:val="bottom"/>
          </w:tcPr>
          <w:p>
            <w:pPr>
              <w:jc w:val="right"/>
              <w:ind w:right="17"/>
              <w:spacing w:after="0"/>
              <w:rPr>
                <w:sz w:val="20"/>
                <w:szCs w:val="20"/>
                <w:color w:val="auto"/>
              </w:rPr>
            </w:pPr>
            <w:r>
              <w:rPr>
                <w:rFonts w:ascii="Arial" w:cs="Arial" w:eastAsia="Arial" w:hAnsi="Arial"/>
                <w:sz w:val="17"/>
                <w:szCs w:val="17"/>
                <w:color w:val="auto"/>
              </w:rPr>
              <w:t>1.4 %</w:t>
            </w:r>
          </w:p>
        </w:tc>
        <w:tc>
          <w:tcPr>
            <w:tcW w:w="1720" w:type="dxa"/>
            <w:vAlign w:val="bottom"/>
          </w:tcPr>
          <w:p>
            <w:pPr>
              <w:jc w:val="right"/>
              <w:spacing w:after="0"/>
              <w:rPr>
                <w:sz w:val="20"/>
                <w:szCs w:val="20"/>
                <w:color w:val="auto"/>
              </w:rPr>
            </w:pPr>
            <w:r>
              <w:rPr>
                <w:rFonts w:ascii="Arial" w:cs="Arial" w:eastAsia="Arial" w:hAnsi="Arial"/>
                <w:sz w:val="17"/>
                <w:szCs w:val="17"/>
                <w:color w:val="auto"/>
              </w:rPr>
              <w:t>0.2 %</w:t>
            </w:r>
          </w:p>
        </w:tc>
        <w:tc>
          <w:tcPr>
            <w:tcW w:w="166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(17.9)%</w:t>
            </w:r>
          </w:p>
        </w:tc>
        <w:tc>
          <w:tcPr>
            <w:tcW w:w="1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9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(2.3)%</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0.5 %</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
        </w:trPr>
        <w:tc>
          <w:tcPr>
            <w:tcW w:w="958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580" w:type="dxa"/>
            <w:vAlign w:val="bottom"/>
            <w:gridSpan w:val="4"/>
          </w:tcPr>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The foreign exchange impact to sales growth measures the change in sales between current and prior year periods using constant exchange rates.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7"/>
                <w:szCs w:val="17"/>
                <w:b w:val="1"/>
                <w:bCs w:val="1"/>
                <w:color w:val="auto"/>
              </w:rPr>
              <w:t>Six Months Ended May 2, 2025</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980" w:type="dxa"/>
            <w:vAlign w:val="bottom"/>
            <w:vMerge w:val="restart"/>
          </w:tcPr>
          <w:p>
            <w:pPr>
              <w:jc w:val="right"/>
              <w:ind w:right="217"/>
              <w:spacing w:after="0"/>
              <w:rPr>
                <w:sz w:val="20"/>
                <w:szCs w:val="20"/>
                <w:color w:val="auto"/>
              </w:rPr>
            </w:pPr>
            <w:r>
              <w:rPr>
                <w:rFonts w:ascii="Arial" w:cs="Arial" w:eastAsia="Arial" w:hAnsi="Arial"/>
                <w:sz w:val="17"/>
                <w:szCs w:val="17"/>
                <w:b w:val="1"/>
                <w:bCs w:val="1"/>
                <w:color w:val="auto"/>
              </w:rPr>
              <w:t>Reported (GAAP)</w:t>
            </w:r>
          </w:p>
        </w:tc>
        <w:tc>
          <w:tcPr>
            <w:tcW w:w="1660" w:type="dxa"/>
            <w:vAlign w:val="bottom"/>
            <w:vMerge w:val="restart"/>
          </w:tcPr>
          <w:p>
            <w:pPr>
              <w:jc w:val="center"/>
              <w:ind w:right="57"/>
              <w:spacing w:after="0"/>
              <w:rPr>
                <w:sz w:val="20"/>
                <w:szCs w:val="20"/>
                <w:color w:val="auto"/>
              </w:rPr>
            </w:pPr>
            <w:r>
              <w:rPr>
                <w:rFonts w:ascii="Arial" w:cs="Arial" w:eastAsia="Arial" w:hAnsi="Arial"/>
                <w:sz w:val="17"/>
                <w:szCs w:val="17"/>
                <w:b w:val="1"/>
                <w:bCs w:val="1"/>
                <w:color w:val="auto"/>
                <w:w w:val="97"/>
              </w:rPr>
              <w:t>Acquisitions &amp;</w:t>
            </w:r>
          </w:p>
        </w:tc>
        <w:tc>
          <w:tcPr>
            <w:tcW w:w="1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Foreign Exchange</w:t>
            </w:r>
          </w:p>
        </w:tc>
        <w:tc>
          <w:tcPr>
            <w:tcW w:w="1660" w:type="dxa"/>
            <w:vAlign w:val="bottom"/>
          </w:tcPr>
          <w:p>
            <w:pPr>
              <w:jc w:val="center"/>
              <w:spacing w:after="0" w:line="155" w:lineRule="exact"/>
              <w:rPr>
                <w:sz w:val="20"/>
                <w:szCs w:val="20"/>
                <w:color w:val="auto"/>
              </w:rPr>
            </w:pPr>
            <w:r>
              <w:rPr>
                <w:rFonts w:ascii="Arial" w:cs="Arial" w:eastAsia="Arial" w:hAnsi="Arial"/>
                <w:sz w:val="17"/>
                <w:szCs w:val="17"/>
                <w:b w:val="1"/>
                <w:bCs w:val="1"/>
                <w:color w:val="auto"/>
                <w:w w:val="98"/>
              </w:rPr>
              <w:t>Organic Sales</w:t>
            </w:r>
          </w:p>
        </w:tc>
        <w:tc>
          <w:tcPr>
            <w:tcW w:w="0" w:type="dxa"/>
            <w:vAlign w:val="bottom"/>
          </w:tcPr>
          <w:p>
            <w:pPr>
              <w:spacing w:after="0"/>
              <w:rPr>
                <w:sz w:val="1"/>
                <w:szCs w:val="1"/>
                <w:color w:val="auto"/>
              </w:rPr>
            </w:pPr>
          </w:p>
        </w:tc>
      </w:tr>
      <w:tr>
        <w:trPr>
          <w:trHeight w:val="162"/>
        </w:trPr>
        <w:tc>
          <w:tcPr>
            <w:tcW w:w="4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(Percentage change versus the prior year period)</w:t>
            </w:r>
          </w:p>
        </w:tc>
        <w:tc>
          <w:tcPr>
            <w:tcW w:w="19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7"/>
              </w:rPr>
              <w:t>Growth/ (Decrease)</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Net Sales Growth</w:t>
            </w:r>
          </w:p>
        </w:tc>
        <w:tc>
          <w:tcPr>
            <w:tcW w:w="166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98"/>
              </w:rPr>
              <w:t>Divestitures</w:t>
            </w:r>
          </w:p>
        </w:tc>
        <w:tc>
          <w:tcPr>
            <w:tcW w:w="17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7"/>
                <w:szCs w:val="17"/>
                <w:b w:val="1"/>
                <w:bCs w:val="1"/>
                <w:color w:val="auto"/>
                <w:w w:val="92"/>
              </w:rPr>
              <w:t>Impact</w:t>
            </w:r>
            <w:r>
              <w:rPr>
                <w:rFonts w:ascii="Arial" w:cs="Arial" w:eastAsia="Arial" w:hAnsi="Arial"/>
                <w:sz w:val="21"/>
                <w:szCs w:val="21"/>
                <w:b w:val="1"/>
                <w:bCs w:val="1"/>
                <w:color w:val="auto"/>
                <w:w w:val="92"/>
                <w:vertAlign w:val="superscript"/>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(Non-GAAP)</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9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1.2 %</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0.1 %</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980" w:type="dxa"/>
            <w:vAlign w:val="bottom"/>
          </w:tcPr>
          <w:p>
            <w:pPr>
              <w:jc w:val="right"/>
              <w:ind w:right="97"/>
              <w:spacing w:after="0"/>
              <w:rPr>
                <w:sz w:val="20"/>
                <w:szCs w:val="20"/>
                <w:color w:val="auto"/>
              </w:rPr>
            </w:pPr>
            <w:r>
              <w:rPr>
                <w:rFonts w:ascii="Arial" w:cs="Arial" w:eastAsia="Arial" w:hAnsi="Arial"/>
                <w:sz w:val="17"/>
                <w:szCs w:val="17"/>
                <w:color w:val="auto"/>
              </w:rPr>
              <w:t>(10.0)%</w:t>
            </w:r>
          </w:p>
        </w:tc>
        <w:tc>
          <w:tcPr>
            <w:tcW w:w="1660" w:type="dxa"/>
            <w:vAlign w:val="bottom"/>
          </w:tcPr>
          <w:p>
            <w:pPr>
              <w:jc w:val="right"/>
              <w:ind w:right="17"/>
              <w:spacing w:after="0"/>
              <w:rPr>
                <w:sz w:val="20"/>
                <w:szCs w:val="20"/>
                <w:color w:val="auto"/>
              </w:rPr>
            </w:pPr>
            <w:r>
              <w:rPr>
                <w:rFonts w:ascii="Arial" w:cs="Arial" w:eastAsia="Arial" w:hAnsi="Arial"/>
                <w:sz w:val="17"/>
                <w:szCs w:val="17"/>
                <w:color w:val="auto"/>
              </w:rPr>
              <w:t>2.1 %</w:t>
            </w:r>
          </w:p>
        </w:tc>
        <w:tc>
          <w:tcPr>
            <w:tcW w:w="1720" w:type="dxa"/>
            <w:vAlign w:val="bottom"/>
          </w:tcPr>
          <w:p>
            <w:pPr>
              <w:jc w:val="right"/>
              <w:spacing w:after="0"/>
              <w:rPr>
                <w:sz w:val="20"/>
                <w:szCs w:val="20"/>
                <w:color w:val="auto"/>
              </w:rPr>
            </w:pPr>
            <w:r>
              <w:rPr>
                <w:rFonts w:ascii="Arial" w:cs="Arial" w:eastAsia="Arial" w:hAnsi="Arial"/>
                <w:sz w:val="17"/>
                <w:szCs w:val="17"/>
                <w:color w:val="auto"/>
              </w:rPr>
              <w:t>0.2 %</w:t>
            </w:r>
          </w:p>
        </w:tc>
        <w:tc>
          <w:tcPr>
            <w:tcW w:w="166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(11.5)%</w:t>
            </w:r>
          </w:p>
        </w:tc>
        <w:tc>
          <w:tcPr>
            <w:tcW w:w="1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9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(1.6)%</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0.6 %</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The foreign exchange impact to sales growth measures the change in sales between current and prior year periods using constant exchange rates.</w:t>
      </w:r>
    </w:p>
    <w:p>
      <w:pPr>
        <w:sectPr>
          <w:pgSz w:w="11900" w:h="16838" w:orient="portrait"/>
          <w:cols w:equalWidth="0" w:num="1">
            <w:col w:w="11240"/>
          </w:cols>
          <w:pgMar w:left="320" w:top="767"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1, 2026 and May 2, 2025:</w:t>
      </w:r>
    </w:p>
    <w:p>
      <w:pPr>
        <w:spacing w:after="0" w:line="193"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2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May 1, 2026</w:t>
            </w: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May 2, 2025</w:t>
            </w: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2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293.5</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123.1</w:t>
            </w:r>
          </w:p>
        </w:tc>
      </w:tr>
      <w:tr>
        <w:trPr>
          <w:trHeight w:val="216"/>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2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28.0</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38.4</w:t>
            </w:r>
          </w:p>
        </w:tc>
      </w:tr>
      <w:tr>
        <w:trPr>
          <w:trHeight w:val="210"/>
        </w:trPr>
        <w:tc>
          <w:tcPr>
            <w:tcW w:w="5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2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265.5</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84.7</w:t>
            </w:r>
          </w:p>
        </w:tc>
      </w:tr>
      <w:tr>
        <w:trPr>
          <w:trHeight w:val="216"/>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2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213.3</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189.6</w:t>
            </w:r>
          </w:p>
        </w:tc>
      </w:tr>
      <w:tr>
        <w:trPr>
          <w:trHeight w:val="234"/>
        </w:trPr>
        <w:tc>
          <w:tcPr>
            <w:tcW w:w="5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2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124.5 %</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44.7 %</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52"/>
    </w:lvl>
  </w:abstractNum>
  <w:abstractNum w:abstractNumId="2">
    <w:nsid w:val="41B71EFB"/>
    <w:multiLevelType w:val="hybridMultilevel"/>
    <w:lvl w:ilvl="0">
      <w:lvlJc w:val="left"/>
      <w:lvlText w:val="(%1)"/>
      <w:numFmt w:val="decimal"/>
      <w:start w:val="95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2026-06-04T07:35:51Z</dcterms:created>
  <dcterms:modified xsi:type="dcterms:W3CDTF">2026-06-04T07:35:51Z</dcterms:modified>
</cp:coreProperties>
</file>