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259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2598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DRAZAN MICHAEL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06/06/2012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63"/>
        <w:spacing w:after="0"/>
        <w:rPr>
          <w:sz w:val="20"/>
          <w:szCs w:val="20"/>
          <w:color w:val="auto"/>
        </w:rPr>
      </w:pPr>
      <w:r>
        <w:rPr>
          <w:rFonts w:ascii="Arial" w:cs="Arial" w:eastAsia="Arial" w:hAnsi="Arial"/>
          <w:sz w:val="18"/>
          <w:szCs w:val="18"/>
          <w:color w:val="0000FF"/>
        </w:rPr>
        <w:t>VP, Global Micro Irrigation</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40" w:type="dxa"/>
            <w:vAlign w:val="bottom"/>
            <w:gridSpan w:val="2"/>
          </w:tcPr>
          <w:p>
            <w:pPr>
              <w:ind w:left="540"/>
              <w:spacing w:after="0"/>
              <w:rPr>
                <w:sz w:val="20"/>
                <w:szCs w:val="20"/>
                <w:color w:val="auto"/>
              </w:rPr>
            </w:pPr>
            <w:r>
              <w:rPr>
                <w:rFonts w:ascii="Arial" w:cs="Arial" w:eastAsia="Arial" w:hAnsi="Arial"/>
                <w:sz w:val="18"/>
                <w:szCs w:val="18"/>
                <w:color w:val="0000FF"/>
              </w:rPr>
              <w:t>06/06/2012</w:t>
            </w: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ind w:left="140"/>
              <w:spacing w:after="0"/>
              <w:rPr>
                <w:sz w:val="20"/>
                <w:szCs w:val="20"/>
                <w:color w:val="auto"/>
              </w:rPr>
            </w:pPr>
            <w:r>
              <w:rPr>
                <w:rFonts w:ascii="Arial" w:cs="Arial" w:eastAsia="Arial" w:hAnsi="Arial"/>
                <w:sz w:val="14"/>
                <w:szCs w:val="14"/>
                <w:color w:val="0000FF"/>
              </w:rPr>
              <w:t>M</w:t>
            </w:r>
          </w:p>
        </w:tc>
        <w:tc>
          <w:tcPr>
            <w:tcW w:w="780" w:type="dxa"/>
            <w:vAlign w:val="bottom"/>
          </w:tcPr>
          <w:p>
            <w:pPr>
              <w:ind w:left="160"/>
              <w:spacing w:after="0"/>
              <w:rPr>
                <w:sz w:val="20"/>
                <w:szCs w:val="20"/>
                <w:color w:val="auto"/>
              </w:rPr>
            </w:pPr>
            <w:r>
              <w:rPr>
                <w:rFonts w:ascii="Arial" w:cs="Arial" w:eastAsia="Arial" w:hAnsi="Arial"/>
                <w:sz w:val="18"/>
                <w:szCs w:val="18"/>
                <w:color w:val="0000FF"/>
              </w:rPr>
              <w:t>7,050</w:t>
            </w:r>
          </w:p>
        </w:tc>
        <w:tc>
          <w:tcPr>
            <w:tcW w:w="520" w:type="dxa"/>
            <w:vAlign w:val="bottom"/>
          </w:tcPr>
          <w:p>
            <w:pPr>
              <w:ind w:left="160"/>
              <w:spacing w:after="0"/>
              <w:rPr>
                <w:sz w:val="20"/>
                <w:szCs w:val="20"/>
                <w:color w:val="auto"/>
              </w:rPr>
            </w:pPr>
            <w:r>
              <w:rPr>
                <w:rFonts w:ascii="Arial" w:cs="Arial" w:eastAsia="Arial" w:hAnsi="Arial"/>
                <w:sz w:val="18"/>
                <w:szCs w:val="18"/>
                <w:color w:val="0000FF"/>
              </w:rPr>
              <w:t>A</w:t>
            </w:r>
          </w:p>
        </w:tc>
        <w:tc>
          <w:tcPr>
            <w:tcW w:w="780" w:type="dxa"/>
            <w:vAlign w:val="bottom"/>
          </w:tcPr>
          <w:p>
            <w:pPr>
              <w:jc w:val="center"/>
              <w:ind w:right="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24.16</w:t>
            </w: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29,121</w:t>
            </w:r>
          </w:p>
        </w:tc>
        <w:tc>
          <w:tcPr>
            <w:tcW w:w="32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06/06/2012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7,050</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71.436</w:t>
            </w:r>
            <w:r>
              <w:rPr>
                <w:rFonts w:ascii="Arial" w:cs="Arial" w:eastAsia="Arial" w:hAnsi="Arial"/>
                <w:sz w:val="22"/>
                <w:szCs w:val="22"/>
                <w:color w:val="008000"/>
                <w:w w:val="86"/>
                <w:vertAlign w:val="superscript"/>
              </w:rPr>
              <w:t>(1)</w:t>
            </w: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22,071</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5"/>
              </w:rPr>
              <w:t>2,139.502</w:t>
            </w:r>
            <w:r>
              <w:rPr>
                <w:rFonts w:ascii="Arial" w:cs="Arial" w:eastAsia="Arial" w:hAnsi="Arial"/>
                <w:sz w:val="22"/>
                <w:szCs w:val="22"/>
                <w:color w:val="008000"/>
                <w:w w:val="85"/>
                <w:vertAlign w:val="superscript"/>
              </w:rPr>
              <w:t>(2)</w:t>
            </w:r>
          </w:p>
        </w:tc>
        <w:tc>
          <w:tcPr>
            <w:tcW w:w="320" w:type="dxa"/>
            <w:vAlign w:val="bottom"/>
          </w:tcPr>
          <w:p>
            <w:pPr>
              <w:spacing w:after="0"/>
              <w:rPr>
                <w:sz w:val="18"/>
                <w:szCs w:val="18"/>
                <w:color w:val="auto"/>
              </w:rPr>
            </w:pPr>
          </w:p>
        </w:tc>
        <w:tc>
          <w:tcPr>
            <w:tcW w:w="600" w:type="dxa"/>
            <w:vAlign w:val="bottom"/>
          </w:tcPr>
          <w:p>
            <w:pPr>
              <w:jc w:val="center"/>
              <w:ind w:right="309"/>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13,300.795</w:t>
            </w:r>
            <w:r>
              <w:rPr>
                <w:rFonts w:ascii="Arial" w:cs="Arial" w:eastAsia="Arial" w:hAnsi="Arial"/>
                <w:sz w:val="22"/>
                <w:szCs w:val="22"/>
                <w:color w:val="008000"/>
                <w:w w:val="85"/>
                <w:vertAlign w:val="superscript"/>
              </w:rPr>
              <w:t>(3)</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gridSpan w:val="2"/>
          </w:tcPr>
          <w:p>
            <w:pPr>
              <w:ind w:left="2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8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2"/>
          </w:tcPr>
          <w:p>
            <w:pPr>
              <w:ind w:left="24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Incentive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20" w:type="dxa"/>
            <w:vAlign w:val="bottom"/>
            <w:gridSpan w:val="3"/>
            <w:vMerge w:val="restart"/>
          </w:tcPr>
          <w:p>
            <w:pPr>
              <w:ind w:left="120"/>
              <w:spacing w:after="0" w:line="324" w:lineRule="exact"/>
              <w:rPr>
                <w:sz w:val="20"/>
                <w:szCs w:val="20"/>
                <w:color w:val="auto"/>
              </w:rPr>
            </w:pPr>
            <w:r>
              <w:rPr>
                <w:rFonts w:ascii="Arial" w:cs="Arial" w:eastAsia="Arial" w:hAnsi="Arial"/>
                <w:sz w:val="14"/>
                <w:szCs w:val="14"/>
                <w:color w:val="0000FF"/>
                <w:w w:val="92"/>
              </w:rPr>
              <w:t xml:space="preserve">Common   </w:t>
            </w:r>
            <w:r>
              <w:rPr>
                <w:rFonts w:ascii="Arial" w:cs="Arial" w:eastAsia="Arial" w:hAnsi="Arial"/>
                <w:sz w:val="35"/>
                <w:szCs w:val="35"/>
                <w:color w:val="0000FF"/>
                <w:w w:val="92"/>
                <w:vertAlign w:val="subscript"/>
              </w:rPr>
              <w:t>7,050</w:t>
            </w: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Stock</w:t>
            </w:r>
          </w:p>
        </w:tc>
        <w:tc>
          <w:tcPr>
            <w:tcW w:w="820" w:type="dxa"/>
            <w:vAlign w:val="bottom"/>
          </w:tcPr>
          <w:p>
            <w:pPr>
              <w:ind w:left="24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24.16</w:t>
            </w:r>
          </w:p>
        </w:tc>
        <w:tc>
          <w:tcPr>
            <w:tcW w:w="1140" w:type="dxa"/>
            <w:vAlign w:val="bottom"/>
          </w:tcPr>
          <w:p>
            <w:pPr>
              <w:ind w:left="260"/>
              <w:spacing w:after="0" w:line="133" w:lineRule="exact"/>
              <w:rPr>
                <w:sz w:val="20"/>
                <w:szCs w:val="20"/>
                <w:color w:val="auto"/>
              </w:rPr>
            </w:pPr>
            <w:r>
              <w:rPr>
                <w:rFonts w:ascii="Arial" w:cs="Arial" w:eastAsia="Arial" w:hAnsi="Arial"/>
                <w:sz w:val="14"/>
                <w:szCs w:val="14"/>
                <w:color w:val="0000FF"/>
              </w:rPr>
              <w:t>06/06/2012</w:t>
            </w:r>
          </w:p>
        </w:tc>
        <w:tc>
          <w:tcPr>
            <w:tcW w:w="1140" w:type="dxa"/>
            <w:vAlign w:val="bottom"/>
          </w:tcPr>
          <w:p>
            <w:pPr>
              <w:spacing w:after="0"/>
              <w:rPr>
                <w:sz w:val="11"/>
                <w:szCs w:val="11"/>
                <w:color w:val="auto"/>
              </w:rPr>
            </w:pPr>
          </w:p>
        </w:tc>
        <w:tc>
          <w:tcPr>
            <w:tcW w:w="40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440" w:type="dxa"/>
            <w:vAlign w:val="bottom"/>
          </w:tcPr>
          <w:p>
            <w:pPr>
              <w:spacing w:after="0"/>
              <w:rPr>
                <w:sz w:val="11"/>
                <w:szCs w:val="11"/>
                <w:color w:val="auto"/>
              </w:rPr>
            </w:pPr>
          </w:p>
        </w:tc>
        <w:tc>
          <w:tcPr>
            <w:tcW w:w="700" w:type="dxa"/>
            <w:vAlign w:val="bottom"/>
            <w:gridSpan w:val="2"/>
          </w:tcPr>
          <w:p>
            <w:pPr>
              <w:ind w:left="380"/>
              <w:spacing w:after="0" w:line="133" w:lineRule="exact"/>
              <w:rPr>
                <w:sz w:val="20"/>
                <w:szCs w:val="20"/>
                <w:color w:val="auto"/>
              </w:rPr>
            </w:pPr>
            <w:r>
              <w:rPr>
                <w:rFonts w:ascii="Arial" w:cs="Arial" w:eastAsia="Arial" w:hAnsi="Arial"/>
                <w:sz w:val="14"/>
                <w:szCs w:val="14"/>
                <w:color w:val="0000FF"/>
                <w:w w:val="85"/>
              </w:rPr>
              <w:t>7,050</w:t>
            </w:r>
          </w:p>
        </w:tc>
        <w:tc>
          <w:tcPr>
            <w:tcW w:w="820" w:type="dxa"/>
            <w:vAlign w:val="bottom"/>
          </w:tcPr>
          <w:p>
            <w:pPr>
              <w:ind w:left="160"/>
              <w:spacing w:after="0" w:line="133" w:lineRule="exact"/>
              <w:rPr>
                <w:sz w:val="20"/>
                <w:szCs w:val="20"/>
                <w:color w:val="auto"/>
              </w:rPr>
            </w:pPr>
            <w:r>
              <w:rPr>
                <w:rFonts w:ascii="Arial" w:cs="Arial" w:eastAsia="Arial" w:hAnsi="Arial"/>
                <w:sz w:val="14"/>
                <w:szCs w:val="14"/>
                <w:color w:val="0000FF"/>
                <w:w w:val="91"/>
              </w:rPr>
              <w:t>12/04/2004</w:t>
            </w:r>
          </w:p>
        </w:tc>
        <w:tc>
          <w:tcPr>
            <w:tcW w:w="780" w:type="dxa"/>
            <w:vAlign w:val="bottom"/>
          </w:tcPr>
          <w:p>
            <w:pPr>
              <w:ind w:left="140"/>
              <w:spacing w:after="0" w:line="133" w:lineRule="exact"/>
              <w:rPr>
                <w:sz w:val="20"/>
                <w:szCs w:val="20"/>
                <w:color w:val="auto"/>
              </w:rPr>
            </w:pPr>
            <w:r>
              <w:rPr>
                <w:rFonts w:ascii="Arial" w:cs="Arial" w:eastAsia="Arial" w:hAnsi="Arial"/>
                <w:sz w:val="14"/>
                <w:szCs w:val="14"/>
                <w:color w:val="0000FF"/>
                <w:w w:val="88"/>
              </w:rPr>
              <w:t>12/04/2013</w:t>
            </w:r>
          </w:p>
        </w:tc>
        <w:tc>
          <w:tcPr>
            <w:tcW w:w="1320" w:type="dxa"/>
            <w:vAlign w:val="bottom"/>
            <w:gridSpan w:val="3"/>
            <w:vMerge w:val="continue"/>
          </w:tcPr>
          <w:p>
            <w:pPr>
              <w:spacing w:after="0"/>
              <w:rPr>
                <w:sz w:val="11"/>
                <w:szCs w:val="11"/>
                <w:color w:val="auto"/>
              </w:rPr>
            </w:pPr>
          </w:p>
        </w:tc>
        <w:tc>
          <w:tcPr>
            <w:tcW w:w="760" w:type="dxa"/>
            <w:vAlign w:val="bottom"/>
          </w:tcPr>
          <w:p>
            <w:pPr>
              <w:ind w:left="28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gridSpan w:val="2"/>
          </w:tcPr>
          <w:p>
            <w:pPr>
              <w:ind w:left="280"/>
              <w:spacing w:after="0" w:line="133" w:lineRule="exact"/>
              <w:rPr>
                <w:sz w:val="20"/>
                <w:szCs w:val="20"/>
                <w:color w:val="auto"/>
              </w:rPr>
            </w:pPr>
            <w:r>
              <w:rPr>
                <w:rFonts w:ascii="Arial" w:cs="Arial" w:eastAsia="Arial" w:hAnsi="Arial"/>
                <w:sz w:val="14"/>
                <w:szCs w:val="14"/>
                <w:color w:val="0000FF"/>
              </w:rPr>
              <w:t>2,000</w:t>
            </w:r>
          </w:p>
        </w:tc>
        <w:tc>
          <w:tcPr>
            <w:tcW w:w="600" w:type="dxa"/>
            <w:vAlign w:val="bottom"/>
          </w:tcPr>
          <w:p>
            <w:pPr>
              <w:ind w:left="460"/>
              <w:spacing w:after="0" w:line="133" w:lineRule="exact"/>
              <w:rPr>
                <w:sz w:val="20"/>
                <w:szCs w:val="20"/>
                <w:color w:val="auto"/>
              </w:rPr>
            </w:pPr>
            <w:r>
              <w:rPr>
                <w:rFonts w:ascii="Arial" w:cs="Arial" w:eastAsia="Arial" w:hAnsi="Arial"/>
                <w:sz w:val="14"/>
                <w:szCs w:val="14"/>
                <w:color w:val="0000FF"/>
              </w:rPr>
              <w:t>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ind w:left="200"/>
              <w:spacing w:after="0" w:line="149" w:lineRule="exact"/>
              <w:rPr>
                <w:sz w:val="20"/>
                <w:szCs w:val="20"/>
                <w:color w:val="auto"/>
              </w:rPr>
            </w:pPr>
            <w:r>
              <w:rPr>
                <w:rFonts w:ascii="Arial" w:cs="Arial" w:eastAsia="Arial" w:hAnsi="Arial"/>
                <w:sz w:val="14"/>
                <w:szCs w:val="14"/>
                <w:color w:val="0000FF"/>
                <w:w w:val="85"/>
              </w:rPr>
              <w:t>Stock</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$71.15 to $71.85, inclusive. The reporting person undertakes to provide to The Toro Company, any security holder of The Toro Company,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6.585 shares of common stock acquired by the reporting person under the dividend reinvestment feature of The Toro Company Investment, Savings &amp; ESOP since the date of his last report.</w:t>
      </w:r>
    </w:p>
    <w:p>
      <w:pPr>
        <w:spacing w:after="0" w:line="64" w:lineRule="exact"/>
        <w:rPr>
          <w:rFonts w:ascii="Arial" w:cs="Arial" w:eastAsia="Arial" w:hAnsi="Arial"/>
          <w:sz w:val="12"/>
          <w:szCs w:val="12"/>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41.011 performance share units acquired by the reporting person under the dividend reinvestment feature of The Toro Company Deferred Compensation Plan for Officers since the date of his last report.</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06/08/2012</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37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2019-12-17T01:15:26Z</dcterms:created>
  <dcterms:modified xsi:type="dcterms:W3CDTF">2019-12-17T01:15:26Z</dcterms:modified>
</cp:coreProperties>
</file>