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Larson Thomas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3"/>
        <w:spacing w:after="0"/>
        <w:rPr>
          <w:sz w:val="20"/>
          <w:szCs w:val="20"/>
          <w:color w:val="auto"/>
        </w:rPr>
      </w:pPr>
      <w:r>
        <w:rPr>
          <w:rFonts w:ascii="Arial" w:cs="Arial" w:eastAsia="Arial" w:hAnsi="Arial"/>
          <w:sz w:val="18"/>
          <w:szCs w:val="18"/>
          <w:color w:val="0000FF"/>
        </w:rPr>
        <w:t>VP, Treasurer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12/11/2012</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2,000</w:t>
            </w:r>
            <w:r>
              <w:rPr>
                <w:rFonts w:ascii="Arial" w:cs="Arial" w:eastAsia="Arial" w:hAnsi="Arial"/>
                <w:sz w:val="22"/>
                <w:szCs w:val="22"/>
                <w:color w:val="008000"/>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13,345.28</w:t>
            </w:r>
            <w:r>
              <w:rPr>
                <w:rFonts w:ascii="Arial" w:cs="Arial" w:eastAsia="Arial" w:hAnsi="Arial"/>
                <w:sz w:val="22"/>
                <w:szCs w:val="22"/>
                <w:color w:val="008000"/>
                <w:w w:val="85"/>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700"/>
              <w:spacing w:after="0"/>
              <w:rPr>
                <w:sz w:val="20"/>
                <w:szCs w:val="20"/>
                <w:color w:val="auto"/>
              </w:rPr>
            </w:pPr>
            <w:r>
              <w:rPr>
                <w:rFonts w:ascii="Arial" w:cs="Arial" w:eastAsia="Arial" w:hAnsi="Arial"/>
                <w:sz w:val="18"/>
                <w:szCs w:val="18"/>
                <w:color w:val="0000FF"/>
                <w:w w:val="99"/>
              </w:rPr>
              <w:t>12/11/2012</w:t>
            </w: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4"/>
                <w:szCs w:val="14"/>
                <w:color w:val="0000FF"/>
              </w:rPr>
              <w:t>F</w:t>
            </w:r>
          </w:p>
        </w:tc>
        <w:tc>
          <w:tcPr>
            <w:tcW w:w="760" w:type="dxa"/>
            <w:vAlign w:val="bottom"/>
          </w:tcPr>
          <w:p>
            <w:pPr>
              <w:jc w:val="right"/>
              <w:ind w:right="110"/>
              <w:spacing w:after="0"/>
              <w:rPr>
                <w:sz w:val="20"/>
                <w:szCs w:val="20"/>
                <w:color w:val="auto"/>
              </w:rPr>
            </w:pPr>
            <w:r>
              <w:rPr>
                <w:rFonts w:ascii="Arial" w:cs="Arial" w:eastAsia="Arial" w:hAnsi="Arial"/>
                <w:sz w:val="18"/>
                <w:szCs w:val="18"/>
                <w:color w:val="0000FF"/>
              </w:rPr>
              <w:t>655</w:t>
            </w:r>
          </w:p>
        </w:tc>
        <w:tc>
          <w:tcPr>
            <w:tcW w:w="660" w:type="dxa"/>
            <w:vAlign w:val="bottom"/>
          </w:tcPr>
          <w:p>
            <w:pPr>
              <w:ind w:left="28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42.06</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12,690.28</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12/11/2012</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2,000</w:t>
            </w:r>
            <w:r>
              <w:rPr>
                <w:rFonts w:ascii="Arial" w:cs="Arial" w:eastAsia="Arial" w:hAnsi="Arial"/>
                <w:sz w:val="22"/>
                <w:szCs w:val="22"/>
                <w:color w:val="008000"/>
                <w:vertAlign w:val="superscript"/>
              </w:rPr>
              <w:t>(3)</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2,000</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3,335.098</w:t>
            </w:r>
            <w:r>
              <w:rPr>
                <w:rFonts w:ascii="Arial" w:cs="Arial" w:eastAsia="Arial" w:hAnsi="Arial"/>
                <w:sz w:val="22"/>
                <w:szCs w:val="22"/>
                <w:color w:val="008000"/>
                <w:w w:val="85"/>
                <w:vertAlign w:val="superscript"/>
              </w:rPr>
              <w:t>(4)</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11"/>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Amount of</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42.06</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12/11/2012</w:t>
            </w:r>
          </w:p>
        </w:tc>
        <w:tc>
          <w:tcPr>
            <w:tcW w:w="1140" w:type="dxa"/>
            <w:vAlign w:val="bottom"/>
          </w:tcPr>
          <w:p>
            <w:pPr>
              <w:spacing w:after="0"/>
              <w:rPr>
                <w:sz w:val="12"/>
                <w:szCs w:val="12"/>
                <w:color w:val="auto"/>
              </w:rPr>
            </w:pPr>
          </w:p>
        </w:tc>
        <w:tc>
          <w:tcPr>
            <w:tcW w:w="48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420" w:type="dxa"/>
            <w:vAlign w:val="bottom"/>
          </w:tcPr>
          <w:p>
            <w:pPr>
              <w:spacing w:after="0"/>
              <w:rPr>
                <w:sz w:val="12"/>
                <w:szCs w:val="12"/>
                <w:color w:val="auto"/>
              </w:rPr>
            </w:pPr>
          </w:p>
        </w:tc>
        <w:tc>
          <w:tcPr>
            <w:tcW w:w="420" w:type="dxa"/>
            <w:vAlign w:val="bottom"/>
            <w:vMerge w:val="restart"/>
          </w:tcPr>
          <w:p>
            <w:pPr>
              <w:ind w:left="20"/>
              <w:spacing w:after="0"/>
              <w:rPr>
                <w:sz w:val="20"/>
                <w:szCs w:val="20"/>
                <w:color w:val="auto"/>
              </w:rPr>
            </w:pPr>
            <w:r>
              <w:rPr>
                <w:rFonts w:ascii="Arial" w:cs="Arial" w:eastAsia="Arial" w:hAnsi="Arial"/>
                <w:sz w:val="14"/>
                <w:szCs w:val="14"/>
                <w:color w:val="0000FF"/>
              </w:rPr>
              <w:t>4,400</w:t>
            </w:r>
          </w:p>
        </w:tc>
        <w:tc>
          <w:tcPr>
            <w:tcW w:w="34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ind w:left="60"/>
              <w:spacing w:after="0"/>
              <w:rPr>
                <w:sz w:val="20"/>
                <w:szCs w:val="20"/>
                <w:color w:val="auto"/>
              </w:rPr>
            </w:pPr>
            <w:r>
              <w:rPr>
                <w:rFonts w:ascii="Arial" w:cs="Arial" w:eastAsia="Arial" w:hAnsi="Arial"/>
                <w:sz w:val="14"/>
                <w:szCs w:val="14"/>
                <w:color w:val="0000FF"/>
                <w:w w:val="96"/>
              </w:rPr>
              <w:t>12/11/2022</w:t>
            </w:r>
          </w:p>
        </w:tc>
        <w:tc>
          <w:tcPr>
            <w:tcW w:w="66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2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4,400</w:t>
            </w:r>
          </w:p>
        </w:tc>
        <w:tc>
          <w:tcPr>
            <w:tcW w:w="40" w:type="dxa"/>
            <w:vAlign w:val="bottom"/>
          </w:tcPr>
          <w:p>
            <w:pPr>
              <w:spacing w:after="0"/>
              <w:rPr>
                <w:sz w:val="12"/>
                <w:szCs w:val="12"/>
                <w:color w:val="auto"/>
              </w:rPr>
            </w:pPr>
          </w:p>
        </w:tc>
        <w:tc>
          <w:tcPr>
            <w:tcW w:w="7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vMerge w:val="restart"/>
          </w:tcPr>
          <w:p>
            <w:pPr>
              <w:ind w:left="280"/>
              <w:spacing w:after="0"/>
              <w:rPr>
                <w:sz w:val="20"/>
                <w:szCs w:val="20"/>
                <w:color w:val="auto"/>
              </w:rPr>
            </w:pPr>
            <w:r>
              <w:rPr>
                <w:rFonts w:ascii="Arial" w:cs="Arial" w:eastAsia="Arial" w:hAnsi="Arial"/>
                <w:sz w:val="14"/>
                <w:szCs w:val="14"/>
                <w:color w:val="0000FF"/>
              </w:rPr>
              <w:t>4,400</w:t>
            </w: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6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one-half of a Performance Share Award for the Fiscal 2010 to Fiscal 2012 Performance Period under The Toro Company Performance Share Plan (the "PSP"), as approved by the registrant's Compensation &amp; Human Resources Committee of its Board of Directors on December 11, 2012. Performance Share Awards are paid in shares of common stock under the PSP.</w:t>
      </w:r>
    </w:p>
    <w:p>
      <w:pPr>
        <w:ind w:left="40" w:right="200" w:firstLine="9"/>
        <w:spacing w:after="0" w:line="273"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29, 2012, the common stock of the issuer split two-for-one (the "Stock Split"), resulting in the reporting person's ownership of 2,014.29 additional shares of common stock subject to restriction and 3,614.33 additional shares of common stock not subject to restriction acquired as a result of the Stock Split. Also includes 49.695 post-split dividend reinvestment shares acquired by the reporting person under The Toro Company Dividend Reinvestment Plan ("DRIP") from dividends paid on the restricted stock and 38.345 post-split shares of common stock not subject to restriction acquired under the DRIP since the date of his last report. 4,078.275 shares of restricted stock and related DRIP shares vest in full on the third anniversary of the date of grant, which was March 30, 2011. All future Form 4 and 5 filings made by the reporting person will include adjustments, as necessary, to reflect the Stock Split.</w:t>
      </w:r>
    </w:p>
    <w:p>
      <w:pPr>
        <w:spacing w:after="0" w:line="11" w:lineRule="exact"/>
        <w:rPr>
          <w:rFonts w:ascii="Arial" w:cs="Arial" w:eastAsia="Arial" w:hAnsi="Arial"/>
          <w:sz w:val="12"/>
          <w:szCs w:val="12"/>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payout of one-half of a Performance Share Award for the Fiscal 2010 to Fiscal 2012 Performance Period under The Toro Company Performance Share Plan, as approved by the registrant's Compensation &amp; Human Resources Committee of its Board of Directors on December 11, 2012. The reporting person has deferred the payout of this portion of his Performance Share Award under The Toro Company Deferred Compensation Plan for Officers (the "Deferred Plan") and, accordingly, this portion of the reporting person's Performance Share Award is paid in performance share units under the Deferred Plan.</w:t>
      </w:r>
    </w:p>
    <w:p>
      <w:pPr>
        <w:spacing w:after="0" w:line="3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40.248 post-split shares of common stock acquired under the dividend reinvestment feature of The Toro Company Investment, Savings &amp; ESOP ("IS&amp;ESOP"); 102.944 post-split shares acquired through issuer annual investment fund contributions to the IS&amp;ESOP; and 1,595.953 additional shares of common stock acquired as a result of the Stock Split.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12/13/2012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081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2019-12-17T00:39:02Z</dcterms:created>
  <dcterms:modified xsi:type="dcterms:W3CDTF">2019-12-17T00:39:02Z</dcterms:modified>
</cp:coreProperties>
</file>