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March 11, 2008</w:t>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4"/>
          <w:szCs w:val="24"/>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544" w:right="25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(Address of principal executive offices)</w:t>
      </w:r>
    </w:p>
    <w:p>
      <w:pPr>
        <w:spacing w:after="0" w:line="3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(Zip Code)</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80" w:space="80"/>
            <w:col w:w="4340"/>
          </w:cols>
          <w:pgMar w:left="240" w:top="544"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5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left="66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11, 2008,Mr. Ronald Baukol retired from the Board of Directors of The Toro Company (the “Company”) upon expiration of his three-year term at the Company’s 2008 Annual Meeting of Shareholders (the “Annual Meeting”). Mr. Baukol served as a director of the Company for 12 years and the Board wishes to thank him for his many hours of dedicated service to the Company.</w:t>
      </w:r>
    </w:p>
    <w:p>
      <w:pPr>
        <w:spacing w:after="0" w:line="208" w:lineRule="exact"/>
        <w:rPr>
          <w:sz w:val="20"/>
          <w:szCs w:val="20"/>
          <w:color w:val="auto"/>
        </w:rPr>
      </w:pPr>
    </w:p>
    <w:p>
      <w:pPr>
        <w:ind w:left="660" w:right="80" w:hanging="652"/>
        <w:spacing w:after="0" w:line="29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Also on March 11, 2008, at the Annual Meeting, the shareholders of the Company approved an amendment to The Toro Company 2000 Stock Option Plan (the “2000 Stock Option Plan”) to increase the total number of shares of the Company’s common stock authorized for issuance under the 2000 Stock Option Plan from 6,400,000 to 7,200,000. The Board of Directors of the Company, upon recommendation of the Compensation &amp; Human Resources Committee, had previously approved such amendment, subject to approval by the Company’s shareholders, on January 15, 2008. A description of the 2000 Stock Option Plan is included in the Company’s Definitive Proxy Statement on Schedule 14A filed with the Securities and Exchange Commission on January 31, 2008 under the heading “Summary of the 2000 Stock Option Plan Features” in the Company’s Proxy Statement. That description of the 2000 Stock Option Plan is incorporated herein by reference and is qualified in its entirety by reference to the full text of the Plan, a copy of which is filed as Exhibit 10.1 to this Current Report on Form 8-K and is also incorporated herein by reference.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840" w:hanging="8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364"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74" w:lineRule="exact"/>
        <w:rPr>
          <w:sz w:val="20"/>
          <w:szCs w:val="20"/>
          <w:color w:val="auto"/>
        </w:rPr>
      </w:pPr>
    </w:p>
    <w:p>
      <w:pPr>
        <w:sectPr>
          <w:pgSz w:w="11900" w:h="16838" w:orient="portrait"/>
          <w:cols w:equalWidth="0" w:num="2">
            <w:col w:w="1360" w:space="720"/>
            <w:col w:w="9320"/>
          </w:cols>
          <w:pgMar w:left="240" w:top="364"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Toro Company 2000 Stock Option Plan (as amended March 11, 2008)</w:t>
      </w:r>
    </w:p>
    <w:p>
      <w:pPr>
        <w:sectPr>
          <w:pgSz w:w="11900" w:h="16838" w:orient="portrait"/>
          <w:cols w:equalWidth="0" w:num="2">
            <w:col w:w="1360" w:space="720"/>
            <w:col w:w="9320"/>
          </w:cols>
          <w:pgMar w:left="240" w:top="364" w:right="25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5660" w:type="dxa"/>
            <w:vAlign w:val="bottom"/>
            <w:gridSpan w:val="5"/>
          </w:tcPr>
          <w:p>
            <w:pPr>
              <w:ind w:left="1780"/>
              <w:spacing w:after="0"/>
              <w:rPr>
                <w:sz w:val="20"/>
                <w:szCs w:val="20"/>
                <w:color w:val="auto"/>
              </w:rPr>
            </w:pPr>
            <w:r>
              <w:rPr>
                <w:rFonts w:ascii="Arial" w:cs="Arial" w:eastAsia="Arial" w:hAnsi="Arial"/>
                <w:sz w:val="18"/>
                <w:szCs w:val="18"/>
                <w:color w:val="auto"/>
              </w:rPr>
              <w:t>THE TORO COMPANY</w:t>
            </w:r>
          </w:p>
        </w:tc>
      </w:tr>
      <w:tr>
        <w:trPr>
          <w:trHeight w:val="230"/>
        </w:trPr>
        <w:tc>
          <w:tcPr>
            <w:tcW w:w="3420" w:type="dxa"/>
            <w:vAlign w:val="bottom"/>
          </w:tcPr>
          <w:p>
            <w:pPr>
              <w:spacing w:after="0"/>
              <w:rPr>
                <w:sz w:val="20"/>
                <w:szCs w:val="20"/>
                <w:color w:val="auto"/>
              </w:rPr>
            </w:pPr>
          </w:p>
        </w:tc>
        <w:tc>
          <w:tcPr>
            <w:tcW w:w="5660" w:type="dxa"/>
            <w:vAlign w:val="bottom"/>
            <w:gridSpan w:val="5"/>
          </w:tcPr>
          <w:p>
            <w:pPr>
              <w:ind w:left="1780"/>
              <w:spacing w:after="0"/>
              <w:rPr>
                <w:sz w:val="20"/>
                <w:szCs w:val="20"/>
                <w:color w:val="auto"/>
              </w:rPr>
            </w:pPr>
            <w:r>
              <w:rPr>
                <w:rFonts w:ascii="Arial" w:cs="Arial" w:eastAsia="Arial" w:hAnsi="Arial"/>
                <w:sz w:val="18"/>
                <w:szCs w:val="18"/>
                <w:color w:val="auto"/>
              </w:rPr>
              <w:t>(Registrant)</w:t>
            </w:r>
          </w:p>
        </w:tc>
      </w:tr>
      <w:tr>
        <w:trPr>
          <w:trHeight w:val="419"/>
        </w:trPr>
        <w:tc>
          <w:tcPr>
            <w:tcW w:w="3420" w:type="dxa"/>
            <w:vAlign w:val="bottom"/>
          </w:tcPr>
          <w:p>
            <w:pPr>
              <w:spacing w:after="0"/>
              <w:rPr>
                <w:sz w:val="20"/>
                <w:szCs w:val="20"/>
                <w:color w:val="auto"/>
              </w:rPr>
            </w:pPr>
            <w:r>
              <w:rPr>
                <w:rFonts w:ascii="Arial" w:cs="Arial" w:eastAsia="Arial" w:hAnsi="Arial"/>
                <w:sz w:val="18"/>
                <w:szCs w:val="18"/>
                <w:color w:val="auto"/>
              </w:rPr>
              <w:t>Date: March 11, 2008</w:t>
            </w:r>
          </w:p>
        </w:tc>
        <w:tc>
          <w:tcPr>
            <w:tcW w:w="228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By /s/ Timothy P.</w:t>
            </w:r>
          </w:p>
        </w:tc>
      </w:tr>
      <w:tr>
        <w:trPr>
          <w:trHeight w:val="20"/>
        </w:trPr>
        <w:tc>
          <w:tcPr>
            <w:tcW w:w="3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7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Dordell</w:t>
            </w:r>
          </w:p>
        </w:tc>
        <w:tc>
          <w:tcPr>
            <w:tcW w:w="660" w:type="dxa"/>
            <w:vAlign w:val="bottom"/>
          </w:tcPr>
          <w:p>
            <w:pPr>
              <w:spacing w:after="0"/>
              <w:rPr>
                <w:sz w:val="17"/>
                <w:szCs w:val="17"/>
                <w:color w:val="auto"/>
              </w:rPr>
            </w:pPr>
          </w:p>
        </w:tc>
      </w:tr>
      <w:tr>
        <w:trPr>
          <w:trHeight w:val="222"/>
        </w:trPr>
        <w:tc>
          <w:tcPr>
            <w:tcW w:w="3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Timothy P. Dordell</w:t>
            </w: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w w:val="88"/>
              </w:rPr>
              <w:t>Vice President, Secretary and General Counsel</w:t>
            </w:r>
          </w:p>
        </w:tc>
      </w:tr>
    </w:tbl>
    <w:p>
      <w:pPr>
        <w:sectPr>
          <w:pgSz w:w="11900" w:h="16838" w:orient="portrait"/>
          <w:cols w:equalWidth="0" w:num="1">
            <w:col w:w="11280"/>
          </w:cols>
          <w:pgMar w:left="240" w:top="364" w:right="3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60" w:type="dxa"/>
            <w:vAlign w:val="bottom"/>
          </w:tcPr>
          <w:p>
            <w:pPr>
              <w:ind w:left="13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6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9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640" w:type="dxa"/>
            <w:vAlign w:val="bottom"/>
            <w:gridSpan w:val="3"/>
          </w:tcPr>
          <w:p>
            <w:pPr>
              <w:spacing w:after="0" w:line="196" w:lineRule="exact"/>
              <w:rPr>
                <w:sz w:val="20"/>
                <w:szCs w:val="20"/>
                <w:color w:val="auto"/>
              </w:rPr>
            </w:pPr>
            <w:r>
              <w:rPr>
                <w:rFonts w:ascii="Arial" w:cs="Arial" w:eastAsia="Arial" w:hAnsi="Arial"/>
                <w:sz w:val="18"/>
                <w:szCs w:val="18"/>
                <w:color w:val="auto"/>
              </w:rPr>
              <w:t>NUMBER</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37"/>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6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6220" w:type="dxa"/>
            <w:vAlign w:val="bottom"/>
            <w:gridSpan w:val="3"/>
          </w:tcPr>
          <w:p>
            <w:pPr>
              <w:ind w:left="860"/>
              <w:spacing w:after="0"/>
              <w:rPr>
                <w:sz w:val="20"/>
                <w:szCs w:val="20"/>
                <w:color w:val="auto"/>
              </w:rPr>
            </w:pPr>
            <w:r>
              <w:rPr>
                <w:rFonts w:ascii="Arial" w:cs="Arial" w:eastAsia="Arial" w:hAnsi="Arial"/>
                <w:sz w:val="18"/>
                <w:szCs w:val="18"/>
                <w:color w:val="auto"/>
                <w:w w:val="89"/>
              </w:rPr>
              <w:t>The Toro Company 2000 Stock Option Plan (as amended March 11, 2008)</w:t>
            </w:r>
          </w:p>
        </w:tc>
      </w:tr>
    </w:tbl>
    <w:p>
      <w:pPr>
        <w:sectPr>
          <w:pgSz w:w="11900" w:h="16838" w:orient="portrait"/>
          <w:cols w:equalWidth="0" w:num="1">
            <w:col w:w="10219"/>
          </w:cols>
          <w:pgMar w:left="240" w:top="513" w:right="1440" w:bottom="1440" w:gutter="0" w:footer="0" w:header="0"/>
        </w:sectPr>
      </w:pPr>
    </w:p>
    <w:bookmarkStart w:id="4" w:name="page5"/>
    <w:bookmarkEnd w:id="4"/>
    <w:p>
      <w:pPr>
        <w:jc w:val="center"/>
        <w:ind w:right="411"/>
        <w:spacing w:after="0"/>
        <w:rPr>
          <w:sz w:val="20"/>
          <w:szCs w:val="20"/>
          <w:color w:val="auto"/>
        </w:rPr>
      </w:pPr>
      <w:r>
        <w:rPr>
          <w:rFonts w:ascii="Arial" w:cs="Arial" w:eastAsia="Arial" w:hAnsi="Arial"/>
          <w:sz w:val="18"/>
          <w:szCs w:val="18"/>
          <w:b w:val="1"/>
          <w:bCs w:val="1"/>
          <w:color w:val="auto"/>
        </w:rPr>
        <w:t>THE TORO COMPANY</w:t>
      </w:r>
    </w:p>
    <w:p>
      <w:pPr>
        <w:spacing w:after="0" w:line="252"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2000 STOCK OPTION PLAN</w:t>
      </w:r>
    </w:p>
    <w:p>
      <w:pPr>
        <w:spacing w:after="0" w:line="252"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(As Amended March 11, 2008)</w:t>
      </w:r>
    </w:p>
    <w:p>
      <w:pPr>
        <w:spacing w:after="0" w:line="252" w:lineRule="exact"/>
        <w:rPr>
          <w:sz w:val="20"/>
          <w:szCs w:val="20"/>
          <w:color w:val="auto"/>
        </w:rPr>
      </w:pPr>
    </w:p>
    <w:p>
      <w:pPr>
        <w:jc w:val="both"/>
        <w:ind w:left="229" w:hanging="229"/>
        <w:spacing w:after="0" w:line="256" w:lineRule="auto"/>
        <w:tabs>
          <w:tab w:leader="none" w:pos="22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Toro Company 2000 Stock Option Plan (the “Plan”) is to enhance stockholder value of The Toro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214" w:lineRule="exact"/>
        <w:rPr>
          <w:rFonts w:ascii="Arial" w:cs="Arial" w:eastAsia="Arial" w:hAnsi="Arial"/>
          <w:sz w:val="18"/>
          <w:szCs w:val="18"/>
          <w:color w:val="auto"/>
        </w:rPr>
      </w:pPr>
    </w:p>
    <w:p>
      <w:pPr>
        <w:jc w:val="both"/>
        <w:ind w:left="229" w:hanging="229"/>
        <w:spacing w:after="0" w:line="261" w:lineRule="auto"/>
        <w:tabs>
          <w:tab w:leader="none" w:pos="22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who is regularly employed in an executive, managerial, professional or technical position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207" w:lineRule="exact"/>
        <w:rPr>
          <w:rFonts w:ascii="Arial" w:cs="Arial" w:eastAsia="Arial" w:hAnsi="Arial"/>
          <w:sz w:val="18"/>
          <w:szCs w:val="18"/>
          <w:color w:val="auto"/>
        </w:rPr>
      </w:pPr>
    </w:p>
    <w:p>
      <w:pPr>
        <w:jc w:val="both"/>
        <w:ind w:left="869" w:hanging="210"/>
        <w:spacing w:after="0" w:line="256" w:lineRule="auto"/>
        <w:tabs>
          <w:tab w:leader="none" w:pos="869"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No option may be granted to an individual who owns, directly or indirectly, Common Stock or other capital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referred to as “option holders”.</w:t>
      </w:r>
    </w:p>
    <w:p>
      <w:pPr>
        <w:spacing w:after="0" w:line="214" w:lineRule="exact"/>
        <w:rPr>
          <w:rFonts w:ascii="Arial" w:cs="Arial" w:eastAsia="Arial" w:hAnsi="Arial"/>
          <w:sz w:val="18"/>
          <w:szCs w:val="18"/>
          <w:color w:val="auto"/>
        </w:rPr>
      </w:pPr>
    </w:p>
    <w:p>
      <w:pPr>
        <w:ind w:left="229" w:hanging="229"/>
        <w:spacing w:after="0"/>
        <w:tabs>
          <w:tab w:leader="none" w:pos="22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252" w:lineRule="exact"/>
        <w:rPr>
          <w:rFonts w:ascii="Arial" w:cs="Arial" w:eastAsia="Arial" w:hAnsi="Arial"/>
          <w:sz w:val="18"/>
          <w:szCs w:val="18"/>
          <w:b w:val="1"/>
          <w:bCs w:val="1"/>
          <w:color w:val="auto"/>
        </w:rPr>
      </w:pPr>
    </w:p>
    <w:p>
      <w:pPr>
        <w:jc w:val="both"/>
        <w:ind w:left="869" w:hanging="210"/>
        <w:spacing w:after="0" w:line="266" w:lineRule="auto"/>
        <w:tabs>
          <w:tab w:leader="none" w:pos="869"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ISOs and Nonqualified Options</w:t>
      </w:r>
      <w:r>
        <w:rPr>
          <w:rFonts w:ascii="Arial" w:cs="Arial" w:eastAsia="Arial" w:hAnsi="Arial"/>
          <w:sz w:val="18"/>
          <w:szCs w:val="18"/>
          <w:color w:val="auto"/>
        </w:rPr>
        <w:t>. Options granted under the Plan may be either nonqualified stock options (“nonqualified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(“Incentive Stock Options”) as defined in Section 422 of the Internal Revenue Code of 1986, as amended (the “Code”).</w:t>
      </w:r>
    </w:p>
    <w:p>
      <w:pPr>
        <w:spacing w:after="0" w:line="207" w:lineRule="exact"/>
        <w:rPr>
          <w:rFonts w:ascii="Arial" w:cs="Arial" w:eastAsia="Arial" w:hAnsi="Arial"/>
          <w:sz w:val="18"/>
          <w:szCs w:val="18"/>
          <w:color w:val="auto"/>
        </w:rPr>
      </w:pPr>
    </w:p>
    <w:p>
      <w:pPr>
        <w:jc w:val="both"/>
        <w:ind w:left="1529" w:hanging="267"/>
        <w:spacing w:after="0" w:line="290" w:lineRule="auto"/>
        <w:tabs>
          <w:tab w:leader="none" w:pos="1529" w:val="left"/>
        </w:tabs>
        <w:numPr>
          <w:ilvl w:val="2"/>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Incentive Stock Options shall meet the applicable requirements of, and contain or be deemed to contain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provisions 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89" w:lineRule="exact"/>
        <w:rPr>
          <w:rFonts w:ascii="Arial" w:cs="Arial" w:eastAsia="Arial" w:hAnsi="Arial"/>
          <w:sz w:val="16"/>
          <w:szCs w:val="16"/>
          <w:color w:val="auto"/>
        </w:rPr>
      </w:pPr>
    </w:p>
    <w:p>
      <w:pPr>
        <w:ind w:left="869" w:hanging="220"/>
        <w:spacing w:after="0" w:line="282" w:lineRule="auto"/>
        <w:tabs>
          <w:tab w:leader="none" w:pos="869"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 Options shall be evidenced by stock option agreements in such form and not inconsistent with the Plan as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Human Resources Committee (the “Committee”) of the Board of Directors shall approve from time to time.</w:t>
      </w:r>
    </w:p>
    <w:p>
      <w:pPr>
        <w:spacing w:after="0" w:line="188" w:lineRule="exact"/>
        <w:rPr>
          <w:rFonts w:ascii="Arial" w:cs="Arial" w:eastAsia="Arial" w:hAnsi="Arial"/>
          <w:sz w:val="18"/>
          <w:szCs w:val="18"/>
          <w:color w:val="auto"/>
        </w:rPr>
      </w:pPr>
    </w:p>
    <w:p>
      <w:pPr>
        <w:jc w:val="both"/>
        <w:ind w:left="869" w:hanging="210"/>
        <w:spacing w:after="0" w:line="266" w:lineRule="auto"/>
        <w:tabs>
          <w:tab w:leader="none" w:pos="869"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Number of Shares, Date of Grant and Term</w:t>
      </w:r>
      <w:r>
        <w:rPr>
          <w:rFonts w:ascii="Arial" w:cs="Arial" w:eastAsia="Arial" w:hAnsi="Arial"/>
          <w:sz w:val="18"/>
          <w:szCs w:val="18"/>
          <w:color w:val="auto"/>
        </w:rPr>
        <w:t>. An option agreement shall specify the number of shares of Common Stock to which it</w:t>
      </w:r>
      <w:r>
        <w:rPr>
          <w:rFonts w:ascii="Arial" w:cs="Arial" w:eastAsia="Arial" w:hAnsi="Arial"/>
          <w:sz w:val="18"/>
          <w:szCs w:val="18"/>
          <w:b w:val="1"/>
          <w:bCs w:val="1"/>
          <w:color w:val="auto"/>
        </w:rPr>
        <w:t xml:space="preserve"> </w:t>
      </w:r>
      <w:r>
        <w:rPr>
          <w:rFonts w:ascii="Arial" w:cs="Arial" w:eastAsia="Arial" w:hAnsi="Arial"/>
          <w:sz w:val="18"/>
          <w:szCs w:val="18"/>
          <w:color w:val="auto"/>
        </w:rPr>
        <w:t>pertains; the date of grant, which shall be the date on which the Committee grants an option or any later date which the Committee specifically designates, and the term of the option, which shall not exceed ten years.</w:t>
      </w:r>
    </w:p>
    <w:p>
      <w:pPr>
        <w:spacing w:after="0" w:line="203" w:lineRule="exact"/>
        <w:rPr>
          <w:rFonts w:ascii="Arial" w:cs="Arial" w:eastAsia="Arial" w:hAnsi="Arial"/>
          <w:sz w:val="18"/>
          <w:szCs w:val="18"/>
          <w:color w:val="auto"/>
        </w:rPr>
      </w:pPr>
    </w:p>
    <w:p>
      <w:pPr>
        <w:jc w:val="both"/>
        <w:ind w:left="869" w:hanging="220"/>
        <w:spacing w:after="0" w:line="298" w:lineRule="auto"/>
        <w:tabs>
          <w:tab w:leader="none" w:pos="869"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Exercise Price</w:t>
      </w:r>
      <w:r>
        <w:rPr>
          <w:rFonts w:ascii="Arial" w:cs="Arial" w:eastAsia="Arial" w:hAnsi="Arial"/>
          <w:sz w:val="16"/>
          <w:szCs w:val="16"/>
          <w:color w:val="auto"/>
        </w:rPr>
        <w:t>. The exercise price of an option shall be not less than 100% of fair market value of the Common Stock on the date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Fair market value is the 4 p.m. Eastern Time closing price for the Common Stock as reported by the New York Stock Exchange. Notwithstanding the foregoing, to the extent that options are granted under the Plan as a result of the Company’s assumption or substitution of options issued by any acquired, merged or consolidated entity, the exercise price for such options shall be the price determined by the Committee pursuant to the conversion terms applicable to the transaction. After an option is granted, the exercise price shall not be reduced.</w:t>
      </w:r>
    </w:p>
    <w:p>
      <w:pPr>
        <w:spacing w:after="0" w:line="181" w:lineRule="exact"/>
        <w:rPr>
          <w:rFonts w:ascii="Arial" w:cs="Arial" w:eastAsia="Arial" w:hAnsi="Arial"/>
          <w:sz w:val="16"/>
          <w:szCs w:val="16"/>
          <w:color w:val="auto"/>
        </w:rPr>
      </w:pPr>
    </w:p>
    <w:p>
      <w:pPr>
        <w:ind w:left="869" w:hanging="210"/>
        <w:spacing w:after="0"/>
        <w:tabs>
          <w:tab w:leader="none" w:pos="869"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Vesting, Transferability and Exercisability.</w:t>
      </w:r>
    </w:p>
    <w:p>
      <w:pPr>
        <w:spacing w:after="0" w:line="256" w:lineRule="exact"/>
        <w:rPr>
          <w:rFonts w:ascii="Arial" w:cs="Arial" w:eastAsia="Arial" w:hAnsi="Arial"/>
          <w:sz w:val="18"/>
          <w:szCs w:val="18"/>
          <w:b w:val="1"/>
          <w:bCs w:val="1"/>
          <w:color w:val="auto"/>
        </w:rPr>
      </w:pPr>
    </w:p>
    <w:p>
      <w:pPr>
        <w:jc w:val="both"/>
        <w:ind w:left="1529" w:hanging="267"/>
        <w:spacing w:after="0" w:line="272" w:lineRule="auto"/>
        <w:tabs>
          <w:tab w:leader="none" w:pos="1529" w:val="left"/>
        </w:tabs>
        <w:numPr>
          <w:ilvl w:val="2"/>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Vesting</w:t>
      </w:r>
      <w:r>
        <w:rPr>
          <w:rFonts w:ascii="Arial" w:cs="Arial" w:eastAsia="Arial" w:hAnsi="Arial"/>
          <w:sz w:val="17"/>
          <w:szCs w:val="17"/>
          <w:color w:val="auto"/>
        </w:rPr>
        <w:t>. An option granted to an officer or general manager of the Company shall vest and become exercisable in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equal installments on each of the first, second and third anniversaries after the date of grant. An option granted to an employee or other service provider who is not an officer or general manager of the Company shall vest and become exercisable in full on the second anniversary after the date of grant. Notwithstanding the foregoing, the Committee shall have the authority to provide in any option agreement for any one or more of the following: (a) longer periods after the date of grant during which an option or any portion thereof may not yet be exercisable, (b) acceleration of vesting in the event of an option holder’s disability or death and (c) continued vesting after an option holder’s retirement, subject to Section 3.e(iii)(c).</w:t>
      </w:r>
    </w:p>
    <w:p>
      <w:pPr>
        <w:spacing w:after="0" w:line="204" w:lineRule="exact"/>
        <w:rPr>
          <w:rFonts w:ascii="Arial" w:cs="Arial" w:eastAsia="Arial" w:hAnsi="Arial"/>
          <w:sz w:val="17"/>
          <w:szCs w:val="17"/>
          <w:color w:val="auto"/>
        </w:rPr>
      </w:pPr>
    </w:p>
    <w:p>
      <w:pPr>
        <w:ind w:left="1529" w:hanging="317"/>
        <w:spacing w:after="0"/>
        <w:tabs>
          <w:tab w:leader="none" w:pos="1529" w:val="left"/>
        </w:tabs>
        <w:numPr>
          <w:ilvl w:val="2"/>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shall not be transferable by the option holder except by will or applicable laws of descent and distribution.</w:t>
      </w:r>
    </w:p>
    <w:p>
      <w:pPr>
        <w:spacing w:after="0" w:line="275" w:lineRule="exact"/>
        <w:rPr>
          <w:rFonts w:ascii="Arial" w:cs="Arial" w:eastAsia="Arial" w:hAnsi="Arial"/>
          <w:sz w:val="16"/>
          <w:szCs w:val="16"/>
          <w:color w:val="auto"/>
        </w:rPr>
      </w:pPr>
    </w:p>
    <w:p>
      <w:pPr>
        <w:jc w:val="both"/>
        <w:ind w:left="1529" w:hanging="367"/>
        <w:spacing w:after="0" w:line="257" w:lineRule="auto"/>
        <w:tabs>
          <w:tab w:leader="none" w:pos="1529"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Exercise</w:t>
      </w:r>
      <w:r>
        <w:rPr>
          <w:rFonts w:ascii="Arial" w:cs="Arial" w:eastAsia="Arial" w:hAnsi="Arial"/>
          <w:sz w:val="18"/>
          <w:szCs w:val="18"/>
          <w:color w:val="auto"/>
        </w:rPr>
        <w:t>. During the lifetime of an option holder, an option may be exercised only by the option holder and only while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of the 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ectPr>
          <w:pgSz w:w="11900" w:h="16838" w:orient="portrait"/>
          <w:cols w:equalWidth="0" w:num="1">
            <w:col w:w="10989"/>
          </w:cols>
          <w:pgMar w:left="671" w:top="337" w:right="239" w:bottom="373" w:gutter="0" w:footer="0" w:header="0"/>
        </w:sectPr>
      </w:pPr>
    </w:p>
    <w:bookmarkStart w:id="5" w:name="page6"/>
    <w:bookmarkEnd w:id="5"/>
    <w:p>
      <w:pPr>
        <w:spacing w:after="0" w:line="21" w:lineRule="exact"/>
        <w:rPr>
          <w:sz w:val="20"/>
          <w:szCs w:val="20"/>
          <w:color w:val="auto"/>
        </w:rPr>
      </w:pPr>
    </w:p>
    <w:p>
      <w:pPr>
        <w:jc w:val="both"/>
        <w:ind w:left="2169" w:hanging="289"/>
        <w:spacing w:after="0" w:line="259" w:lineRule="auto"/>
        <w:tabs>
          <w:tab w:leader="none" w:pos="2169" w:val="left"/>
        </w:tabs>
        <w:numPr>
          <w:ilvl w:val="3"/>
          <w:numId w:val="6"/>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In the event of disability of an option holder, options may be exercised by such individual or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guardian or legal representative, not later than the earlier of the date the option expires or one year after the date employment or performance of services ceases by reason of such disability, but only with respect to an option exercisable at the time employment or performance of services ceases.</w:t>
      </w:r>
    </w:p>
    <w:p>
      <w:pPr>
        <w:spacing w:after="0" w:line="213" w:lineRule="exact"/>
        <w:rPr>
          <w:rFonts w:ascii="Arial" w:cs="Arial" w:eastAsia="Arial" w:hAnsi="Arial"/>
          <w:sz w:val="18"/>
          <w:szCs w:val="18"/>
          <w:color w:val="auto"/>
        </w:rPr>
      </w:pPr>
    </w:p>
    <w:p>
      <w:pPr>
        <w:jc w:val="both"/>
        <w:ind w:left="2169" w:hanging="299"/>
        <w:spacing w:after="0" w:line="264" w:lineRule="auto"/>
        <w:tabs>
          <w:tab w:leader="none" w:pos="2169" w:val="left"/>
        </w:tabs>
        <w:numPr>
          <w:ilvl w:val="3"/>
          <w:numId w:val="6"/>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An option may be exercised after the death of an option holder only by such individual’s legal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heirs or legatees, not later than the earlier of the date the option expires or one year after the date of death of such individual, and only with respect to an option exercisable at the time of death.</w:t>
      </w:r>
    </w:p>
    <w:p>
      <w:pPr>
        <w:spacing w:after="0" w:line="208" w:lineRule="exact"/>
        <w:rPr>
          <w:rFonts w:ascii="Arial" w:cs="Arial" w:eastAsia="Arial" w:hAnsi="Arial"/>
          <w:sz w:val="18"/>
          <w:szCs w:val="18"/>
          <w:color w:val="auto"/>
        </w:rPr>
      </w:pPr>
    </w:p>
    <w:p>
      <w:pPr>
        <w:jc w:val="both"/>
        <w:ind w:left="2169" w:hanging="289"/>
        <w:spacing w:after="0" w:line="273" w:lineRule="auto"/>
        <w:tabs>
          <w:tab w:leader="none" w:pos="2169" w:val="left"/>
        </w:tabs>
        <w:numPr>
          <w:ilvl w:val="3"/>
          <w:numId w:val="6"/>
        </w:numPr>
        <w:rPr>
          <w:rFonts w:ascii="Arial" w:cs="Arial" w:eastAsia="Arial" w:hAnsi="Arial"/>
          <w:sz w:val="17"/>
          <w:szCs w:val="17"/>
          <w:color w:val="auto"/>
        </w:rPr>
      </w:pPr>
      <w:r>
        <w:rPr>
          <w:rFonts w:ascii="Arial" w:cs="Arial" w:eastAsia="Arial" w:hAnsi="Arial"/>
          <w:sz w:val="17"/>
          <w:szCs w:val="17"/>
          <w:i w:val="1"/>
          <w:iCs w:val="1"/>
          <w:color w:val="auto"/>
        </w:rPr>
        <w:t>Retirement</w:t>
      </w:r>
      <w:r>
        <w:rPr>
          <w:rFonts w:ascii="Arial" w:cs="Arial" w:eastAsia="Arial" w:hAnsi="Arial"/>
          <w:sz w:val="17"/>
          <w:szCs w:val="17"/>
          <w:color w:val="auto"/>
        </w:rPr>
        <w:t>. An option may be exercised by an option holder after such individual ceases to be an employee by reason of</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for up to four years after the date of retirement but not later than the date the option expires, provided that the option holder has remained an employee of the Company through the last day of the fiscal year in which the option is granted. “Retirement” shall have the meaning established by the Committee from time to time or, if no such meaning is established, shall mean termination of employment with the Company at or after age 55 and with a number of years of service that, when added together with the option holder’s age, equals at least 65.</w:t>
      </w:r>
    </w:p>
    <w:p>
      <w:pPr>
        <w:spacing w:after="0" w:line="205" w:lineRule="exact"/>
        <w:rPr>
          <w:rFonts w:ascii="Arial" w:cs="Arial" w:eastAsia="Arial" w:hAnsi="Arial"/>
          <w:sz w:val="17"/>
          <w:szCs w:val="17"/>
          <w:color w:val="auto"/>
        </w:rPr>
      </w:pPr>
    </w:p>
    <w:p>
      <w:pPr>
        <w:jc w:val="both"/>
        <w:ind w:left="2169" w:hanging="299"/>
        <w:spacing w:after="0" w:line="264" w:lineRule="auto"/>
        <w:tabs>
          <w:tab w:leader="none" w:pos="2169" w:val="left"/>
        </w:tabs>
        <w:numPr>
          <w:ilvl w:val="3"/>
          <w:numId w:val="6"/>
        </w:numPr>
        <w:rPr>
          <w:rFonts w:ascii="Arial" w:cs="Arial" w:eastAsia="Arial" w:hAnsi="Arial"/>
          <w:sz w:val="18"/>
          <w:szCs w:val="18"/>
          <w:color w:val="auto"/>
        </w:rPr>
      </w:pPr>
      <w:r>
        <w:rPr>
          <w:rFonts w:ascii="Arial" w:cs="Arial" w:eastAsia="Arial" w:hAnsi="Arial"/>
          <w:sz w:val="18"/>
          <w:szCs w:val="18"/>
          <w:i w:val="1"/>
          <w:iCs w:val="1"/>
          <w:color w:val="auto"/>
        </w:rPr>
        <w:t>Other Termination of Employment</w:t>
      </w:r>
      <w:r>
        <w:rPr>
          <w:rFonts w:ascii="Arial" w:cs="Arial" w:eastAsia="Arial" w:hAnsi="Arial"/>
          <w:sz w:val="18"/>
          <w:szCs w:val="18"/>
          <w:color w:val="auto"/>
        </w:rPr>
        <w:t>. An option may be exercised by an option holder after such individual ceases to be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(for reasons other than disability, death or retirement) for up to three months after the date of termination of employment but not later than the date the option expires.</w:t>
      </w:r>
    </w:p>
    <w:p>
      <w:pPr>
        <w:spacing w:after="0" w:line="208" w:lineRule="exact"/>
        <w:rPr>
          <w:rFonts w:ascii="Arial" w:cs="Arial" w:eastAsia="Arial" w:hAnsi="Arial"/>
          <w:sz w:val="18"/>
          <w:szCs w:val="18"/>
          <w:color w:val="auto"/>
        </w:rPr>
      </w:pPr>
    </w:p>
    <w:p>
      <w:pPr>
        <w:jc w:val="both"/>
        <w:ind w:left="1529" w:hanging="357"/>
        <w:spacing w:after="0" w:line="270" w:lineRule="auto"/>
        <w:tabs>
          <w:tab w:leader="none" w:pos="1529" w:val="left"/>
        </w:tabs>
        <w:numPr>
          <w:ilvl w:val="2"/>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Non-compete</w:t>
      </w:r>
      <w:r>
        <w:rPr>
          <w:rFonts w:ascii="Arial" w:cs="Arial" w:eastAsia="Arial" w:hAnsi="Arial"/>
          <w:sz w:val="17"/>
          <w:szCs w:val="17"/>
          <w:color w:val="auto"/>
        </w:rPr>
        <w:t>. Notwithstanding any other provision of paragraph 3.e., if within one year after the termination of employment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performance 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204" w:lineRule="exact"/>
        <w:rPr>
          <w:rFonts w:ascii="Arial" w:cs="Arial" w:eastAsia="Arial" w:hAnsi="Arial"/>
          <w:sz w:val="17"/>
          <w:szCs w:val="17"/>
          <w:color w:val="auto"/>
        </w:rPr>
      </w:pPr>
    </w:p>
    <w:p>
      <w:pPr>
        <w:jc w:val="both"/>
        <w:ind w:left="1529" w:hanging="307"/>
        <w:spacing w:after="0" w:line="264" w:lineRule="auto"/>
        <w:tabs>
          <w:tab w:leader="none" w:pos="1529" w:val="left"/>
        </w:tabs>
        <w:numPr>
          <w:ilvl w:val="2"/>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Interruption in Service</w:t>
      </w:r>
      <w:r>
        <w:rPr>
          <w:rFonts w:ascii="Arial" w:cs="Arial" w:eastAsia="Arial" w:hAnsi="Arial"/>
          <w:sz w:val="18"/>
          <w:szCs w:val="18"/>
          <w:color w:val="auto"/>
        </w:rPr>
        <w:t>. Absence on leave from the Company, or other interruption in the performance of services, by an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shall, if approved by the Committee, not be deemed a cessation or interruption of employment or services for the purposes of the Plan.</w:t>
      </w:r>
    </w:p>
    <w:p>
      <w:pPr>
        <w:spacing w:after="0" w:line="204" w:lineRule="exact"/>
        <w:rPr>
          <w:rFonts w:ascii="Arial" w:cs="Arial" w:eastAsia="Arial" w:hAnsi="Arial"/>
          <w:sz w:val="18"/>
          <w:szCs w:val="18"/>
          <w:color w:val="auto"/>
        </w:rPr>
      </w:pPr>
    </w:p>
    <w:p>
      <w:pPr>
        <w:jc w:val="both"/>
        <w:ind w:left="869" w:hanging="190"/>
        <w:spacing w:after="0" w:line="268" w:lineRule="auto"/>
        <w:tabs>
          <w:tab w:leader="none" w:pos="869"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Methods of Exercise and Payment of Exercise Price</w:t>
      </w:r>
      <w:r>
        <w:rPr>
          <w:rFonts w:ascii="Arial" w:cs="Arial" w:eastAsia="Arial" w:hAnsi="Arial"/>
          <w:sz w:val="17"/>
          <w:szCs w:val="17"/>
          <w:color w:val="auto"/>
        </w:rPr>
        <w:t>. Subject to the terms and conditions of the Plan and the terms and conditions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 No shares of Common Stock shall be issued until full payment has been made.</w:t>
      </w:r>
    </w:p>
    <w:p>
      <w:pPr>
        <w:spacing w:after="0" w:line="212" w:lineRule="exact"/>
        <w:rPr>
          <w:rFonts w:ascii="Arial" w:cs="Arial" w:eastAsia="Arial" w:hAnsi="Arial"/>
          <w:sz w:val="17"/>
          <w:szCs w:val="17"/>
          <w:color w:val="auto"/>
        </w:rPr>
      </w:pPr>
    </w:p>
    <w:p>
      <w:pPr>
        <w:jc w:val="both"/>
        <w:ind w:left="869" w:hanging="220"/>
        <w:spacing w:after="0" w:line="289" w:lineRule="auto"/>
        <w:tabs>
          <w:tab w:leader="none" w:pos="869"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Rights as a Stockholder</w:t>
      </w:r>
      <w:r>
        <w:rPr>
          <w:rFonts w:ascii="Arial" w:cs="Arial" w:eastAsia="Arial" w:hAnsi="Arial"/>
          <w:sz w:val="17"/>
          <w:szCs w:val="17"/>
          <w:color w:val="auto"/>
        </w:rPr>
        <w:t>. An option holder shall have no rights as a stockholder with respect to any Common Stock covered by an option</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option is exercised and shares of Common Stock are issued. Except as otherwise expressly provided in the Plan, no adjustments shall be made for dividends or other rights for which the record date is prior to issuance of the Common Stock.</w:t>
      </w:r>
    </w:p>
    <w:p>
      <w:pPr>
        <w:spacing w:after="0" w:line="185" w:lineRule="exact"/>
        <w:rPr>
          <w:rFonts w:ascii="Arial" w:cs="Arial" w:eastAsia="Arial" w:hAnsi="Arial"/>
          <w:sz w:val="17"/>
          <w:szCs w:val="17"/>
          <w:color w:val="auto"/>
        </w:rPr>
      </w:pPr>
    </w:p>
    <w:p>
      <w:pPr>
        <w:jc w:val="both"/>
        <w:ind w:left="229" w:hanging="229"/>
        <w:spacing w:after="0" w:line="286" w:lineRule="auto"/>
        <w:tabs>
          <w:tab w:leader="none" w:pos="22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Common Stock Subject to the Plan</w:t>
      </w:r>
      <w:r>
        <w:rPr>
          <w:rFonts w:ascii="Arial" w:cs="Arial" w:eastAsia="Arial" w:hAnsi="Arial"/>
          <w:sz w:val="16"/>
          <w:szCs w:val="16"/>
          <w:color w:val="auto"/>
        </w:rPr>
        <w:t>. Subject to adjustment to reflect corporate transactions provided for in paragraph 4.a.,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that is reserved and available for issuance pursuant to options granted under the Plan shall be 7,200,000.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 Shares of Common Stock that are issued under the Plan or that are potentially issuable pursuant to outstanding options granted under the Plan will be applied to reduce the maximum number of shares of Common Stock remaining available for issuance under the Plan. All shares so subtracted from the amount available under the Plan with respect to an option that lapses, expires, is forfeited or for any reason is terminated unexercised or unvested or is settled or paid in cash or any form other than shares of Common Stock will not automatically again become available for issuance under the Plan. Without limiting the generality of the foregoing, (i) any shares which would have been issued upon any exercise of an option but for the fact that the exercise price was paid by the tender or attestation as to ownership of shares of Common Stock already owned pursuant to paragraph 3.f. of the Plan will not again become available for issuance under the Plan, (ii) shares withheld or repurchased by the Company to satisfy the payment of the exercise price of an option or any tax withholding obligation will not again become available for issuance under the Plan, and (iii) shares repurchased by the Company using option proceeds will not again become available for issuance under the Plan.</w:t>
      </w:r>
    </w:p>
    <w:p>
      <w:pPr>
        <w:spacing w:after="0" w:line="198" w:lineRule="exact"/>
        <w:rPr>
          <w:rFonts w:ascii="Arial" w:cs="Arial" w:eastAsia="Arial" w:hAnsi="Arial"/>
          <w:sz w:val="16"/>
          <w:szCs w:val="16"/>
          <w:color w:val="auto"/>
        </w:rPr>
      </w:pPr>
    </w:p>
    <w:p>
      <w:pPr>
        <w:jc w:val="both"/>
        <w:ind w:left="869" w:hanging="210"/>
        <w:spacing w:after="0" w:line="298" w:lineRule="auto"/>
        <w:tabs>
          <w:tab w:leader="none" w:pos="869"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Adjustments for Corporate Transactions</w:t>
      </w:r>
      <w:r>
        <w:rPr>
          <w:rFonts w:ascii="Arial" w:cs="Arial" w:eastAsia="Arial" w:hAnsi="Arial"/>
          <w:sz w:val="16"/>
          <w:szCs w:val="16"/>
          <w:color w:val="auto"/>
        </w:rPr>
        <w:t>. In the event of a corporate transaction involving the Company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merger, 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w:t>
      </w:r>
    </w:p>
    <w:p>
      <w:pPr>
        <w:sectPr>
          <w:pgSz w:w="11900" w:h="16860" w:orient="portrait"/>
          <w:cols w:equalWidth="0" w:num="1">
            <w:col w:w="10989"/>
          </w:cols>
          <w:pgMar w:left="671" w:top="368" w:right="239" w:bottom="0" w:gutter="0" w:footer="0" w:header="0"/>
        </w:sectPr>
      </w:pPr>
    </w:p>
    <w:bookmarkStart w:id="6" w:name="page7"/>
    <w:bookmarkEnd w:id="6"/>
    <w:p>
      <w:pPr>
        <w:spacing w:after="0" w:line="137" w:lineRule="exact"/>
        <w:rPr>
          <w:sz w:val="20"/>
          <w:szCs w:val="20"/>
          <w:color w:val="auto"/>
        </w:rPr>
      </w:pPr>
    </w:p>
    <w:p>
      <w:pPr>
        <w:jc w:val="both"/>
        <w:ind w:left="869"/>
        <w:spacing w:after="0" w:line="291" w:lineRule="auto"/>
        <w:rPr>
          <w:sz w:val="20"/>
          <w:szCs w:val="20"/>
          <w:color w:val="auto"/>
        </w:rPr>
      </w:pPr>
      <w:r>
        <w:rPr>
          <w:rFonts w:ascii="Arial" w:cs="Arial" w:eastAsia="Arial" w:hAnsi="Arial"/>
          <w:sz w:val="16"/>
          <w:szCs w:val="16"/>
          <w:color w:val="auto"/>
        </w:rPr>
        <w:t>the Committee shall make such proportional adjustments as are necessary to preserve the benefits or potential benefits of the options. Action by the Committee may include appropriate adjustments in all or any of (i) the number of shares of the Common Stock or 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190" w:lineRule="exact"/>
        <w:rPr>
          <w:sz w:val="20"/>
          <w:szCs w:val="20"/>
          <w:color w:val="auto"/>
        </w:rPr>
      </w:pPr>
    </w:p>
    <w:p>
      <w:pPr>
        <w:ind w:left="229" w:hanging="229"/>
        <w:spacing w:after="0"/>
        <w:tabs>
          <w:tab w:leader="none" w:pos="22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56" w:lineRule="exact"/>
        <w:rPr>
          <w:rFonts w:ascii="Arial" w:cs="Arial" w:eastAsia="Arial" w:hAnsi="Arial"/>
          <w:sz w:val="18"/>
          <w:szCs w:val="18"/>
          <w:b w:val="1"/>
          <w:bCs w:val="1"/>
          <w:color w:val="auto"/>
        </w:rPr>
      </w:pPr>
    </w:p>
    <w:p>
      <w:pPr>
        <w:jc w:val="both"/>
        <w:ind w:left="869" w:hanging="210"/>
        <w:spacing w:after="0" w:line="271" w:lineRule="auto"/>
        <w:tabs>
          <w:tab w:leader="none" w:pos="869"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Plan shall be administered by the Committee, provided that members of the Committee shall be “non-employee directors” as contemplated by Rule 16b-3 under the Exchange Act or any successor rule and shall qualify to administer the Plan as “outside directors” as contemplated by Section 162(m) of the Internal Revenue Code and the regulations thereunder (“Section 162(m)”). The Committee may delegate administrative duties and all decisions not required to be exercised by it under Section 162(m), Section 16 of the Exchange Act or the rules of the New York Stock Exchange to an officer of the Company. The decision of 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205" w:lineRule="exact"/>
        <w:rPr>
          <w:rFonts w:ascii="Arial" w:cs="Arial" w:eastAsia="Arial" w:hAnsi="Arial"/>
          <w:sz w:val="17"/>
          <w:szCs w:val="17"/>
          <w:color w:val="auto"/>
        </w:rPr>
      </w:pPr>
    </w:p>
    <w:p>
      <w:pPr>
        <w:jc w:val="both"/>
        <w:ind w:left="869" w:hanging="220"/>
        <w:spacing w:after="0" w:line="273" w:lineRule="auto"/>
        <w:tabs>
          <w:tab w:leader="none" w:pos="869" w:val="left"/>
        </w:tabs>
        <w:numPr>
          <w:ilvl w:val="1"/>
          <w:numId w:val="10"/>
        </w:numPr>
        <w:rPr>
          <w:rFonts w:ascii="Arial" w:cs="Arial" w:eastAsia="Arial" w:hAnsi="Arial"/>
          <w:sz w:val="17"/>
          <w:szCs w:val="17"/>
          <w:color w:val="auto"/>
        </w:rPr>
      </w:pPr>
      <w:r>
        <w:rPr>
          <w:rFonts w:ascii="Arial" w:cs="Arial" w:eastAsia="Arial" w:hAnsi="Arial"/>
          <w:sz w:val="17"/>
          <w:szCs w:val="17"/>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205" w:lineRule="exact"/>
        <w:rPr>
          <w:rFonts w:ascii="Arial" w:cs="Arial" w:eastAsia="Arial" w:hAnsi="Arial"/>
          <w:sz w:val="17"/>
          <w:szCs w:val="17"/>
          <w:color w:val="auto"/>
        </w:rPr>
      </w:pPr>
    </w:p>
    <w:p>
      <w:pPr>
        <w:jc w:val="both"/>
        <w:ind w:left="869" w:hanging="210"/>
        <w:spacing w:after="0" w:line="257" w:lineRule="auto"/>
        <w:tabs>
          <w:tab w:leader="none" w:pos="869"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paragraph 4, the Committee may not, without prior approval of the Company’s stockholders, seek to effect any repricing of any previously granted option by: (i) amending or modifying the terms of the option to lower the exercise price; (ii) canceling the option and granting replacement options having a lower exercise price in exchange; (iii) repurchasing the options and granting new options under this Plan; or (iv) taking any other action that is treated as a “repricing” under generally accepted accounting principles.</w:t>
      </w:r>
    </w:p>
    <w:p>
      <w:pPr>
        <w:spacing w:after="0" w:line="211" w:lineRule="exact"/>
        <w:rPr>
          <w:rFonts w:ascii="Arial" w:cs="Arial" w:eastAsia="Arial" w:hAnsi="Arial"/>
          <w:sz w:val="18"/>
          <w:szCs w:val="18"/>
          <w:color w:val="auto"/>
        </w:rPr>
      </w:pPr>
    </w:p>
    <w:p>
      <w:pPr>
        <w:ind w:left="229" w:hanging="229"/>
        <w:spacing w:after="0"/>
        <w:tabs>
          <w:tab w:leader="none" w:pos="22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Foreign Nationals and Residents of California.</w:t>
      </w:r>
    </w:p>
    <w:p>
      <w:pPr>
        <w:spacing w:after="0" w:line="252" w:lineRule="exact"/>
        <w:rPr>
          <w:rFonts w:ascii="Arial" w:cs="Arial" w:eastAsia="Arial" w:hAnsi="Arial"/>
          <w:sz w:val="18"/>
          <w:szCs w:val="18"/>
          <w:b w:val="1"/>
          <w:bCs w:val="1"/>
          <w:color w:val="auto"/>
        </w:rPr>
      </w:pPr>
    </w:p>
    <w:p>
      <w:pPr>
        <w:jc w:val="both"/>
        <w:ind w:left="869" w:hanging="210"/>
        <w:spacing w:after="0" w:line="314" w:lineRule="auto"/>
        <w:tabs>
          <w:tab w:leader="none" w:pos="869"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Foreign Nationals</w:t>
      </w:r>
      <w:r>
        <w:rPr>
          <w:rFonts w:ascii="Arial" w:cs="Arial" w:eastAsia="Arial" w:hAnsi="Arial"/>
          <w:sz w:val="16"/>
          <w:szCs w:val="16"/>
          <w:color w:val="auto"/>
        </w:rPr>
        <w:t>. Without amending the Plan, options may be granted to individuals who are foreign nationals or are employed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performing services for the Company or any subsidiary outside the United States or both, on such terms and conditions different from those specified in the Plan as may, in the judgment of the Committee, be necessary or desirable to further the purposes of the Plan.</w:t>
      </w:r>
    </w:p>
    <w:p>
      <w:pPr>
        <w:spacing w:after="0" w:line="169" w:lineRule="exact"/>
        <w:rPr>
          <w:rFonts w:ascii="Arial" w:cs="Arial" w:eastAsia="Arial" w:hAnsi="Arial"/>
          <w:sz w:val="16"/>
          <w:szCs w:val="16"/>
          <w:color w:val="auto"/>
        </w:rPr>
      </w:pPr>
    </w:p>
    <w:p>
      <w:pPr>
        <w:jc w:val="both"/>
        <w:ind w:left="869" w:hanging="220"/>
        <w:spacing w:after="0" w:line="266" w:lineRule="auto"/>
        <w:tabs>
          <w:tab w:leader="none" w:pos="869"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California Residents</w:t>
      </w:r>
      <w:r>
        <w:rPr>
          <w:rFonts w:ascii="Arial" w:cs="Arial" w:eastAsia="Arial" w:hAnsi="Arial"/>
          <w:sz w:val="18"/>
          <w:szCs w:val="18"/>
          <w:color w:val="auto"/>
        </w:rPr>
        <w:t>. Without amending the Plan, and notwithstanding any provision of the Plan to the contrary, options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who are residents of the State of California may contain such terms and conditions as may be required by applicable California statutes governing stock options.</w:t>
      </w:r>
    </w:p>
    <w:p>
      <w:pPr>
        <w:spacing w:after="0" w:line="203" w:lineRule="exact"/>
        <w:rPr>
          <w:rFonts w:ascii="Arial" w:cs="Arial" w:eastAsia="Arial" w:hAnsi="Arial"/>
          <w:sz w:val="18"/>
          <w:szCs w:val="18"/>
          <w:color w:val="auto"/>
        </w:rPr>
      </w:pPr>
    </w:p>
    <w:p>
      <w:pPr>
        <w:jc w:val="both"/>
        <w:ind w:left="869" w:hanging="210"/>
        <w:spacing w:after="0" w:line="258" w:lineRule="auto"/>
        <w:tabs>
          <w:tab w:leader="none" w:pos="869"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The Committee shall have no authority, however, to take action pursuant to paragraphs 6.a. and 6.b. of the Plan: (i) to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grant options in excess of the limitations provided in paragraph 4 of the Plan; (ii) to effect any repricing in violation of paragraph 5.c. of the Plan; (iii) to grant options having an exercise price in violation of paragraph 3.d. of the Plan; or (iv) for which stockholder approval would then be required pursuant to any applicable law, rule or regulation, including without limitation the rules and regulations of the New York Stock Exchange and the Securities and Exchange Commission.</w:t>
      </w:r>
    </w:p>
    <w:p>
      <w:pPr>
        <w:spacing w:after="0" w:line="210" w:lineRule="exact"/>
        <w:rPr>
          <w:rFonts w:ascii="Arial" w:cs="Arial" w:eastAsia="Arial" w:hAnsi="Arial"/>
          <w:sz w:val="18"/>
          <w:szCs w:val="18"/>
          <w:color w:val="auto"/>
        </w:rPr>
      </w:pPr>
    </w:p>
    <w:p>
      <w:pPr>
        <w:jc w:val="both"/>
        <w:ind w:left="229" w:hanging="229"/>
        <w:spacing w:after="0" w:line="261"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In the event of a Change of Control of the Company as hereinafter defined, whether or not approved by the Board, all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207" w:lineRule="exact"/>
        <w:rPr>
          <w:rFonts w:ascii="Arial" w:cs="Arial" w:eastAsia="Arial" w:hAnsi="Arial"/>
          <w:sz w:val="18"/>
          <w:szCs w:val="18"/>
          <w:color w:val="auto"/>
        </w:rPr>
      </w:pPr>
    </w:p>
    <w:p>
      <w:pPr>
        <w:ind w:left="869" w:hanging="210"/>
        <w:spacing w:after="0"/>
        <w:tabs>
          <w:tab w:leader="none" w:pos="869"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 For the purpose of this paragraph 7, a “Change of Control” shall mean:</w:t>
      </w:r>
    </w:p>
    <w:p>
      <w:pPr>
        <w:spacing w:after="0" w:line="256" w:lineRule="exact"/>
        <w:rPr>
          <w:rFonts w:ascii="Arial" w:cs="Arial" w:eastAsia="Arial" w:hAnsi="Arial"/>
          <w:sz w:val="18"/>
          <w:szCs w:val="18"/>
          <w:color w:val="auto"/>
        </w:rPr>
      </w:pPr>
    </w:p>
    <w:p>
      <w:pPr>
        <w:jc w:val="both"/>
        <w:ind w:left="1529" w:hanging="267"/>
        <w:spacing w:after="0" w:line="284" w:lineRule="auto"/>
        <w:tabs>
          <w:tab w:leader="none" w:pos="1529"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w:t>
      </w:r>
    </w:p>
    <w:p>
      <w:pPr>
        <w:spacing w:after="0" w:line="4" w:lineRule="exact"/>
        <w:rPr>
          <w:rFonts w:ascii="Arial" w:cs="Arial" w:eastAsia="Arial" w:hAnsi="Arial"/>
          <w:sz w:val="16"/>
          <w:szCs w:val="16"/>
          <w:color w:val="auto"/>
        </w:rPr>
      </w:pPr>
    </w:p>
    <w:p>
      <w:pPr>
        <w:jc w:val="both"/>
        <w:ind w:left="1529" w:hanging="7"/>
        <w:spacing w:after="0" w:line="281" w:lineRule="auto"/>
        <w:tabs>
          <w:tab w:leader="none" w:pos="1827" w:val="left"/>
        </w:tabs>
        <w:numPr>
          <w:ilvl w:val="3"/>
          <w:numId w:val="10"/>
        </w:numPr>
        <w:rPr>
          <w:rFonts w:ascii="Arial" w:cs="Arial" w:eastAsia="Arial" w:hAnsi="Arial"/>
          <w:sz w:val="16"/>
          <w:szCs w:val="16"/>
          <w:color w:val="auto"/>
        </w:rPr>
      </w:pPr>
      <w:r>
        <w:rPr>
          <w:rFonts w:ascii="Arial" w:cs="Arial" w:eastAsia="Arial" w:hAnsi="Arial"/>
          <w:sz w:val="16"/>
          <w:szCs w:val="16"/>
          <w:color w:val="auto"/>
        </w:rPr>
        <w:t>any acquisition by any employee benefit plan (or related trust) sponsored or maintained by the Company or any corporation controlled by the Company, or (D) any acquisition by any corporation pursuant to a transaction that complies with clauses (A),</w:t>
      </w:r>
    </w:p>
    <w:p>
      <w:pPr>
        <w:spacing w:after="0" w:line="1" w:lineRule="exact"/>
        <w:rPr>
          <w:rFonts w:ascii="Arial" w:cs="Arial" w:eastAsia="Arial" w:hAnsi="Arial"/>
          <w:sz w:val="16"/>
          <w:szCs w:val="16"/>
          <w:color w:val="auto"/>
        </w:rPr>
      </w:pPr>
    </w:p>
    <w:p>
      <w:pPr>
        <w:ind w:left="1809" w:hanging="287"/>
        <w:spacing w:after="0"/>
        <w:tabs>
          <w:tab w:leader="none" w:pos="1809" w:val="left"/>
        </w:tabs>
        <w:numPr>
          <w:ilvl w:val="3"/>
          <w:numId w:val="11"/>
        </w:numPr>
        <w:rPr>
          <w:rFonts w:ascii="Arial" w:cs="Arial" w:eastAsia="Arial" w:hAnsi="Arial"/>
          <w:sz w:val="18"/>
          <w:szCs w:val="18"/>
          <w:color w:val="auto"/>
        </w:rPr>
      </w:pPr>
      <w:r>
        <w:rPr>
          <w:rFonts w:ascii="Arial" w:cs="Arial" w:eastAsia="Arial" w:hAnsi="Arial"/>
          <w:sz w:val="18"/>
          <w:szCs w:val="18"/>
          <w:color w:val="auto"/>
        </w:rPr>
        <w:t>and (C) of subsection (iii) of this paragraph 7; or</w:t>
      </w:r>
    </w:p>
    <w:p>
      <w:pPr>
        <w:spacing w:after="0" w:line="237" w:lineRule="exact"/>
        <w:rPr>
          <w:rFonts w:ascii="Arial" w:cs="Arial" w:eastAsia="Arial" w:hAnsi="Arial"/>
          <w:sz w:val="18"/>
          <w:szCs w:val="18"/>
          <w:color w:val="auto"/>
        </w:rPr>
      </w:pPr>
    </w:p>
    <w:p>
      <w:pPr>
        <w:jc w:val="both"/>
        <w:ind w:left="1529" w:hanging="317"/>
        <w:spacing w:after="0" w:line="272" w:lineRule="auto"/>
        <w:tabs>
          <w:tab w:leader="none" w:pos="1529" w:val="left"/>
        </w:tabs>
        <w:numPr>
          <w:ilvl w:val="2"/>
          <w:numId w:val="12"/>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4" w:lineRule="exact"/>
        <w:rPr>
          <w:rFonts w:ascii="Arial" w:cs="Arial" w:eastAsia="Arial" w:hAnsi="Arial"/>
          <w:sz w:val="17"/>
          <w:szCs w:val="17"/>
          <w:color w:val="auto"/>
        </w:rPr>
      </w:pPr>
    </w:p>
    <w:p>
      <w:pPr>
        <w:jc w:val="both"/>
        <w:ind w:left="1529" w:hanging="367"/>
        <w:spacing w:after="0" w:line="342" w:lineRule="auto"/>
        <w:tabs>
          <w:tab w:leader="none" w:pos="1529" w:val="left"/>
        </w:tabs>
        <w:numPr>
          <w:ilvl w:val="2"/>
          <w:numId w:val="12"/>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w:t>
      </w:r>
    </w:p>
    <w:p>
      <w:pPr>
        <w:sectPr>
          <w:pgSz w:w="11900" w:h="16975" w:orient="portrait"/>
          <w:cols w:equalWidth="0" w:num="1">
            <w:col w:w="10989"/>
          </w:cols>
          <w:pgMar w:left="671" w:top="125" w:right="239" w:bottom="0" w:gutter="0" w:footer="0" w:header="0"/>
        </w:sectPr>
      </w:pPr>
    </w:p>
    <w:bookmarkStart w:id="7" w:name="page8"/>
    <w:bookmarkEnd w:id="7"/>
    <w:p>
      <w:pPr>
        <w:jc w:val="both"/>
        <w:ind w:left="1619"/>
        <w:spacing w:after="0" w:line="268" w:lineRule="auto"/>
        <w:rPr>
          <w:sz w:val="20"/>
          <w:szCs w:val="20"/>
          <w:color w:val="auto"/>
        </w:rPr>
      </w:pPr>
      <w:r>
        <w:rPr>
          <w:rFonts w:ascii="Arial" w:cs="Arial" w:eastAsia="Arial" w:hAnsi="Arial"/>
          <w:sz w:val="17"/>
          <w:szCs w:val="17"/>
          <w:color w:val="auto"/>
        </w:rPr>
        <w:t>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8" w:lineRule="exact"/>
        <w:rPr>
          <w:sz w:val="20"/>
          <w:szCs w:val="20"/>
          <w:color w:val="auto"/>
        </w:rPr>
      </w:pPr>
    </w:p>
    <w:p>
      <w:pPr>
        <w:ind w:left="1619" w:hanging="357"/>
        <w:spacing w:after="0"/>
        <w:tabs>
          <w:tab w:leader="none" w:pos="16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48" w:lineRule="exact"/>
        <w:rPr>
          <w:rFonts w:ascii="Arial" w:cs="Arial" w:eastAsia="Arial" w:hAnsi="Arial"/>
          <w:sz w:val="18"/>
          <w:szCs w:val="18"/>
          <w:color w:val="auto"/>
        </w:rPr>
      </w:pPr>
    </w:p>
    <w:p>
      <w:pPr>
        <w:jc w:val="both"/>
        <w:ind w:left="319" w:hanging="229"/>
        <w:spacing w:after="0" w:line="256"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including the exercise of an option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214" w:lineRule="exact"/>
        <w:rPr>
          <w:rFonts w:ascii="Arial" w:cs="Arial" w:eastAsia="Arial" w:hAnsi="Arial"/>
          <w:sz w:val="18"/>
          <w:szCs w:val="18"/>
          <w:color w:val="auto"/>
        </w:rPr>
      </w:pPr>
    </w:p>
    <w:p>
      <w:pPr>
        <w:jc w:val="both"/>
        <w:ind w:left="319" w:hanging="229"/>
        <w:spacing w:after="0" w:line="289" w:lineRule="auto"/>
        <w:tabs>
          <w:tab w:leader="none" w:pos="31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The Plan, options granted under the Plan and agreements entered into under the Plan shall be construed, administered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in all 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85" w:lineRule="exact"/>
        <w:rPr>
          <w:rFonts w:ascii="Arial" w:cs="Arial" w:eastAsia="Arial" w:hAnsi="Arial"/>
          <w:sz w:val="17"/>
          <w:szCs w:val="17"/>
          <w:color w:val="auto"/>
        </w:rPr>
      </w:pPr>
    </w:p>
    <w:p>
      <w:pPr>
        <w:jc w:val="both"/>
        <w:ind w:left="319" w:hanging="319"/>
        <w:spacing w:after="0" w:line="271" w:lineRule="auto"/>
        <w:tabs>
          <w:tab w:leader="none" w:pos="31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Plan Amendment and Termination</w:t>
      </w:r>
      <w:r>
        <w:rPr>
          <w:rFonts w:ascii="Arial" w:cs="Arial" w:eastAsia="Arial" w:hAnsi="Arial"/>
          <w:sz w:val="17"/>
          <w:szCs w:val="17"/>
          <w:color w:val="auto"/>
        </w:rPr>
        <w:t>. The Board may amend, suspend or terminate the Plan at any time, with or without advance notice to option</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provided however that no amendment that would (a) increase the maximum number of shares that may be subjected to options or (b) increase the number of shares that may be covered by an option grant to any person referred to in Section 162(m) or (c) modify requirements as to eligibility for participation in the Plan or (d) constitute a material revision to the terms of the Plan within the meaning of the rules and regulations of the New York Stock Exchange or the Securities and Exchange Commission or (e) than is required by any applicable law, rule or regulation to be approved by the stockholders of the Company or (f) modify paragraph 3.d. or 5.c. of the Plan shall be effective unless the stockholders of the Company shall have approved such amendment in accordance with applicable provisions of the Code, other law, rule or regulation. No amendment, modification or termination of the Plan may adversely affect in a material manner any right of any option holder with respect to any option theretofore granted without such option holder’s written consent.</w:t>
      </w:r>
    </w:p>
    <w:p>
      <w:pPr>
        <w:spacing w:after="0" w:line="201" w:lineRule="exact"/>
        <w:rPr>
          <w:rFonts w:ascii="Arial" w:cs="Arial" w:eastAsia="Arial" w:hAnsi="Arial"/>
          <w:sz w:val="17"/>
          <w:szCs w:val="17"/>
          <w:color w:val="auto"/>
        </w:rPr>
      </w:pPr>
    </w:p>
    <w:p>
      <w:pPr>
        <w:jc w:val="both"/>
        <w:ind w:left="319" w:hanging="312"/>
        <w:spacing w:after="0" w:line="281" w:lineRule="auto"/>
        <w:tabs>
          <w:tab w:leader="none" w:pos="31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Effective Date and Duration of the Plan</w:t>
      </w:r>
      <w:r>
        <w:rPr>
          <w:rFonts w:ascii="Arial" w:cs="Arial" w:eastAsia="Arial" w:hAnsi="Arial"/>
          <w:sz w:val="17"/>
          <w:szCs w:val="17"/>
          <w:color w:val="auto"/>
        </w:rPr>
        <w:t>. The Plan first became effective on March 29, 2000. Any amendment to the Plan shall be effective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sectPr>
      <w:pgSz w:w="11900" w:h="16838" w:orient="portrait"/>
      <w:cols w:equalWidth="0" w:num="1">
        <w:col w:w="11079"/>
      </w:cols>
      <w:pgMar w:left="581"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2"/>
    </w:lvl>
  </w:abstractNum>
  <w:abstractNum w:abstractNumId="2">
    <w:nsid w:val="515F007C"/>
    <w:multiLevelType w:val="hybridMultilevel"/>
    <w:lvl w:ilvl="0">
      <w:lvlJc w:val="left"/>
      <w:lvlText w:val="(%1)"/>
      <w:numFmt w:val="lowerLetter"/>
      <w:start w:val="5"/>
    </w:lvl>
  </w:abstractNum>
  <w:abstractNum w:abstractNumId="3">
    <w:nsid w:val="5BD062C2"/>
    <w:multiLevelType w:val="hybridMultilevel"/>
    <w:lvl w:ilvl="0">
      <w:lvlJc w:val="left"/>
      <w:lvlText w:val="(%1)"/>
      <w:numFmt w:val="lowerLetter"/>
      <w:start w:val="4"/>
    </w:lvl>
  </w:abstractNum>
  <w:abstractNum w:abstractNumId="4">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6">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Letter"/>
      <w:start w:val="1"/>
    </w:lvl>
  </w:abstractNum>
  <w:abstractNum w:abstractNumId="8">
    <w:nsid w:val="1190CDE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9">
    <w:nsid w:val="66EF438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0">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1">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2">
    <w:nsid w:val="109CF92E"/>
    <w:multiLevelType w:val="hybridMultilevel"/>
    <w:lvl w:ilvl="0">
      <w:lvlJc w:val="left"/>
      <w:lvlText w:val="%1"/>
      <w:numFmt w:val="decimal"/>
      <w:start w:val="1"/>
    </w:lvl>
    <w:lvl w:ilvl="1">
      <w:lvlJc w:val="left"/>
      <w:lvlText w:val="(%2)"/>
      <w:numFmt w:val="lowerRoman"/>
      <w:start w:val="4"/>
    </w:lvl>
  </w:abstractNum>
  <w:abstractNum w:abstractNumId="13">
    <w:nsid w:val="DED7263"/>
    <w:multiLevelType w:val="hybridMultilevel"/>
    <w:lvl w:ilvl="0">
      <w:lvlJc w:val="left"/>
      <w:lvlText w:val="%1."/>
      <w:numFmt w:val="decimal"/>
      <w:start w:val="8"/>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2019-12-11T14:28:41Z</dcterms:created>
  <dcterms:modified xsi:type="dcterms:W3CDTF">2019-12-11T14:28:41Z</dcterms:modified>
</cp:coreProperties>
</file>