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3"/>
        <w:spacing w:after="0"/>
        <w:rPr>
          <w:sz w:val="20"/>
          <w:szCs w:val="20"/>
          <w:color w:val="auto"/>
        </w:rPr>
      </w:pPr>
      <w:r>
        <w:rPr>
          <w:rFonts w:ascii="Courier New" w:cs="Courier New" w:eastAsia="Courier New" w:hAnsi="Courier New"/>
          <w:sz w:val="16"/>
          <w:szCs w:val="16"/>
          <w:color w:val="auto"/>
        </w:rPr>
        <w:t>1</w:t>
      </w:r>
    </w:p>
    <w:p>
      <w:pPr>
        <w:spacing w:after="0" w:line="1" w:lineRule="exact"/>
        <w:rPr>
          <w:sz w:val="24"/>
          <w:szCs w:val="24"/>
          <w:color w:val="auto"/>
        </w:rPr>
      </w:pPr>
    </w:p>
    <w:p>
      <w:pPr>
        <w:jc w:val="center"/>
        <w:ind w:right="2556"/>
        <w:spacing w:after="0"/>
        <w:rPr>
          <w:sz w:val="20"/>
          <w:szCs w:val="20"/>
          <w:color w:val="auto"/>
        </w:rPr>
      </w:pPr>
      <w:r>
        <w:rPr>
          <w:rFonts w:ascii="Courier New" w:cs="Courier New" w:eastAsia="Courier New" w:hAnsi="Courier New"/>
          <w:sz w:val="16"/>
          <w:szCs w:val="16"/>
          <w:color w:val="auto"/>
        </w:rPr>
        <w:t>FORM 11-K</w:t>
      </w:r>
    </w:p>
    <w:p>
      <w:pPr>
        <w:spacing w:after="0" w:line="183"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FOR ANNUAL REPORTS OF EMPLOYEE STOCK PURCHASE, SAVINGS AND SIMILAR PLANS</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PURSUANT TO SECTION 15(d) OF THE SECURITIES EXCHANGE ACT OF 1934</w:t>
      </w: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(Mark One)</w:t>
      </w:r>
    </w:p>
    <w:p>
      <w:pPr>
        <w:spacing w:after="0" w:line="5" w:lineRule="exact"/>
        <w:rPr>
          <w:sz w:val="24"/>
          <w:szCs w:val="24"/>
          <w:color w:val="auto"/>
        </w:rPr>
      </w:pPr>
    </w:p>
    <w:p>
      <w:pPr>
        <w:ind w:left="383" w:hanging="383"/>
        <w:spacing w:after="0"/>
        <w:tabs>
          <w:tab w:leader="none" w:pos="38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15(d) OF THE SECURITIES EXCHANGE ACT OF</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1934</w:t>
      </w: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For the fiscal year ended December 31, 2000.</w:t>
      </w:r>
    </w:p>
    <w:p>
      <w:pPr>
        <w:spacing w:after="0" w:line="186" w:lineRule="exact"/>
        <w:rPr>
          <w:sz w:val="24"/>
          <w:szCs w:val="24"/>
          <w:color w:val="auto"/>
        </w:rPr>
      </w:pPr>
    </w:p>
    <w:p>
      <w:pPr>
        <w:ind w:left="3" w:right="3219" w:hanging="3"/>
        <w:spacing w:after="0" w:line="237" w:lineRule="auto"/>
        <w:tabs>
          <w:tab w:leader="none" w:pos="19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15(d) OF THE SECURITIES EXCHANGE ACT OF 1934</w:t>
      </w:r>
    </w:p>
    <w:p>
      <w:pPr>
        <w:spacing w:after="0" w:line="2" w:lineRule="exact"/>
        <w:rPr>
          <w:sz w:val="24"/>
          <w:szCs w:val="24"/>
          <w:color w:val="auto"/>
        </w:rPr>
      </w:pPr>
    </w:p>
    <w:p>
      <w:pPr>
        <w:ind w:left="3"/>
        <w:spacing w:after="0"/>
        <w:tabs>
          <w:tab w:leader="none" w:pos="4523" w:val="left"/>
          <w:tab w:leader="none" w:pos="6223" w:val="left"/>
        </w:tabs>
        <w:rPr>
          <w:sz w:val="20"/>
          <w:szCs w:val="20"/>
          <w:color w:val="auto"/>
        </w:rPr>
      </w:pPr>
      <w:r>
        <w:rPr>
          <w:rFonts w:ascii="Courier New" w:cs="Courier New" w:eastAsia="Courier New" w:hAnsi="Courier New"/>
          <w:sz w:val="16"/>
          <w:szCs w:val="16"/>
          <w:color w:val="auto"/>
        </w:rPr>
        <w:t>For the transition period from</w:t>
      </w:r>
      <w:r>
        <w:rPr>
          <w:sz w:val="20"/>
          <w:szCs w:val="20"/>
          <w:color w:val="auto"/>
        </w:rPr>
        <w:tab/>
      </w:r>
      <w:r>
        <w:rPr>
          <w:rFonts w:ascii="Courier New" w:cs="Courier New" w:eastAsia="Courier New" w:hAnsi="Courier New"/>
          <w:sz w:val="16"/>
          <w:szCs w:val="16"/>
          <w:color w:val="auto"/>
        </w:rPr>
        <w:t>to</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22"/>
          </w:cols>
          <w:pgMar w:left="237" w:top="235" w:right="1440" w:bottom="1440" w:gutter="0" w:footer="0" w:header="0"/>
        </w:sectPr>
      </w:pPr>
    </w:p>
    <w:p>
      <w:pPr>
        <w:spacing w:after="0" w:line="5" w:lineRule="exact"/>
        <w:rPr>
          <w:sz w:val="24"/>
          <w:szCs w:val="24"/>
          <w:color w:val="auto"/>
        </w:rPr>
      </w:pPr>
    </w:p>
    <w:p>
      <w:pPr>
        <w:ind w:left="2923"/>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4"/>
          <w:szCs w:val="24"/>
          <w:color w:val="auto"/>
        </w:rPr>
      </w:pPr>
    </w:p>
    <w:p>
      <w:pPr>
        <w:sectPr>
          <w:pgSz w:w="11900" w:h="16838" w:orient="portrait"/>
          <w:cols w:equalWidth="0" w:num="2">
            <w:col w:w="4343" w:space="480"/>
            <w:col w:w="5399"/>
          </w:cols>
          <w:pgMar w:left="237" w:top="235" w:right="1440" w:bottom="1440" w:gutter="0" w:footer="0" w:header="0"/>
          <w:type w:val="continuous"/>
        </w:sectPr>
      </w:pPr>
    </w:p>
    <w:p>
      <w:pPr>
        <w:ind w:left="3"/>
        <w:spacing w:after="0"/>
        <w:rPr>
          <w:sz w:val="20"/>
          <w:szCs w:val="20"/>
          <w:color w:val="auto"/>
        </w:rPr>
      </w:pPr>
      <w:r>
        <w:rPr>
          <w:rFonts w:ascii="Courier New" w:cs="Courier New" w:eastAsia="Courier New" w:hAnsi="Courier New"/>
          <w:sz w:val="15"/>
          <w:szCs w:val="15"/>
          <w:color w:val="auto"/>
        </w:rPr>
        <w:t>Commission file number 1-8649.</w:t>
      </w:r>
    </w:p>
    <w:p>
      <w:pPr>
        <w:spacing w:after="0" w:line="8" w:lineRule="exact"/>
        <w:rPr>
          <w:sz w:val="24"/>
          <w:szCs w:val="24"/>
          <w:color w:val="auto"/>
        </w:rPr>
      </w:pPr>
    </w:p>
    <w:p>
      <w:pPr>
        <w:ind w:left="2183"/>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2"/>
          </w:cols>
          <w:pgMar w:left="237" w:top="235" w:right="1440" w:bottom="1440" w:gutter="0" w:footer="0" w:header="0"/>
          <w:type w:val="continuous"/>
        </w:sectPr>
      </w:pPr>
    </w:p>
    <w:p>
      <w:pPr>
        <w:spacing w:after="0" w:line="183" w:lineRule="exact"/>
        <w:rPr>
          <w:sz w:val="24"/>
          <w:szCs w:val="24"/>
          <w:color w:val="auto"/>
        </w:rPr>
      </w:pPr>
    </w:p>
    <w:p>
      <w:pPr>
        <w:ind w:left="843" w:hanging="843"/>
        <w:spacing w:after="0"/>
        <w:tabs>
          <w:tab w:leader="none" w:pos="84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Toro Company Investment and Savings Plan</w:t>
      </w:r>
    </w:p>
    <w:p>
      <w:pPr>
        <w:ind w:left="843" w:hanging="843"/>
        <w:spacing w:after="0"/>
        <w:tabs>
          <w:tab w:leader="none" w:pos="84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Toro Company</w:t>
      </w:r>
    </w:p>
    <w:p>
      <w:pPr>
        <w:spacing w:after="0" w:line="4" w:lineRule="exact"/>
        <w:rPr>
          <w:rFonts w:ascii="Courier New" w:cs="Courier New" w:eastAsia="Courier New" w:hAnsi="Courier New"/>
          <w:sz w:val="16"/>
          <w:szCs w:val="16"/>
          <w:color w:val="auto"/>
        </w:rPr>
      </w:pPr>
    </w:p>
    <w:p>
      <w:pPr>
        <w:ind w:left="843" w:right="699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8111 Lyndale Avenue South Minneapolis, MN 55420</w:t>
      </w:r>
    </w:p>
    <w:p>
      <w:pPr>
        <w:spacing w:after="0" w:line="164" w:lineRule="exact"/>
        <w:rPr>
          <w:sz w:val="24"/>
          <w:szCs w:val="24"/>
          <w:color w:val="auto"/>
        </w:rPr>
      </w:pPr>
    </w:p>
    <w:p>
      <w:pPr>
        <w:ind w:left="2843"/>
        <w:spacing w:after="0"/>
        <w:rPr>
          <w:sz w:val="20"/>
          <w:szCs w:val="20"/>
          <w:color w:val="auto"/>
        </w:rPr>
      </w:pPr>
      <w:r>
        <w:rPr>
          <w:rFonts w:ascii="Courier New" w:cs="Courier New" w:eastAsia="Courier New" w:hAnsi="Courier New"/>
          <w:sz w:val="16"/>
          <w:szCs w:val="16"/>
          <w:color w:val="auto"/>
        </w:rPr>
        <w:t>REQUIRED INFORMATION</w:t>
      </w: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The following financial statements shall be furnished for the plan:</w:t>
      </w:r>
    </w:p>
    <w:p>
      <w:pPr>
        <w:spacing w:after="0" w:line="186" w:lineRule="exact"/>
        <w:rPr>
          <w:sz w:val="24"/>
          <w:szCs w:val="24"/>
          <w:color w:val="auto"/>
        </w:rPr>
      </w:pPr>
    </w:p>
    <w:p>
      <w:pPr>
        <w:ind w:left="463" w:right="2659" w:hanging="463"/>
        <w:spacing w:after="0" w:line="238" w:lineRule="auto"/>
        <w:tabs>
          <w:tab w:leader="none" w:pos="4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audited statement of financial condition as of the end of the latest two fiscal years of the plan (or such lesser period as the plan has been in existence).</w:t>
      </w:r>
    </w:p>
    <w:p>
      <w:pPr>
        <w:spacing w:after="0" w:line="6" w:lineRule="exact"/>
        <w:rPr>
          <w:rFonts w:ascii="Courier New" w:cs="Courier New" w:eastAsia="Courier New" w:hAnsi="Courier New"/>
          <w:sz w:val="16"/>
          <w:szCs w:val="16"/>
          <w:color w:val="auto"/>
        </w:rPr>
      </w:pPr>
    </w:p>
    <w:p>
      <w:pPr>
        <w:ind w:left="463" w:right="2839" w:hanging="463"/>
        <w:spacing w:after="0" w:line="238" w:lineRule="auto"/>
        <w:tabs>
          <w:tab w:leader="none" w:pos="4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audited statement of income and changes in plan equity for each of the latest three fiscal years of the plan (or such lesser period as the plan has been in existence).</w:t>
      </w:r>
    </w:p>
    <w:p>
      <w:pPr>
        <w:spacing w:after="0" w:line="6" w:lineRule="exact"/>
        <w:rPr>
          <w:rFonts w:ascii="Courier New" w:cs="Courier New" w:eastAsia="Courier New" w:hAnsi="Courier New"/>
          <w:sz w:val="16"/>
          <w:szCs w:val="16"/>
          <w:color w:val="auto"/>
        </w:rPr>
      </w:pPr>
    </w:p>
    <w:p>
      <w:pPr>
        <w:ind w:left="463" w:right="2939" w:hanging="463"/>
        <w:spacing w:after="0" w:line="256" w:lineRule="auto"/>
        <w:tabs>
          <w:tab w:leader="none" w:pos="46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required by Items 1 and 2 shall be prepared in accordance with the applicable provisions of Article 6A of Regulation S-X.</w:t>
      </w:r>
    </w:p>
    <w:p>
      <w:pPr>
        <w:spacing w:after="0" w:line="1" w:lineRule="exact"/>
        <w:rPr>
          <w:rFonts w:ascii="Courier New" w:cs="Courier New" w:eastAsia="Courier New" w:hAnsi="Courier New"/>
          <w:sz w:val="15"/>
          <w:szCs w:val="15"/>
          <w:color w:val="auto"/>
        </w:rPr>
      </w:pPr>
    </w:p>
    <w:p>
      <w:pPr>
        <w:ind w:left="463" w:right="2759" w:hanging="463"/>
        <w:spacing w:after="0" w:line="239" w:lineRule="auto"/>
        <w:tabs>
          <w:tab w:leader="none" w:pos="4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lieu of the requirements of Items 1-3 above, plans subject to ERISA may file plan financial statements and schedules prepared in accordance with the financial reporting requirements of ERISA. To the extent required by ERISA, the plan financial statements shall be examined by an independent accountant, except that the "limited scope of exemption" contained in Section 103(a)(3)(C) of ERISA shall not be available.</w:t>
      </w:r>
    </w:p>
    <w:p>
      <w:pPr>
        <w:spacing w:after="0" w:line="190" w:lineRule="exact"/>
        <w:rPr>
          <w:sz w:val="24"/>
          <w:szCs w:val="24"/>
          <w:color w:val="auto"/>
        </w:rPr>
      </w:pPr>
    </w:p>
    <w:p>
      <w:pPr>
        <w:ind w:left="3" w:right="2659"/>
        <w:spacing w:after="0" w:line="239" w:lineRule="auto"/>
        <w:rPr>
          <w:sz w:val="20"/>
          <w:szCs w:val="20"/>
          <w:color w:val="auto"/>
        </w:rPr>
      </w:pPr>
      <w:r>
        <w:rPr>
          <w:rFonts w:ascii="Courier New" w:cs="Courier New" w:eastAsia="Courier New" w:hAnsi="Courier New"/>
          <w:sz w:val="16"/>
          <w:szCs w:val="16"/>
          <w:color w:val="auto"/>
        </w:rPr>
        <w:t>Note: A written consent of the accountant is required with respect to the plan annual financial statements which have been incorporated by reference in a registration statement on Form S-8 under the Securities Act of 1933. The consent should be filed as an exhibit to this annual report. Such consent shall be currently dated and manually signed.</w:t>
      </w:r>
    </w:p>
    <w:p>
      <w:pPr>
        <w:spacing w:after="0" w:line="185"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SIGNATURES</w:t>
      </w:r>
    </w:p>
    <w:p>
      <w:pPr>
        <w:spacing w:after="0" w:line="186" w:lineRule="exact"/>
        <w:rPr>
          <w:sz w:val="24"/>
          <w:szCs w:val="24"/>
          <w:color w:val="auto"/>
        </w:rPr>
      </w:pPr>
    </w:p>
    <w:p>
      <w:pPr>
        <w:ind w:left="3" w:right="2839"/>
        <w:spacing w:after="0" w:line="239" w:lineRule="auto"/>
        <w:rPr>
          <w:sz w:val="20"/>
          <w:szCs w:val="20"/>
          <w:color w:val="auto"/>
        </w:rPr>
      </w:pPr>
      <w:r>
        <w:rPr>
          <w:rFonts w:ascii="Courier New" w:cs="Courier New" w:eastAsia="Courier New" w:hAnsi="Courier New"/>
          <w:sz w:val="16"/>
          <w:szCs w:val="16"/>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83" w:lineRule="exact"/>
        <w:rPr>
          <w:sz w:val="24"/>
          <w:szCs w:val="24"/>
          <w:color w:val="auto"/>
        </w:rPr>
      </w:pPr>
    </w:p>
    <w:p>
      <w:pPr>
        <w:jc w:val="center"/>
        <w:ind w:right="-563"/>
        <w:spacing w:after="0"/>
        <w:rPr>
          <w:sz w:val="20"/>
          <w:szCs w:val="20"/>
          <w:color w:val="auto"/>
        </w:rPr>
      </w:pPr>
      <w:r>
        <w:rPr>
          <w:rFonts w:ascii="Courier New" w:cs="Courier New" w:eastAsia="Courier New" w:hAnsi="Courier New"/>
          <w:sz w:val="16"/>
          <w:szCs w:val="16"/>
          <w:color w:val="auto"/>
        </w:rPr>
        <w:t>The Toro Company Savings and Investment Plan</w:t>
      </w:r>
    </w:p>
    <w:p>
      <w:pPr>
        <w:spacing w:after="0" w:line="1" w:lineRule="exact"/>
        <w:rPr>
          <w:sz w:val="24"/>
          <w:szCs w:val="24"/>
          <w:color w:val="auto"/>
        </w:rPr>
      </w:pPr>
    </w:p>
    <w:p>
      <w:pPr>
        <w:jc w:val="center"/>
        <w:ind w:right="-563"/>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jc w:val="center"/>
        <w:ind w:right="-563"/>
        <w:spacing w:after="0"/>
        <w:rPr>
          <w:sz w:val="20"/>
          <w:szCs w:val="20"/>
          <w:color w:val="auto"/>
        </w:rPr>
      </w:pPr>
      <w:r>
        <w:rPr>
          <w:rFonts w:ascii="Courier New" w:cs="Courier New" w:eastAsia="Courier New" w:hAnsi="Courier New"/>
          <w:sz w:val="16"/>
          <w:szCs w:val="16"/>
          <w:color w:val="auto"/>
        </w:rPr>
        <w:t>(Name of Plan)</w:t>
      </w:r>
    </w:p>
    <w:p>
      <w:pPr>
        <w:sectPr>
          <w:pgSz w:w="11900" w:h="16838" w:orient="portrait"/>
          <w:cols w:equalWidth="0" w:num="1">
            <w:col w:w="10222"/>
          </w:cols>
          <w:pgMar w:left="237" w:top="235" w:right="1440" w:bottom="1440" w:gutter="0" w:footer="0" w:header="0"/>
          <w:type w:val="continuous"/>
        </w:sectPr>
      </w:pPr>
    </w:p>
    <w:p>
      <w:pPr>
        <w:spacing w:after="0" w:line="186" w:lineRule="exact"/>
        <w:rPr>
          <w:sz w:val="24"/>
          <w:szCs w:val="24"/>
          <w:color w:val="auto"/>
        </w:rPr>
      </w:pPr>
    </w:p>
    <w:p>
      <w:pPr>
        <w:jc w:val="right"/>
        <w:ind w:right="1640"/>
        <w:spacing w:after="0"/>
        <w:rPr>
          <w:sz w:val="20"/>
          <w:szCs w:val="20"/>
          <w:color w:val="auto"/>
        </w:rPr>
      </w:pPr>
      <w:r>
        <w:rPr>
          <w:rFonts w:ascii="Courier New" w:cs="Courier New" w:eastAsia="Courier New" w:hAnsi="Courier New"/>
          <w:sz w:val="15"/>
          <w:szCs w:val="15"/>
          <w:color w:val="auto"/>
        </w:rPr>
        <w:t>Dated June 29, 2001</w:t>
      </w:r>
    </w:p>
    <w:p>
      <w:pPr>
        <w:spacing w:after="0" w:line="8" w:lineRule="exact"/>
        <w:rPr>
          <w:sz w:val="24"/>
          <w:szCs w:val="24"/>
          <w:color w:val="auto"/>
        </w:rPr>
      </w:pPr>
    </w:p>
    <w:p>
      <w:pPr>
        <w:jc w:val="right"/>
        <w:ind w:right="1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 Randy B. James</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Randy B. James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Vice President, Controller</w:t>
      </w:r>
    </w:p>
    <w:p>
      <w:pPr>
        <w:sectPr>
          <w:pgSz w:w="11900" w:h="16838" w:orient="portrait"/>
          <w:cols w:equalWidth="0" w:num="2">
            <w:col w:w="3443" w:space="720"/>
            <w:col w:w="6059"/>
          </w:cols>
          <w:pgMar w:left="237" w:top="235"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THE TORO COMPANY</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INVESTMENT AND SAVINGS PLAN</w:t>
      </w:r>
    </w:p>
    <w:p>
      <w:pPr>
        <w:spacing w:after="0" w:line="18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Financial Statements and Schedules</w:t>
      </w:r>
    </w:p>
    <w:p>
      <w:pPr>
        <w:spacing w:after="0" w:line="183"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December 31, 2000 and 1999</w:t>
      </w:r>
    </w:p>
    <w:p>
      <w:pPr>
        <w:spacing w:after="0" w:line="183"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6"/>
          <w:szCs w:val="16"/>
          <w:color w:val="auto"/>
        </w:rPr>
        <w:t>(With Independent Auditors' Report Thereon)</w:t>
      </w:r>
    </w:p>
    <w:p>
      <w:pPr>
        <w:sectPr>
          <w:pgSz w:w="11900" w:h="16838" w:orient="portrait"/>
          <w:cols w:equalWidth="0" w:num="1">
            <w:col w:w="9939"/>
          </w:cols>
          <w:pgMar w:left="520" w:top="29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1"/>
        </w:trPr>
        <w:tc>
          <w:tcPr>
            <w:tcW w:w="8360" w:type="dxa"/>
            <w:vAlign w:val="bottom"/>
          </w:tcPr>
          <w:p>
            <w:pPr>
              <w:ind w:left="280"/>
              <w:spacing w:after="0"/>
              <w:rPr>
                <w:sz w:val="20"/>
                <w:szCs w:val="20"/>
                <w:color w:val="auto"/>
              </w:rPr>
            </w:pPr>
            <w:r>
              <w:rPr>
                <w:rFonts w:ascii="Courier New" w:cs="Courier New" w:eastAsia="Courier New" w:hAnsi="Courier New"/>
                <w:sz w:val="16"/>
                <w:szCs w:val="16"/>
                <w:color w:val="auto"/>
              </w:rPr>
              <w:t>3</w:t>
            </w:r>
          </w:p>
        </w:tc>
        <w:tc>
          <w:tcPr>
            <w:tcW w:w="2980" w:type="dxa"/>
            <w:vAlign w:val="bottom"/>
          </w:tcPr>
          <w:p>
            <w:pPr>
              <w:spacing w:after="0"/>
              <w:rPr>
                <w:sz w:val="15"/>
                <w:szCs w:val="15"/>
                <w:color w:val="auto"/>
              </w:rPr>
            </w:pPr>
          </w:p>
        </w:tc>
      </w:tr>
      <w:tr>
        <w:trPr>
          <w:trHeight w:val="728"/>
        </w:trPr>
        <w:tc>
          <w:tcPr>
            <w:tcW w:w="8360" w:type="dxa"/>
            <w:vAlign w:val="bottom"/>
          </w:tcPr>
          <w:p>
            <w:pPr>
              <w:ind w:left="3020"/>
              <w:spacing w:after="0"/>
              <w:rPr>
                <w:sz w:val="20"/>
                <w:szCs w:val="20"/>
                <w:color w:val="auto"/>
              </w:rPr>
            </w:pPr>
            <w:r>
              <w:rPr>
                <w:rFonts w:ascii="Courier New" w:cs="Courier New" w:eastAsia="Courier New" w:hAnsi="Courier New"/>
                <w:sz w:val="16"/>
                <w:szCs w:val="16"/>
                <w:color w:val="auto"/>
              </w:rPr>
              <w:t>THE TORO COMPANY</w:t>
            </w:r>
          </w:p>
        </w:tc>
        <w:tc>
          <w:tcPr>
            <w:tcW w:w="2980" w:type="dxa"/>
            <w:vAlign w:val="bottom"/>
          </w:tcPr>
          <w:p>
            <w:pPr>
              <w:spacing w:after="0"/>
              <w:rPr>
                <w:sz w:val="24"/>
                <w:szCs w:val="24"/>
                <w:color w:val="auto"/>
              </w:rPr>
            </w:pPr>
          </w:p>
        </w:tc>
      </w:tr>
      <w:tr>
        <w:trPr>
          <w:trHeight w:val="182"/>
        </w:trPr>
        <w:tc>
          <w:tcPr>
            <w:tcW w:w="8360" w:type="dxa"/>
            <w:vAlign w:val="bottom"/>
          </w:tcPr>
          <w:p>
            <w:pPr>
              <w:ind w:left="2560"/>
              <w:spacing w:after="0"/>
              <w:rPr>
                <w:sz w:val="20"/>
                <w:szCs w:val="20"/>
                <w:color w:val="auto"/>
              </w:rPr>
            </w:pPr>
            <w:r>
              <w:rPr>
                <w:rFonts w:ascii="Courier New" w:cs="Courier New" w:eastAsia="Courier New" w:hAnsi="Courier New"/>
                <w:sz w:val="16"/>
                <w:szCs w:val="16"/>
                <w:color w:val="auto"/>
              </w:rPr>
              <w:t>INVESTMENT AND SAVINGS PLAN</w:t>
            </w:r>
          </w:p>
        </w:tc>
        <w:tc>
          <w:tcPr>
            <w:tcW w:w="2980" w:type="dxa"/>
            <w:vAlign w:val="bottom"/>
          </w:tcPr>
          <w:p>
            <w:pPr>
              <w:spacing w:after="0"/>
              <w:rPr>
                <w:sz w:val="15"/>
                <w:szCs w:val="15"/>
                <w:color w:val="auto"/>
              </w:rPr>
            </w:pPr>
          </w:p>
        </w:tc>
      </w:tr>
      <w:tr>
        <w:trPr>
          <w:trHeight w:val="728"/>
        </w:trPr>
        <w:tc>
          <w:tcPr>
            <w:tcW w:w="8360" w:type="dxa"/>
            <w:vAlign w:val="bottom"/>
          </w:tcPr>
          <w:p>
            <w:pPr>
              <w:ind w:left="3020"/>
              <w:spacing w:after="0"/>
              <w:rPr>
                <w:sz w:val="20"/>
                <w:szCs w:val="20"/>
                <w:color w:val="auto"/>
              </w:rPr>
            </w:pPr>
            <w:r>
              <w:rPr>
                <w:rFonts w:ascii="Courier New" w:cs="Courier New" w:eastAsia="Courier New" w:hAnsi="Courier New"/>
                <w:sz w:val="16"/>
                <w:szCs w:val="16"/>
                <w:color w:val="auto"/>
              </w:rPr>
              <w:t>TABLE OF CONTENTS</w:t>
            </w:r>
          </w:p>
        </w:tc>
        <w:tc>
          <w:tcPr>
            <w:tcW w:w="2980" w:type="dxa"/>
            <w:vAlign w:val="bottom"/>
          </w:tcPr>
          <w:p>
            <w:pPr>
              <w:spacing w:after="0"/>
              <w:rPr>
                <w:sz w:val="24"/>
                <w:szCs w:val="24"/>
                <w:color w:val="auto"/>
              </w:rPr>
            </w:pPr>
          </w:p>
        </w:tc>
      </w:tr>
      <w:tr>
        <w:trPr>
          <w:trHeight w:val="909"/>
        </w:trPr>
        <w:tc>
          <w:tcPr>
            <w:tcW w:w="8360" w:type="dxa"/>
            <w:vAlign w:val="bottom"/>
          </w:tcPr>
          <w:p>
            <w:pPr>
              <w:spacing w:after="0"/>
              <w:rPr>
                <w:sz w:val="24"/>
                <w:szCs w:val="24"/>
                <w:color w:val="auto"/>
              </w:rPr>
            </w:pPr>
          </w:p>
        </w:tc>
        <w:tc>
          <w:tcPr>
            <w:tcW w:w="2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PAGES</w:t>
            </w:r>
          </w:p>
        </w:tc>
      </w:tr>
      <w:tr>
        <w:trPr>
          <w:trHeight w:val="364"/>
        </w:trPr>
        <w:tc>
          <w:tcPr>
            <w:tcW w:w="8360" w:type="dxa"/>
            <w:vAlign w:val="bottom"/>
          </w:tcPr>
          <w:p>
            <w:pPr>
              <w:spacing w:after="0"/>
              <w:rPr>
                <w:sz w:val="20"/>
                <w:szCs w:val="20"/>
                <w:color w:val="auto"/>
              </w:rPr>
            </w:pPr>
            <w:r>
              <w:rPr>
                <w:rFonts w:ascii="Courier New" w:cs="Courier New" w:eastAsia="Courier New" w:hAnsi="Courier New"/>
                <w:sz w:val="16"/>
                <w:szCs w:val="16"/>
                <w:color w:val="auto"/>
              </w:rPr>
              <w:t>Independent Auditors' Report</w:t>
            </w:r>
          </w:p>
        </w:tc>
        <w:tc>
          <w:tcPr>
            <w:tcW w:w="2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w:t>
            </w:r>
          </w:p>
        </w:tc>
      </w:tr>
      <w:tr>
        <w:trPr>
          <w:trHeight w:val="364"/>
        </w:trPr>
        <w:tc>
          <w:tcPr>
            <w:tcW w:w="8360" w:type="dxa"/>
            <w:vAlign w:val="bottom"/>
          </w:tcPr>
          <w:p>
            <w:pPr>
              <w:spacing w:after="0"/>
              <w:rPr>
                <w:sz w:val="20"/>
                <w:szCs w:val="20"/>
                <w:color w:val="auto"/>
              </w:rPr>
            </w:pPr>
            <w:r>
              <w:rPr>
                <w:rFonts w:ascii="Courier New" w:cs="Courier New" w:eastAsia="Courier New" w:hAnsi="Courier New"/>
                <w:sz w:val="16"/>
                <w:szCs w:val="16"/>
                <w:color w:val="auto"/>
              </w:rPr>
              <w:t>Statements of Net Assets Available for Plan Benefits</w:t>
            </w:r>
          </w:p>
        </w:tc>
        <w:tc>
          <w:tcPr>
            <w:tcW w:w="2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w:t>
            </w:r>
          </w:p>
        </w:tc>
      </w:tr>
      <w:tr>
        <w:trPr>
          <w:trHeight w:val="364"/>
        </w:trPr>
        <w:tc>
          <w:tcPr>
            <w:tcW w:w="8360" w:type="dxa"/>
            <w:vAlign w:val="bottom"/>
          </w:tcPr>
          <w:p>
            <w:pPr>
              <w:spacing w:after="0"/>
              <w:rPr>
                <w:sz w:val="20"/>
                <w:szCs w:val="20"/>
                <w:color w:val="auto"/>
              </w:rPr>
            </w:pPr>
            <w:r>
              <w:rPr>
                <w:rFonts w:ascii="Courier New" w:cs="Courier New" w:eastAsia="Courier New" w:hAnsi="Courier New"/>
                <w:sz w:val="16"/>
                <w:szCs w:val="16"/>
                <w:color w:val="auto"/>
              </w:rPr>
              <w:t>Statements of Changes in Net Assets Available for Plan Benefits</w:t>
            </w:r>
          </w:p>
        </w:tc>
        <w:tc>
          <w:tcPr>
            <w:tcW w:w="2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w:t>
            </w:r>
          </w:p>
        </w:tc>
      </w:tr>
      <w:tr>
        <w:trPr>
          <w:trHeight w:val="364"/>
        </w:trPr>
        <w:tc>
          <w:tcPr>
            <w:tcW w:w="8360" w:type="dxa"/>
            <w:vAlign w:val="bottom"/>
          </w:tcPr>
          <w:p>
            <w:pPr>
              <w:spacing w:after="0"/>
              <w:rPr>
                <w:sz w:val="20"/>
                <w:szCs w:val="20"/>
                <w:color w:val="auto"/>
              </w:rPr>
            </w:pPr>
            <w:r>
              <w:rPr>
                <w:rFonts w:ascii="Courier New" w:cs="Courier New" w:eastAsia="Courier New" w:hAnsi="Courier New"/>
                <w:sz w:val="16"/>
                <w:szCs w:val="16"/>
                <w:color w:val="auto"/>
              </w:rPr>
              <w:t>Notes to Financial Statements</w:t>
            </w:r>
          </w:p>
        </w:tc>
        <w:tc>
          <w:tcPr>
            <w:tcW w:w="2980" w:type="dxa"/>
            <w:vAlign w:val="bottom"/>
          </w:tcPr>
          <w:p>
            <w:pPr>
              <w:jc w:val="right"/>
              <w:spacing w:after="0"/>
              <w:rPr>
                <w:sz w:val="20"/>
                <w:szCs w:val="20"/>
                <w:color w:val="auto"/>
              </w:rPr>
            </w:pPr>
            <w:r>
              <w:rPr>
                <w:rFonts w:ascii="Courier New" w:cs="Courier New" w:eastAsia="Courier New" w:hAnsi="Courier New"/>
                <w:sz w:val="16"/>
                <w:szCs w:val="16"/>
                <w:color w:val="auto"/>
              </w:rPr>
              <w:t>4 - 9</w:t>
            </w:r>
          </w:p>
        </w:tc>
      </w:tr>
      <w:tr>
        <w:trPr>
          <w:trHeight w:val="364"/>
        </w:trPr>
        <w:tc>
          <w:tcPr>
            <w:tcW w:w="8360" w:type="dxa"/>
            <w:vAlign w:val="bottom"/>
          </w:tcPr>
          <w:p>
            <w:pPr>
              <w:spacing w:after="0"/>
              <w:rPr>
                <w:sz w:val="20"/>
                <w:szCs w:val="20"/>
                <w:color w:val="auto"/>
              </w:rPr>
            </w:pPr>
            <w:r>
              <w:rPr>
                <w:rFonts w:ascii="Courier New" w:cs="Courier New" w:eastAsia="Courier New" w:hAnsi="Courier New"/>
                <w:sz w:val="16"/>
                <w:szCs w:val="16"/>
                <w:color w:val="auto"/>
              </w:rPr>
              <w:t>Schedule</w:t>
            </w:r>
          </w:p>
        </w:tc>
        <w:tc>
          <w:tcPr>
            <w:tcW w:w="2980" w:type="dxa"/>
            <w:vAlign w:val="bottom"/>
          </w:tcPr>
          <w:p>
            <w:pPr>
              <w:spacing w:after="0"/>
              <w:rPr>
                <w:sz w:val="24"/>
                <w:szCs w:val="24"/>
                <w:color w:val="auto"/>
              </w:rPr>
            </w:pPr>
          </w:p>
        </w:tc>
      </w:tr>
      <w:tr>
        <w:trPr>
          <w:trHeight w:val="364"/>
        </w:trPr>
        <w:tc>
          <w:tcPr>
            <w:tcW w:w="8360" w:type="dxa"/>
            <w:vAlign w:val="bottom"/>
          </w:tcPr>
          <w:p>
            <w:pPr>
              <w:spacing w:after="0"/>
              <w:rPr>
                <w:sz w:val="20"/>
                <w:szCs w:val="20"/>
                <w:color w:val="auto"/>
              </w:rPr>
            </w:pPr>
            <w:r>
              <w:rPr>
                <w:rFonts w:ascii="Courier New" w:cs="Courier New" w:eastAsia="Courier New" w:hAnsi="Courier New"/>
                <w:sz w:val="16"/>
                <w:szCs w:val="16"/>
                <w:color w:val="auto"/>
              </w:rPr>
              <w:t>Schedule of Assets Held for Investment Purposes at End of Year</w:t>
            </w:r>
          </w:p>
        </w:tc>
        <w:tc>
          <w:tcPr>
            <w:tcW w:w="2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w:t>
            </w:r>
          </w:p>
        </w:tc>
      </w:tr>
    </w:tbl>
    <w:p>
      <w:pPr>
        <w:sectPr>
          <w:pgSz w:w="11900" w:h="16838" w:orient="portrait"/>
          <w:cols w:equalWidth="0" w:num="1">
            <w:col w:w="11340"/>
          </w:cols>
          <w:pgMar w:left="240" w:top="295" w:right="31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INDEPENDENT AUDITORS' REPORT</w:t>
      </w: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Plan Administrator</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Toro Company Investment and Savings Plan:</w:t>
      </w:r>
    </w:p>
    <w:p>
      <w:pPr>
        <w:spacing w:after="0" w:line="368" w:lineRule="exact"/>
        <w:rPr>
          <w:sz w:val="20"/>
          <w:szCs w:val="20"/>
          <w:color w:val="auto"/>
        </w:rPr>
      </w:pPr>
    </w:p>
    <w:p>
      <w:pPr>
        <w:ind w:left="180" w:right="2659"/>
        <w:spacing w:after="0" w:line="239" w:lineRule="auto"/>
        <w:rPr>
          <w:sz w:val="20"/>
          <w:szCs w:val="20"/>
          <w:color w:val="auto"/>
        </w:rPr>
      </w:pPr>
      <w:r>
        <w:rPr>
          <w:rFonts w:ascii="Courier New" w:cs="Courier New" w:eastAsia="Courier New" w:hAnsi="Courier New"/>
          <w:sz w:val="16"/>
          <w:szCs w:val="16"/>
          <w:color w:val="auto"/>
        </w:rPr>
        <w:t>We have audited the accompanying statements of net assets available for plan benefits of The Toro Company Investment and Savings Plan (the Plan) as of December 31, 2000 and 1999, and the related statements of changes in net assets available for plan benefits for the years then ended. These financial statements are the responsibility of the Plan's management. Our responsibility is to express an opinion on these financial statements based on our audits.</w:t>
      </w:r>
    </w:p>
    <w:p>
      <w:pPr>
        <w:spacing w:after="0" w:line="192" w:lineRule="exact"/>
        <w:rPr>
          <w:sz w:val="20"/>
          <w:szCs w:val="20"/>
          <w:color w:val="auto"/>
        </w:rPr>
      </w:pPr>
    </w:p>
    <w:p>
      <w:pPr>
        <w:ind w:left="180" w:right="2659"/>
        <w:spacing w:after="0" w:line="258"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5" w:lineRule="exact"/>
        <w:rPr>
          <w:sz w:val="20"/>
          <w:szCs w:val="20"/>
          <w:color w:val="auto"/>
        </w:rPr>
      </w:pPr>
    </w:p>
    <w:p>
      <w:pPr>
        <w:ind w:left="180" w:right="2759"/>
        <w:spacing w:after="0" w:line="259"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net assets available for plan benefits as of December 31, 2000 and 1999, and the changes in net assets available for plan benefits for the years then ended, in conformity with accounting principles generally accepted in the United States of America.</w:t>
      </w:r>
    </w:p>
    <w:p>
      <w:pPr>
        <w:spacing w:after="0" w:line="174" w:lineRule="exact"/>
        <w:rPr>
          <w:sz w:val="20"/>
          <w:szCs w:val="20"/>
          <w:color w:val="auto"/>
        </w:rPr>
      </w:pPr>
    </w:p>
    <w:p>
      <w:pPr>
        <w:ind w:left="180" w:right="2759"/>
        <w:spacing w:after="0"/>
        <w:rPr>
          <w:sz w:val="20"/>
          <w:szCs w:val="20"/>
          <w:color w:val="auto"/>
        </w:rPr>
      </w:pPr>
      <w:r>
        <w:rPr>
          <w:rFonts w:ascii="Courier New" w:cs="Courier New" w:eastAsia="Courier New" w:hAnsi="Courier New"/>
          <w:sz w:val="16"/>
          <w:szCs w:val="16"/>
          <w:color w:val="auto"/>
        </w:rPr>
        <w:t>Our audits were performed for the purpose of forming an opinion on the basic financial statements taken as a whole. The supplemental schedule of assets held for investment purposes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The supplemental schedule has been subjected to the auditing procedures applied in the audits of the basic financial statements and, in our opinion, is fairly stated in all material respects in relation to the basic financial statements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80"/>
        <w:spacing w:after="0"/>
        <w:tabs>
          <w:tab w:leader="none" w:pos="5740" w:val="left"/>
        </w:tabs>
        <w:rPr>
          <w:sz w:val="20"/>
          <w:szCs w:val="20"/>
          <w:color w:val="auto"/>
        </w:rPr>
      </w:pPr>
      <w:r>
        <w:rPr>
          <w:rFonts w:ascii="Courier New" w:cs="Courier New" w:eastAsia="Courier New" w:hAnsi="Courier New"/>
          <w:sz w:val="16"/>
          <w:szCs w:val="16"/>
          <w:color w:val="auto"/>
        </w:rPr>
        <w:t>June 15, 2001</w:t>
      </w:r>
      <w:r>
        <w:rPr>
          <w:sz w:val="20"/>
          <w:szCs w:val="20"/>
          <w:color w:val="auto"/>
        </w:rPr>
        <w:tab/>
      </w:r>
      <w:r>
        <w:rPr>
          <w:rFonts w:ascii="Courier New" w:cs="Courier New" w:eastAsia="Courier New" w:hAnsi="Courier New"/>
          <w:sz w:val="15"/>
          <w:szCs w:val="15"/>
          <w:color w:val="auto"/>
        </w:rPr>
        <w:t>/s/ KPMG LLP</w:t>
      </w:r>
    </w:p>
    <w:p>
      <w:pPr>
        <w:sectPr>
          <w:pgSz w:w="11900" w:h="16838" w:orient="portrait"/>
          <w:cols w:equalWidth="0" w:num="1">
            <w:col w:w="9939"/>
          </w:cols>
          <w:pgMar w:left="520" w:top="295"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000" w:type="dxa"/>
            <w:vAlign w:val="bottom"/>
          </w:tcPr>
          <w:p>
            <w:pPr>
              <w:jc w:val="center"/>
              <w:ind w:left="481"/>
              <w:spacing w:after="0"/>
              <w:rPr>
                <w:sz w:val="20"/>
                <w:szCs w:val="20"/>
                <w:color w:val="auto"/>
              </w:rPr>
            </w:pPr>
            <w:r>
              <w:rPr>
                <w:rFonts w:ascii="Courier New" w:cs="Courier New" w:eastAsia="Courier New" w:hAnsi="Courier New"/>
                <w:sz w:val="16"/>
                <w:szCs w:val="16"/>
                <w:color w:val="auto"/>
                <w:w w:val="98"/>
              </w:rPr>
              <w:t>THE TORO COMPANY INVESTMENT AND SAVINGS PLAN</w:t>
            </w: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546"/>
        </w:trPr>
        <w:tc>
          <w:tcPr>
            <w:tcW w:w="7000" w:type="dxa"/>
            <w:vAlign w:val="bottom"/>
          </w:tcPr>
          <w:p>
            <w:pPr>
              <w:jc w:val="center"/>
              <w:ind w:left="481"/>
              <w:spacing w:after="0"/>
              <w:rPr>
                <w:sz w:val="20"/>
                <w:szCs w:val="20"/>
                <w:color w:val="auto"/>
              </w:rPr>
            </w:pPr>
            <w:r>
              <w:rPr>
                <w:rFonts w:ascii="Courier New" w:cs="Courier New" w:eastAsia="Courier New" w:hAnsi="Courier New"/>
                <w:sz w:val="16"/>
                <w:szCs w:val="16"/>
                <w:color w:val="auto"/>
                <w:w w:val="98"/>
              </w:rPr>
              <w:t>Statements of Net Assets Available for Plan Benefits</w:t>
            </w: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64"/>
        </w:trPr>
        <w:tc>
          <w:tcPr>
            <w:tcW w:w="7000" w:type="dxa"/>
            <w:vAlign w:val="bottom"/>
          </w:tcPr>
          <w:p>
            <w:pPr>
              <w:jc w:val="center"/>
              <w:ind w:left="481"/>
              <w:spacing w:after="0"/>
              <w:rPr>
                <w:sz w:val="20"/>
                <w:szCs w:val="20"/>
                <w:color w:val="auto"/>
              </w:rPr>
            </w:pPr>
            <w:r>
              <w:rPr>
                <w:rFonts w:ascii="Courier New" w:cs="Courier New" w:eastAsia="Courier New" w:hAnsi="Courier New"/>
                <w:sz w:val="16"/>
                <w:szCs w:val="16"/>
                <w:color w:val="auto"/>
                <w:w w:val="97"/>
              </w:rPr>
              <w:t>December 31, 2000 and 1999</w:t>
            </w: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728"/>
        </w:trPr>
        <w:tc>
          <w:tcPr>
            <w:tcW w:w="7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8"/>
              </w:rPr>
              <w:t>2000</w:t>
            </w:r>
          </w:p>
        </w:tc>
        <w:tc>
          <w:tcPr>
            <w:tcW w:w="140" w:type="dxa"/>
            <w:vAlign w:val="bottom"/>
          </w:tcPr>
          <w:p>
            <w:pPr>
              <w:spacing w:after="0"/>
              <w:rPr>
                <w:sz w:val="24"/>
                <w:szCs w:val="24"/>
                <w:color w:val="auto"/>
              </w:rPr>
            </w:pPr>
          </w:p>
        </w:tc>
        <w:tc>
          <w:tcPr>
            <w:tcW w:w="14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1999</w:t>
            </w:r>
          </w:p>
        </w:tc>
      </w:tr>
      <w:tr>
        <w:trPr>
          <w:trHeight w:val="182"/>
        </w:trPr>
        <w:tc>
          <w:tcPr>
            <w:tcW w:w="7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546"/>
        </w:trPr>
        <w:tc>
          <w:tcPr>
            <w:tcW w:w="7000" w:type="dxa"/>
            <w:vAlign w:val="bottom"/>
          </w:tcPr>
          <w:p>
            <w:pPr>
              <w:spacing w:after="0"/>
              <w:rPr>
                <w:sz w:val="20"/>
                <w:szCs w:val="20"/>
                <w:color w:val="auto"/>
              </w:rPr>
            </w:pPr>
            <w:r>
              <w:rPr>
                <w:rFonts w:ascii="Courier New" w:cs="Courier New" w:eastAsia="Courier New" w:hAnsi="Courier New"/>
                <w:sz w:val="16"/>
                <w:szCs w:val="16"/>
                <w:color w:val="auto"/>
              </w:rPr>
              <w:t>Assets held by Trustee</w:t>
            </w: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2"/>
        </w:trPr>
        <w:tc>
          <w:tcPr>
            <w:tcW w:w="7000" w:type="dxa"/>
            <w:vAlign w:val="bottom"/>
          </w:tcPr>
          <w:p>
            <w:pPr>
              <w:ind w:left="460"/>
              <w:spacing w:after="0"/>
              <w:rPr>
                <w:sz w:val="20"/>
                <w:szCs w:val="20"/>
                <w:color w:val="auto"/>
              </w:rPr>
            </w:pPr>
            <w:r>
              <w:rPr>
                <w:rFonts w:ascii="Courier New" w:cs="Courier New" w:eastAsia="Courier New" w:hAnsi="Courier New"/>
                <w:sz w:val="16"/>
                <w:szCs w:val="16"/>
                <w:color w:val="auto"/>
              </w:rPr>
              <w:t>Investments</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238,865,248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248,987,475</w:t>
            </w:r>
          </w:p>
        </w:tc>
      </w:tr>
      <w:tr>
        <w:trPr>
          <w:trHeight w:val="182"/>
        </w:trPr>
        <w:tc>
          <w:tcPr>
            <w:tcW w:w="7000" w:type="dxa"/>
            <w:vAlign w:val="bottom"/>
          </w:tcPr>
          <w:p>
            <w:pPr>
              <w:ind w:left="460"/>
              <w:spacing w:after="0"/>
              <w:rPr>
                <w:sz w:val="20"/>
                <w:szCs w:val="20"/>
                <w:color w:val="auto"/>
              </w:rPr>
            </w:pPr>
            <w:r>
              <w:rPr>
                <w:rFonts w:ascii="Courier New" w:cs="Courier New" w:eastAsia="Courier New" w:hAnsi="Courier New"/>
                <w:sz w:val="16"/>
                <w:szCs w:val="16"/>
                <w:color w:val="auto"/>
              </w:rPr>
              <w:t>Employer contribution receivable</w:t>
            </w:r>
          </w:p>
        </w:tc>
        <w:tc>
          <w:tcPr>
            <w:tcW w:w="900" w:type="dxa"/>
            <w:vAlign w:val="bottom"/>
          </w:tcPr>
          <w:p>
            <w:pPr>
              <w:spacing w:after="0"/>
              <w:rPr>
                <w:sz w:val="15"/>
                <w:szCs w:val="15"/>
                <w:color w:val="auto"/>
              </w:rPr>
            </w:pP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7,212,467</w:t>
            </w:r>
          </w:p>
        </w:tc>
        <w:tc>
          <w:tcPr>
            <w:tcW w:w="140" w:type="dxa"/>
            <w:vAlign w:val="bottom"/>
          </w:tcPr>
          <w:p>
            <w:pPr>
              <w:spacing w:after="0"/>
              <w:rPr>
                <w:sz w:val="15"/>
                <w:szCs w:val="15"/>
                <w:color w:val="auto"/>
              </w:rPr>
            </w:pP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7,286,018</w:t>
            </w:r>
          </w:p>
        </w:tc>
      </w:tr>
      <w:tr>
        <w:trPr>
          <w:trHeight w:val="182"/>
        </w:trPr>
        <w:tc>
          <w:tcPr>
            <w:tcW w:w="7000" w:type="dxa"/>
            <w:vAlign w:val="bottom"/>
          </w:tcPr>
          <w:p>
            <w:pPr>
              <w:ind w:left="460"/>
              <w:spacing w:after="0"/>
              <w:rPr>
                <w:sz w:val="20"/>
                <w:szCs w:val="20"/>
                <w:color w:val="auto"/>
              </w:rPr>
            </w:pPr>
            <w:r>
              <w:rPr>
                <w:rFonts w:ascii="Courier New" w:cs="Courier New" w:eastAsia="Courier New" w:hAnsi="Courier New"/>
                <w:sz w:val="16"/>
                <w:szCs w:val="16"/>
                <w:color w:val="auto"/>
              </w:rPr>
              <w:t>Employee contribution receivable</w:t>
            </w:r>
          </w:p>
        </w:tc>
        <w:tc>
          <w:tcPr>
            <w:tcW w:w="900" w:type="dxa"/>
            <w:vAlign w:val="bottom"/>
          </w:tcPr>
          <w:p>
            <w:pPr>
              <w:spacing w:after="0"/>
              <w:rPr>
                <w:sz w:val="15"/>
                <w:szCs w:val="15"/>
                <w:color w:val="auto"/>
              </w:rPr>
            </w:pP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35,124</w:t>
            </w:r>
          </w:p>
        </w:tc>
        <w:tc>
          <w:tcPr>
            <w:tcW w:w="140" w:type="dxa"/>
            <w:vAlign w:val="bottom"/>
          </w:tcPr>
          <w:p>
            <w:pPr>
              <w:spacing w:after="0"/>
              <w:rPr>
                <w:sz w:val="15"/>
                <w:szCs w:val="15"/>
                <w:color w:val="auto"/>
              </w:rPr>
            </w:pP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37,770</w:t>
            </w:r>
          </w:p>
        </w:tc>
      </w:tr>
      <w:tr>
        <w:trPr>
          <w:trHeight w:val="182"/>
        </w:trPr>
        <w:tc>
          <w:tcPr>
            <w:tcW w:w="7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364"/>
        </w:trPr>
        <w:tc>
          <w:tcPr>
            <w:tcW w:w="7000" w:type="dxa"/>
            <w:vAlign w:val="bottom"/>
          </w:tcPr>
          <w:p>
            <w:pPr>
              <w:ind w:left="1040"/>
              <w:spacing w:after="0"/>
              <w:rPr>
                <w:sz w:val="20"/>
                <w:szCs w:val="20"/>
                <w:color w:val="auto"/>
              </w:rPr>
            </w:pPr>
            <w:r>
              <w:rPr>
                <w:rFonts w:ascii="Courier New" w:cs="Courier New" w:eastAsia="Courier New" w:hAnsi="Courier New"/>
                <w:sz w:val="16"/>
                <w:szCs w:val="16"/>
                <w:color w:val="auto"/>
              </w:rPr>
              <w:t>Net assets available for plan benefits</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246,112,839</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256,311,263</w:t>
            </w:r>
          </w:p>
        </w:tc>
      </w:tr>
      <w:tr>
        <w:trPr>
          <w:trHeight w:val="182"/>
        </w:trPr>
        <w:tc>
          <w:tcPr>
            <w:tcW w:w="7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financial statements.</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060"/>
          </w:cols>
          <w:pgMar w:left="240" w:top="295" w:right="5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1"/>
        </w:trPr>
        <w:tc>
          <w:tcPr>
            <w:tcW w:w="7380" w:type="dxa"/>
            <w:vAlign w:val="bottom"/>
          </w:tcPr>
          <w:p>
            <w:pPr>
              <w:ind w:left="280"/>
              <w:spacing w:after="0"/>
              <w:rPr>
                <w:sz w:val="20"/>
                <w:szCs w:val="20"/>
                <w:color w:val="auto"/>
              </w:rPr>
            </w:pPr>
            <w:r>
              <w:rPr>
                <w:rFonts w:ascii="Courier New" w:cs="Courier New" w:eastAsia="Courier New" w:hAnsi="Courier New"/>
                <w:sz w:val="16"/>
                <w:szCs w:val="16"/>
                <w:color w:val="auto"/>
              </w:rPr>
              <w:t>6</w:t>
            </w: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728"/>
        </w:trPr>
        <w:tc>
          <w:tcPr>
            <w:tcW w:w="7380" w:type="dxa"/>
            <w:vAlign w:val="bottom"/>
          </w:tcPr>
          <w:p>
            <w:pPr>
              <w:ind w:left="1700"/>
              <w:spacing w:after="0"/>
              <w:rPr>
                <w:sz w:val="20"/>
                <w:szCs w:val="20"/>
                <w:color w:val="auto"/>
              </w:rPr>
            </w:pPr>
            <w:r>
              <w:rPr>
                <w:rFonts w:ascii="Courier New" w:cs="Courier New" w:eastAsia="Courier New" w:hAnsi="Courier New"/>
                <w:sz w:val="16"/>
                <w:szCs w:val="16"/>
                <w:color w:val="auto"/>
              </w:rPr>
              <w:t>THE TORO COMPANY INVESTMENT AND SAVINGS PLAN</w:t>
            </w:r>
          </w:p>
        </w:tc>
        <w:tc>
          <w:tcPr>
            <w:tcW w:w="7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64"/>
        </w:trPr>
        <w:tc>
          <w:tcPr>
            <w:tcW w:w="7380" w:type="dxa"/>
            <w:vAlign w:val="bottom"/>
          </w:tcPr>
          <w:p>
            <w:pPr>
              <w:ind w:left="840"/>
              <w:spacing w:after="0"/>
              <w:rPr>
                <w:sz w:val="20"/>
                <w:szCs w:val="20"/>
                <w:color w:val="auto"/>
              </w:rPr>
            </w:pPr>
            <w:r>
              <w:rPr>
                <w:rFonts w:ascii="Courier New" w:cs="Courier New" w:eastAsia="Courier New" w:hAnsi="Courier New"/>
                <w:sz w:val="16"/>
                <w:szCs w:val="16"/>
                <w:color w:val="auto"/>
              </w:rPr>
              <w:t>Statements of Changes in Net Assets Available for Plan Benefits</w:t>
            </w:r>
          </w:p>
        </w:tc>
        <w:tc>
          <w:tcPr>
            <w:tcW w:w="7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64"/>
        </w:trPr>
        <w:tc>
          <w:tcPr>
            <w:tcW w:w="7380" w:type="dxa"/>
            <w:vAlign w:val="bottom"/>
          </w:tcPr>
          <w:p>
            <w:pPr>
              <w:ind w:left="1980"/>
              <w:spacing w:after="0"/>
              <w:rPr>
                <w:sz w:val="20"/>
                <w:szCs w:val="20"/>
                <w:color w:val="auto"/>
              </w:rPr>
            </w:pPr>
            <w:r>
              <w:rPr>
                <w:rFonts w:ascii="Courier New" w:cs="Courier New" w:eastAsia="Courier New" w:hAnsi="Courier New"/>
                <w:sz w:val="16"/>
                <w:szCs w:val="16"/>
                <w:color w:val="auto"/>
              </w:rPr>
              <w:t>Years ended December 31, 2000 and 1999</w:t>
            </w:r>
          </w:p>
        </w:tc>
        <w:tc>
          <w:tcPr>
            <w:tcW w:w="7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909"/>
        </w:trPr>
        <w:tc>
          <w:tcPr>
            <w:tcW w:w="7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2000</w:t>
            </w:r>
          </w:p>
        </w:tc>
        <w:tc>
          <w:tcPr>
            <w:tcW w:w="140" w:type="dxa"/>
            <w:vAlign w:val="bottom"/>
          </w:tcPr>
          <w:p>
            <w:pPr>
              <w:spacing w:after="0"/>
              <w:rPr>
                <w:sz w:val="24"/>
                <w:szCs w:val="24"/>
                <w:color w:val="auto"/>
              </w:rPr>
            </w:pPr>
          </w:p>
        </w:tc>
        <w:tc>
          <w:tcPr>
            <w:tcW w:w="14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1999</w:t>
            </w:r>
          </w:p>
        </w:tc>
      </w:tr>
      <w:tr>
        <w:trPr>
          <w:trHeight w:val="182"/>
        </w:trPr>
        <w:tc>
          <w:tcPr>
            <w:tcW w:w="7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7380" w:type="dxa"/>
            <w:vAlign w:val="bottom"/>
          </w:tcPr>
          <w:p>
            <w:pPr>
              <w:spacing w:after="0"/>
              <w:rPr>
                <w:sz w:val="20"/>
                <w:szCs w:val="20"/>
                <w:color w:val="auto"/>
              </w:rPr>
            </w:pPr>
            <w:r>
              <w:rPr>
                <w:rFonts w:ascii="Courier New" w:cs="Courier New" w:eastAsia="Courier New" w:hAnsi="Courier New"/>
                <w:sz w:val="16"/>
                <w:szCs w:val="16"/>
                <w:color w:val="auto"/>
              </w:rPr>
              <w:t>Investment (loss) income:</w:t>
            </w:r>
          </w:p>
        </w:tc>
        <w:tc>
          <w:tcPr>
            <w:tcW w:w="7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2"/>
        </w:trPr>
        <w:tc>
          <w:tcPr>
            <w:tcW w:w="7380" w:type="dxa"/>
            <w:vAlign w:val="bottom"/>
          </w:tcPr>
          <w:p>
            <w:pPr>
              <w:ind w:left="380"/>
              <w:spacing w:after="0"/>
              <w:rPr>
                <w:sz w:val="20"/>
                <w:szCs w:val="20"/>
                <w:color w:val="auto"/>
              </w:rPr>
            </w:pPr>
            <w:r>
              <w:rPr>
                <w:rFonts w:ascii="Courier New" w:cs="Courier New" w:eastAsia="Courier New" w:hAnsi="Courier New"/>
                <w:sz w:val="16"/>
                <w:szCs w:val="16"/>
                <w:color w:val="auto"/>
              </w:rPr>
              <w:t>Interest, dividends, and cash earnings</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15,813,378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16,178,496</w:t>
            </w:r>
          </w:p>
        </w:tc>
      </w:tr>
      <w:tr>
        <w:trPr>
          <w:trHeight w:val="182"/>
        </w:trPr>
        <w:tc>
          <w:tcPr>
            <w:tcW w:w="7380" w:type="dxa"/>
            <w:vAlign w:val="bottom"/>
          </w:tcPr>
          <w:p>
            <w:pPr>
              <w:ind w:left="380"/>
              <w:spacing w:after="0"/>
              <w:rPr>
                <w:sz w:val="20"/>
                <w:szCs w:val="20"/>
                <w:color w:val="auto"/>
              </w:rPr>
            </w:pPr>
            <w:r>
              <w:rPr>
                <w:rFonts w:ascii="Courier New" w:cs="Courier New" w:eastAsia="Courier New" w:hAnsi="Courier New"/>
                <w:sz w:val="16"/>
                <w:szCs w:val="16"/>
                <w:color w:val="auto"/>
              </w:rPr>
              <w:t>Net realized/unrealized (loss) gain in the fair value of investments</w:t>
            </w:r>
          </w:p>
        </w:tc>
        <w:tc>
          <w:tcPr>
            <w:tcW w:w="7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(28,705,746)</w:t>
            </w:r>
          </w:p>
        </w:tc>
        <w:tc>
          <w:tcPr>
            <w:tcW w:w="140" w:type="dxa"/>
            <w:vAlign w:val="bottom"/>
          </w:tcPr>
          <w:p>
            <w:pPr>
              <w:spacing w:after="0"/>
              <w:rPr>
                <w:sz w:val="15"/>
                <w:szCs w:val="15"/>
                <w:color w:val="auto"/>
              </w:rPr>
            </w:pP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34,268,115</w:t>
            </w:r>
          </w:p>
        </w:tc>
      </w:tr>
      <w:tr>
        <w:trPr>
          <w:trHeight w:val="182"/>
        </w:trPr>
        <w:tc>
          <w:tcPr>
            <w:tcW w:w="7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7380" w:type="dxa"/>
            <w:vAlign w:val="bottom"/>
          </w:tcPr>
          <w:p>
            <w:pPr>
              <w:ind w:left="1420"/>
              <w:spacing w:after="0"/>
              <w:rPr>
                <w:sz w:val="20"/>
                <w:szCs w:val="20"/>
                <w:color w:val="auto"/>
              </w:rPr>
            </w:pPr>
            <w:r>
              <w:rPr>
                <w:rFonts w:ascii="Courier New" w:cs="Courier New" w:eastAsia="Courier New" w:hAnsi="Courier New"/>
                <w:sz w:val="16"/>
                <w:szCs w:val="16"/>
                <w:color w:val="auto"/>
              </w:rPr>
              <w:t>Net investment (loss) income</w:t>
            </w:r>
          </w:p>
        </w:tc>
        <w:tc>
          <w:tcPr>
            <w:tcW w:w="7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(12,892,368)</w:t>
            </w:r>
          </w:p>
        </w:tc>
        <w:tc>
          <w:tcPr>
            <w:tcW w:w="140" w:type="dxa"/>
            <w:vAlign w:val="bottom"/>
          </w:tcPr>
          <w:p>
            <w:pPr>
              <w:spacing w:after="0"/>
              <w:rPr>
                <w:sz w:val="24"/>
                <w:szCs w:val="24"/>
                <w:color w:val="auto"/>
              </w:rPr>
            </w:pP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50,446,611</w:t>
            </w:r>
          </w:p>
        </w:tc>
      </w:tr>
      <w:tr>
        <w:trPr>
          <w:trHeight w:val="364"/>
        </w:trPr>
        <w:tc>
          <w:tcPr>
            <w:tcW w:w="7380" w:type="dxa"/>
            <w:vAlign w:val="bottom"/>
          </w:tcPr>
          <w:p>
            <w:pPr>
              <w:spacing w:after="0"/>
              <w:rPr>
                <w:sz w:val="20"/>
                <w:szCs w:val="20"/>
                <w:color w:val="auto"/>
              </w:rPr>
            </w:pPr>
            <w:r>
              <w:rPr>
                <w:rFonts w:ascii="Courier New" w:cs="Courier New" w:eastAsia="Courier New" w:hAnsi="Courier New"/>
                <w:sz w:val="16"/>
                <w:szCs w:val="16"/>
                <w:color w:val="auto"/>
              </w:rPr>
              <w:t>Employer contributions</w:t>
            </w:r>
          </w:p>
        </w:tc>
        <w:tc>
          <w:tcPr>
            <w:tcW w:w="700" w:type="dxa"/>
            <w:vAlign w:val="bottom"/>
          </w:tcPr>
          <w:p>
            <w:pPr>
              <w:spacing w:after="0"/>
              <w:rPr>
                <w:sz w:val="24"/>
                <w:szCs w:val="24"/>
                <w:color w:val="auto"/>
              </w:rPr>
            </w:pP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9,387,004</w:t>
            </w:r>
          </w:p>
        </w:tc>
        <w:tc>
          <w:tcPr>
            <w:tcW w:w="140" w:type="dxa"/>
            <w:vAlign w:val="bottom"/>
          </w:tcPr>
          <w:p>
            <w:pPr>
              <w:spacing w:after="0"/>
              <w:rPr>
                <w:sz w:val="24"/>
                <w:szCs w:val="24"/>
                <w:color w:val="auto"/>
              </w:rPr>
            </w:pP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9,386,976</w:t>
            </w:r>
          </w:p>
        </w:tc>
      </w:tr>
      <w:tr>
        <w:trPr>
          <w:trHeight w:val="182"/>
        </w:trPr>
        <w:tc>
          <w:tcPr>
            <w:tcW w:w="7380" w:type="dxa"/>
            <w:vAlign w:val="bottom"/>
          </w:tcPr>
          <w:p>
            <w:pPr>
              <w:spacing w:after="0"/>
              <w:rPr>
                <w:sz w:val="20"/>
                <w:szCs w:val="20"/>
                <w:color w:val="auto"/>
              </w:rPr>
            </w:pPr>
            <w:r>
              <w:rPr>
                <w:rFonts w:ascii="Courier New" w:cs="Courier New" w:eastAsia="Courier New" w:hAnsi="Courier New"/>
                <w:sz w:val="16"/>
                <w:szCs w:val="16"/>
                <w:color w:val="auto"/>
              </w:rPr>
              <w:t>Employee contributions</w:t>
            </w:r>
          </w:p>
        </w:tc>
        <w:tc>
          <w:tcPr>
            <w:tcW w:w="700" w:type="dxa"/>
            <w:vAlign w:val="bottom"/>
          </w:tcPr>
          <w:p>
            <w:pPr>
              <w:spacing w:after="0"/>
              <w:rPr>
                <w:sz w:val="15"/>
                <w:szCs w:val="15"/>
                <w:color w:val="auto"/>
              </w:rPr>
            </w:pP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8,684,553</w:t>
            </w:r>
          </w:p>
        </w:tc>
        <w:tc>
          <w:tcPr>
            <w:tcW w:w="140" w:type="dxa"/>
            <w:vAlign w:val="bottom"/>
          </w:tcPr>
          <w:p>
            <w:pPr>
              <w:spacing w:after="0"/>
              <w:rPr>
                <w:sz w:val="15"/>
                <w:szCs w:val="15"/>
                <w:color w:val="auto"/>
              </w:rPr>
            </w:pP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8,228,068</w:t>
            </w:r>
          </w:p>
        </w:tc>
      </w:tr>
      <w:tr>
        <w:trPr>
          <w:trHeight w:val="182"/>
        </w:trPr>
        <w:tc>
          <w:tcPr>
            <w:tcW w:w="7380" w:type="dxa"/>
            <w:vAlign w:val="bottom"/>
          </w:tcPr>
          <w:p>
            <w:pPr>
              <w:spacing w:after="0"/>
              <w:rPr>
                <w:sz w:val="20"/>
                <w:szCs w:val="20"/>
                <w:color w:val="auto"/>
              </w:rPr>
            </w:pPr>
            <w:r>
              <w:rPr>
                <w:rFonts w:ascii="Courier New" w:cs="Courier New" w:eastAsia="Courier New" w:hAnsi="Courier New"/>
                <w:sz w:val="16"/>
                <w:szCs w:val="16"/>
                <w:color w:val="auto"/>
              </w:rPr>
              <w:t>Rollover contributions</w:t>
            </w:r>
          </w:p>
        </w:tc>
        <w:tc>
          <w:tcPr>
            <w:tcW w:w="700" w:type="dxa"/>
            <w:vAlign w:val="bottom"/>
          </w:tcPr>
          <w:p>
            <w:pPr>
              <w:spacing w:after="0"/>
              <w:rPr>
                <w:sz w:val="15"/>
                <w:szCs w:val="15"/>
                <w:color w:val="auto"/>
              </w:rPr>
            </w:pP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590,218</w:t>
            </w:r>
          </w:p>
        </w:tc>
        <w:tc>
          <w:tcPr>
            <w:tcW w:w="140" w:type="dxa"/>
            <w:vAlign w:val="bottom"/>
          </w:tcPr>
          <w:p>
            <w:pPr>
              <w:spacing w:after="0"/>
              <w:rPr>
                <w:sz w:val="15"/>
                <w:szCs w:val="15"/>
                <w:color w:val="auto"/>
              </w:rPr>
            </w:pP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569,477</w:t>
            </w:r>
          </w:p>
        </w:tc>
      </w:tr>
      <w:tr>
        <w:trPr>
          <w:trHeight w:val="182"/>
        </w:trPr>
        <w:tc>
          <w:tcPr>
            <w:tcW w:w="7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7380" w:type="dxa"/>
            <w:vAlign w:val="bottom"/>
          </w:tcPr>
          <w:p>
            <w:pPr>
              <w:ind w:left="1420"/>
              <w:spacing w:after="0"/>
              <w:rPr>
                <w:sz w:val="20"/>
                <w:szCs w:val="20"/>
                <w:color w:val="auto"/>
              </w:rPr>
            </w:pPr>
            <w:r>
              <w:rPr>
                <w:rFonts w:ascii="Courier New" w:cs="Courier New" w:eastAsia="Courier New" w:hAnsi="Courier New"/>
                <w:sz w:val="16"/>
                <w:szCs w:val="16"/>
                <w:color w:val="auto"/>
              </w:rPr>
              <w:t>Total contributions</w:t>
            </w:r>
          </w:p>
        </w:tc>
        <w:tc>
          <w:tcPr>
            <w:tcW w:w="700" w:type="dxa"/>
            <w:vAlign w:val="bottom"/>
          </w:tcPr>
          <w:p>
            <w:pPr>
              <w:spacing w:after="0"/>
              <w:rPr>
                <w:sz w:val="24"/>
                <w:szCs w:val="24"/>
                <w:color w:val="auto"/>
              </w:rPr>
            </w:pP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18,661,775</w:t>
            </w:r>
          </w:p>
        </w:tc>
        <w:tc>
          <w:tcPr>
            <w:tcW w:w="140" w:type="dxa"/>
            <w:vAlign w:val="bottom"/>
          </w:tcPr>
          <w:p>
            <w:pPr>
              <w:spacing w:after="0"/>
              <w:rPr>
                <w:sz w:val="24"/>
                <w:szCs w:val="24"/>
                <w:color w:val="auto"/>
              </w:rPr>
            </w:pP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18,184,521</w:t>
            </w:r>
          </w:p>
        </w:tc>
      </w:tr>
      <w:tr>
        <w:trPr>
          <w:trHeight w:val="364"/>
        </w:trPr>
        <w:tc>
          <w:tcPr>
            <w:tcW w:w="7380" w:type="dxa"/>
            <w:vAlign w:val="bottom"/>
          </w:tcPr>
          <w:p>
            <w:pPr>
              <w:spacing w:after="0"/>
              <w:rPr>
                <w:sz w:val="20"/>
                <w:szCs w:val="20"/>
                <w:color w:val="auto"/>
              </w:rPr>
            </w:pPr>
            <w:r>
              <w:rPr>
                <w:rFonts w:ascii="Courier New" w:cs="Courier New" w:eastAsia="Courier New" w:hAnsi="Courier New"/>
                <w:sz w:val="16"/>
                <w:szCs w:val="16"/>
                <w:color w:val="auto"/>
              </w:rPr>
              <w:t>Benefit payments</w:t>
            </w:r>
          </w:p>
        </w:tc>
        <w:tc>
          <w:tcPr>
            <w:tcW w:w="7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(15,967,733)</w:t>
            </w: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(10,164,210)</w:t>
            </w:r>
          </w:p>
        </w:tc>
      </w:tr>
      <w:tr>
        <w:trPr>
          <w:trHeight w:val="182"/>
        </w:trPr>
        <w:tc>
          <w:tcPr>
            <w:tcW w:w="7380" w:type="dxa"/>
            <w:vAlign w:val="bottom"/>
          </w:tcPr>
          <w:p>
            <w:pPr>
              <w:spacing w:after="0"/>
              <w:rPr>
                <w:sz w:val="20"/>
                <w:szCs w:val="20"/>
                <w:color w:val="auto"/>
              </w:rPr>
            </w:pPr>
            <w:r>
              <w:rPr>
                <w:rFonts w:ascii="Courier New" w:cs="Courier New" w:eastAsia="Courier New" w:hAnsi="Courier New"/>
                <w:sz w:val="16"/>
                <w:szCs w:val="16"/>
                <w:color w:val="auto"/>
              </w:rPr>
              <w:t>Transfers to other plans</w:t>
            </w:r>
          </w:p>
        </w:tc>
        <w:tc>
          <w:tcPr>
            <w:tcW w:w="7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2"/>
        </w:trPr>
        <w:tc>
          <w:tcPr>
            <w:tcW w:w="7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7380" w:type="dxa"/>
            <w:vAlign w:val="bottom"/>
          </w:tcPr>
          <w:p>
            <w:pPr>
              <w:ind w:left="1420"/>
              <w:spacing w:after="0"/>
              <w:rPr>
                <w:sz w:val="20"/>
                <w:szCs w:val="20"/>
                <w:color w:val="auto"/>
              </w:rPr>
            </w:pPr>
            <w:r>
              <w:rPr>
                <w:rFonts w:ascii="Courier New" w:cs="Courier New" w:eastAsia="Courier New" w:hAnsi="Courier New"/>
                <w:sz w:val="16"/>
                <w:szCs w:val="16"/>
                <w:color w:val="auto"/>
              </w:rPr>
              <w:t>(Decrease) increase in net assets</w:t>
            </w:r>
          </w:p>
        </w:tc>
        <w:tc>
          <w:tcPr>
            <w:tcW w:w="7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2"/>
        </w:trPr>
        <w:tc>
          <w:tcPr>
            <w:tcW w:w="7380" w:type="dxa"/>
            <w:vAlign w:val="bottom"/>
          </w:tcPr>
          <w:p>
            <w:pPr>
              <w:ind w:left="1700"/>
              <w:spacing w:after="0"/>
              <w:rPr>
                <w:sz w:val="20"/>
                <w:szCs w:val="20"/>
                <w:color w:val="auto"/>
              </w:rPr>
            </w:pPr>
            <w:r>
              <w:rPr>
                <w:rFonts w:ascii="Courier New" w:cs="Courier New" w:eastAsia="Courier New" w:hAnsi="Courier New"/>
                <w:sz w:val="16"/>
                <w:szCs w:val="16"/>
                <w:color w:val="auto"/>
              </w:rPr>
              <w:t>available for plan benefits</w:t>
            </w:r>
          </w:p>
        </w:tc>
        <w:tc>
          <w:tcPr>
            <w:tcW w:w="7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(10,198,424)</w:t>
            </w:r>
          </w:p>
        </w:tc>
        <w:tc>
          <w:tcPr>
            <w:tcW w:w="140" w:type="dxa"/>
            <w:vAlign w:val="bottom"/>
          </w:tcPr>
          <w:p>
            <w:pPr>
              <w:spacing w:after="0"/>
              <w:rPr>
                <w:sz w:val="15"/>
                <w:szCs w:val="15"/>
                <w:color w:val="auto"/>
              </w:rPr>
            </w:pP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58,466,912</w:t>
            </w:r>
          </w:p>
        </w:tc>
      </w:tr>
      <w:tr>
        <w:trPr>
          <w:trHeight w:val="364"/>
        </w:trPr>
        <w:tc>
          <w:tcPr>
            <w:tcW w:w="7380" w:type="dxa"/>
            <w:vAlign w:val="bottom"/>
          </w:tcPr>
          <w:p>
            <w:pPr>
              <w:spacing w:after="0"/>
              <w:rPr>
                <w:sz w:val="20"/>
                <w:szCs w:val="20"/>
                <w:color w:val="auto"/>
              </w:rPr>
            </w:pPr>
            <w:r>
              <w:rPr>
                <w:rFonts w:ascii="Courier New" w:cs="Courier New" w:eastAsia="Courier New" w:hAnsi="Courier New"/>
                <w:sz w:val="16"/>
                <w:szCs w:val="16"/>
                <w:color w:val="auto"/>
              </w:rPr>
              <w:t>Net assets available for plan benefits:</w:t>
            </w:r>
          </w:p>
        </w:tc>
        <w:tc>
          <w:tcPr>
            <w:tcW w:w="7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2"/>
        </w:trPr>
        <w:tc>
          <w:tcPr>
            <w:tcW w:w="7380" w:type="dxa"/>
            <w:vAlign w:val="bottom"/>
          </w:tcPr>
          <w:p>
            <w:pPr>
              <w:ind w:left="380"/>
              <w:spacing w:after="0"/>
              <w:rPr>
                <w:sz w:val="20"/>
                <w:szCs w:val="20"/>
                <w:color w:val="auto"/>
              </w:rPr>
            </w:pPr>
            <w:r>
              <w:rPr>
                <w:rFonts w:ascii="Courier New" w:cs="Courier New" w:eastAsia="Courier New" w:hAnsi="Courier New"/>
                <w:sz w:val="16"/>
                <w:szCs w:val="16"/>
                <w:color w:val="auto"/>
              </w:rPr>
              <w:t>Beginning of year</w:t>
            </w:r>
          </w:p>
        </w:tc>
        <w:tc>
          <w:tcPr>
            <w:tcW w:w="700" w:type="dxa"/>
            <w:vAlign w:val="bottom"/>
          </w:tcPr>
          <w:p>
            <w:pPr>
              <w:spacing w:after="0"/>
              <w:rPr>
                <w:sz w:val="15"/>
                <w:szCs w:val="15"/>
                <w:color w:val="auto"/>
              </w:rPr>
            </w:pP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256,311,263</w:t>
            </w:r>
          </w:p>
        </w:tc>
        <w:tc>
          <w:tcPr>
            <w:tcW w:w="140" w:type="dxa"/>
            <w:vAlign w:val="bottom"/>
          </w:tcPr>
          <w:p>
            <w:pPr>
              <w:spacing w:after="0"/>
              <w:rPr>
                <w:sz w:val="15"/>
                <w:szCs w:val="15"/>
                <w:color w:val="auto"/>
              </w:rPr>
            </w:pP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197,844,351</w:t>
            </w:r>
          </w:p>
        </w:tc>
      </w:tr>
      <w:tr>
        <w:trPr>
          <w:trHeight w:val="182"/>
        </w:trPr>
        <w:tc>
          <w:tcPr>
            <w:tcW w:w="7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7380" w:type="dxa"/>
            <w:vAlign w:val="bottom"/>
          </w:tcPr>
          <w:p>
            <w:pPr>
              <w:ind w:left="380"/>
              <w:spacing w:after="0"/>
              <w:rPr>
                <w:sz w:val="20"/>
                <w:szCs w:val="20"/>
                <w:color w:val="auto"/>
              </w:rPr>
            </w:pPr>
            <w:r>
              <w:rPr>
                <w:rFonts w:ascii="Courier New" w:cs="Courier New" w:eastAsia="Courier New" w:hAnsi="Courier New"/>
                <w:sz w:val="16"/>
                <w:szCs w:val="16"/>
                <w:color w:val="auto"/>
              </w:rPr>
              <w:t>End of year</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246,112,839</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256,311,263</w:t>
            </w:r>
          </w:p>
        </w:tc>
      </w:tr>
      <w:tr>
        <w:trPr>
          <w:trHeight w:val="182"/>
        </w:trPr>
        <w:tc>
          <w:tcPr>
            <w:tcW w:w="7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260"/>
          </w:cols>
          <w:pgMar w:left="240" w:top="295" w:right="399" w:bottom="1440" w:gutter="0" w:footer="0" w:header="0"/>
        </w:sectPr>
      </w:pPr>
    </w:p>
    <w:bookmarkStart w:id="6" w:name="page7"/>
    <w:bookmarkEnd w:id="6"/>
    <w:p>
      <w:pPr>
        <w:ind w:left="100"/>
        <w:spacing w:after="0"/>
        <w:rPr>
          <w:sz w:val="20"/>
          <w:szCs w:val="20"/>
          <w:color w:val="auto"/>
        </w:rPr>
      </w:pPr>
      <w:r>
        <w:rPr>
          <w:rFonts w:ascii="Courier New" w:cs="Courier New" w:eastAsia="Courier New" w:hAnsi="Courier New"/>
          <w:sz w:val="16"/>
          <w:szCs w:val="16"/>
          <w:color w:val="auto"/>
        </w:rPr>
        <w:t>7</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THE TORO COMPANY</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INVESTMENT AND SAVINGS PLAN</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Notes to Financial Statements</w:t>
      </w:r>
    </w:p>
    <w:p>
      <w:pPr>
        <w:spacing w:after="0" w:line="183"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December 31, 2000 and 1999</w:t>
      </w:r>
    </w:p>
    <w:p>
      <w:pPr>
        <w:spacing w:after="0" w:line="183" w:lineRule="exact"/>
        <w:rPr>
          <w:sz w:val="20"/>
          <w:szCs w:val="20"/>
          <w:color w:val="auto"/>
        </w:rPr>
      </w:pPr>
    </w:p>
    <w:p>
      <w:pPr>
        <w:ind w:left="580" w:hanging="574"/>
        <w:spacing w:after="0"/>
        <w:tabs>
          <w:tab w:leader="none" w:pos="5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82" w:lineRule="exact"/>
        <w:rPr>
          <w:rFonts w:ascii="Courier New" w:cs="Courier New" w:eastAsia="Courier New" w:hAnsi="Courier New"/>
          <w:sz w:val="16"/>
          <w:szCs w:val="16"/>
          <w:color w:val="auto"/>
        </w:rPr>
      </w:pPr>
    </w:p>
    <w:p>
      <w:pPr>
        <w:ind w:left="1140" w:hanging="566"/>
        <w:spacing w:after="0"/>
        <w:tabs>
          <w:tab w:leader="none" w:pos="114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FINANCIAL STATEMENT PRESENTATION</w:t>
      </w:r>
    </w:p>
    <w:p>
      <w:pPr>
        <w:spacing w:after="0" w:line="186" w:lineRule="exact"/>
        <w:rPr>
          <w:rFonts w:ascii="Courier New" w:cs="Courier New" w:eastAsia="Courier New" w:hAnsi="Courier New"/>
          <w:sz w:val="16"/>
          <w:szCs w:val="16"/>
          <w:color w:val="auto"/>
        </w:rPr>
      </w:pPr>
    </w:p>
    <w:p>
      <w:pPr>
        <w:ind w:left="1140"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accompanying financial statements of The Toro Company Investment and Savings Plan (the Plan) are presented in accordance with accounting principles generally accepted in the United States of America. The accounting records of the Plan are maintained on an accrual basis.</w:t>
      </w:r>
    </w:p>
    <w:p>
      <w:pPr>
        <w:spacing w:after="0" w:line="184" w:lineRule="exact"/>
        <w:rPr>
          <w:rFonts w:ascii="Courier New" w:cs="Courier New" w:eastAsia="Courier New" w:hAnsi="Courier New"/>
          <w:sz w:val="16"/>
          <w:szCs w:val="16"/>
          <w:color w:val="auto"/>
        </w:rPr>
      </w:pPr>
    </w:p>
    <w:p>
      <w:pPr>
        <w:ind w:left="1140" w:hanging="566"/>
        <w:spacing w:after="0"/>
        <w:tabs>
          <w:tab w:leader="none" w:pos="114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186" w:lineRule="exact"/>
        <w:rPr>
          <w:rFonts w:ascii="Courier New" w:cs="Courier New" w:eastAsia="Courier New" w:hAnsi="Courier New"/>
          <w:sz w:val="16"/>
          <w:szCs w:val="16"/>
          <w:color w:val="auto"/>
        </w:rPr>
      </w:pPr>
    </w:p>
    <w:p>
      <w:pPr>
        <w:ind w:left="1140" w:right="265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Plan's investments are held by Putnam Fiduciary Trust Company (the Trustee). The investment securities are stated at fair values based upon published quotations or, in the absence of available quotations, at fair values determined by the Trustee. Purchases and sales of securities are recorded on a trade-date basis.</w:t>
      </w:r>
    </w:p>
    <w:p>
      <w:pPr>
        <w:spacing w:after="0" w:line="174" w:lineRule="exact"/>
        <w:rPr>
          <w:rFonts w:ascii="Courier New" w:cs="Courier New" w:eastAsia="Courier New" w:hAnsi="Courier New"/>
          <w:sz w:val="16"/>
          <w:szCs w:val="16"/>
          <w:color w:val="auto"/>
        </w:rPr>
      </w:pPr>
    </w:p>
    <w:p>
      <w:pPr>
        <w:ind w:left="1140" w:right="2659"/>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Toro Company (the Company) maintains one master trust, the Toro Stable Value Fund (master trust) for three profit sharing and retirement plans that are sponsored by the Company. The three plans are The Toro Company Profit Sharing Plan for Plymouth Union Employees, The Toro Company Investment and Savings Plan, and The Toro Company Employee Stock Ownership Plan. The purpose of the master trust is to pool investment transactions and achieve uniform rates of return on comparable funds under all plans.</w:t>
      </w:r>
    </w:p>
    <w:p>
      <w:pPr>
        <w:spacing w:after="0" w:line="175" w:lineRule="exact"/>
        <w:rPr>
          <w:rFonts w:ascii="Courier New" w:cs="Courier New" w:eastAsia="Courier New" w:hAnsi="Courier New"/>
          <w:sz w:val="16"/>
          <w:szCs w:val="16"/>
          <w:color w:val="auto"/>
        </w:rPr>
      </w:pPr>
    </w:p>
    <w:p>
      <w:pPr>
        <w:ind w:left="1140" w:right="265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Plan's share of net investment income from the master trust is determined by the Trustee based on the ratio of the fair value of the Plan's equity in the investment fund to the total net assets of the investment fund at the beginning of the plan year.</w:t>
      </w:r>
    </w:p>
    <w:p>
      <w:pPr>
        <w:spacing w:after="0" w:line="173" w:lineRule="exact"/>
        <w:rPr>
          <w:rFonts w:ascii="Courier New" w:cs="Courier New" w:eastAsia="Courier New" w:hAnsi="Courier New"/>
          <w:sz w:val="16"/>
          <w:szCs w:val="16"/>
          <w:color w:val="auto"/>
        </w:rPr>
      </w:pPr>
    </w:p>
    <w:p>
      <w:pPr>
        <w:ind w:left="1140" w:right="2659"/>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short term securities of the Toro Stable Value Fund are stated at cost, which approximates fair value. The Toro Stable Value Fund includes a fully benefit responsive investment contract. The contract is valued in the Plan at contract value, which includes cost plus accrued interest. The contract had a stated interest rate of 6.31 percent and a maturity date in year 2001.</w:t>
      </w:r>
    </w:p>
    <w:p>
      <w:pPr>
        <w:spacing w:after="0" w:line="173" w:lineRule="exact"/>
        <w:rPr>
          <w:rFonts w:ascii="Courier New" w:cs="Courier New" w:eastAsia="Courier New" w:hAnsi="Courier New"/>
          <w:sz w:val="16"/>
          <w:szCs w:val="16"/>
          <w:color w:val="auto"/>
        </w:rPr>
      </w:pPr>
    </w:p>
    <w:p>
      <w:pPr>
        <w:ind w:left="1140" w:hanging="566"/>
        <w:spacing w:after="0"/>
        <w:tabs>
          <w:tab w:leader="none" w:pos="114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ESTIMATES</w:t>
      </w:r>
    </w:p>
    <w:p>
      <w:pPr>
        <w:spacing w:after="0" w:line="186" w:lineRule="exact"/>
        <w:rPr>
          <w:rFonts w:ascii="Courier New" w:cs="Courier New" w:eastAsia="Courier New" w:hAnsi="Courier New"/>
          <w:sz w:val="16"/>
          <w:szCs w:val="16"/>
          <w:color w:val="auto"/>
        </w:rPr>
      </w:pPr>
    </w:p>
    <w:p>
      <w:pPr>
        <w:ind w:left="1140" w:right="27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preparation of financial statements in conformity with accounting principles generally accepted in the United States of America requires the plan administrator to make estimates and assumptions that affect the reported amounts of net assets available for plan benefits and disclosure of contingent assets and liabilities at the date of the financial statements and the reported amounts of changes in net assets available for plan benefits during the reporting period. Actual results could differ from those estimates.</w:t>
      </w:r>
    </w:p>
    <w:p>
      <w:pPr>
        <w:spacing w:after="0" w:line="183" w:lineRule="exact"/>
        <w:rPr>
          <w:rFonts w:ascii="Courier New" w:cs="Courier New" w:eastAsia="Courier New" w:hAnsi="Courier New"/>
          <w:sz w:val="16"/>
          <w:szCs w:val="16"/>
          <w:color w:val="auto"/>
        </w:rPr>
      </w:pPr>
    </w:p>
    <w:p>
      <w:pPr>
        <w:ind w:left="580" w:hanging="574"/>
        <w:spacing w:after="0"/>
        <w:tabs>
          <w:tab w:leader="none" w:pos="5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PLAN</w:t>
      </w:r>
    </w:p>
    <w:p>
      <w:pPr>
        <w:spacing w:after="0" w:line="186" w:lineRule="exact"/>
        <w:rPr>
          <w:rFonts w:ascii="Courier New" w:cs="Courier New" w:eastAsia="Courier New" w:hAnsi="Courier New"/>
          <w:sz w:val="16"/>
          <w:szCs w:val="16"/>
          <w:color w:val="auto"/>
        </w:rPr>
      </w:pPr>
    </w:p>
    <w:p>
      <w:pPr>
        <w:ind w:left="580" w:right="265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Plan is a defined contribution profit sharing plan sponsored by the Company. The Company, as administrator of the Plan, absorbs all administrative costs and Trustee fees of the Plan, with the exception of investment management fees, which are netted against investment income.</w:t>
      </w:r>
    </w:p>
    <w:p>
      <w:pPr>
        <w:spacing w:after="0" w:line="173" w:lineRule="exact"/>
        <w:rPr>
          <w:rFonts w:ascii="Courier New" w:cs="Courier New" w:eastAsia="Courier New" w:hAnsi="Courier New"/>
          <w:sz w:val="16"/>
          <w:szCs w:val="16"/>
          <w:color w:val="auto"/>
        </w:rPr>
      </w:pPr>
    </w:p>
    <w:p>
      <w:pPr>
        <w:ind w:left="580" w:right="283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general description of the Plan is contained in the Plan document amended as of December 21, 1998. Participants should refer to the Plan document for more complete information.</w:t>
      </w:r>
    </w:p>
    <w:p>
      <w:pPr>
        <w:spacing w:after="0" w:line="200" w:lineRule="exact"/>
        <w:rPr>
          <w:sz w:val="20"/>
          <w:szCs w:val="20"/>
          <w:color w:val="auto"/>
        </w:rPr>
      </w:pPr>
    </w:p>
    <w:p>
      <w:pPr>
        <w:spacing w:after="0" w:line="348"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(Continued)</w:t>
      </w:r>
    </w:p>
    <w:p>
      <w:pPr>
        <w:sectPr>
          <w:pgSz w:w="11900" w:h="16838" w:orient="portrait"/>
          <w:cols w:equalWidth="0" w:num="1">
            <w:col w:w="10039"/>
          </w:cols>
          <w:pgMar w:left="420" w:top="295" w:right="1440" w:bottom="1440" w:gutter="0" w:footer="0" w:header="0"/>
        </w:sectPr>
      </w:pP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039"/>
          </w:cols>
          <w:pgMar w:left="420" w:top="295" w:right="1440" w:bottom="1440" w:gutter="0" w:footer="0" w:header="0"/>
          <w:type w:val="continuous"/>
        </w:sectPr>
      </w:pPr>
    </w:p>
    <w:bookmarkStart w:id="7" w:name="page8"/>
    <w:bookmarkEnd w:id="7"/>
    <w:p>
      <w:pPr>
        <w:ind w:left="100"/>
        <w:spacing w:after="0"/>
        <w:rPr>
          <w:sz w:val="20"/>
          <w:szCs w:val="20"/>
          <w:color w:val="auto"/>
        </w:rPr>
      </w:pPr>
      <w:r>
        <w:rPr>
          <w:rFonts w:ascii="Courier New" w:cs="Courier New" w:eastAsia="Courier New" w:hAnsi="Courier New"/>
          <w:sz w:val="16"/>
          <w:szCs w:val="16"/>
          <w:color w:val="auto"/>
        </w:rPr>
        <w:t>8</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THE TORO COMPANY</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INVESTMENT AND SAVINGS PLAN</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Notes to Financial Statements</w:t>
      </w:r>
    </w:p>
    <w:p>
      <w:pPr>
        <w:spacing w:after="0" w:line="183"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December 31, 2000 and 1999</w:t>
      </w:r>
    </w:p>
    <w:p>
      <w:pPr>
        <w:spacing w:after="0" w:line="200" w:lineRule="exact"/>
        <w:rPr>
          <w:sz w:val="20"/>
          <w:szCs w:val="20"/>
          <w:color w:val="auto"/>
        </w:rPr>
      </w:pPr>
    </w:p>
    <w:p>
      <w:pPr>
        <w:spacing w:after="0" w:line="350" w:lineRule="exact"/>
        <w:rPr>
          <w:sz w:val="20"/>
          <w:szCs w:val="20"/>
          <w:color w:val="auto"/>
        </w:rPr>
      </w:pPr>
    </w:p>
    <w:p>
      <w:pPr>
        <w:ind w:left="580" w:right="2939"/>
        <w:spacing w:after="0" w:line="239" w:lineRule="auto"/>
        <w:rPr>
          <w:sz w:val="20"/>
          <w:szCs w:val="20"/>
          <w:color w:val="auto"/>
        </w:rPr>
      </w:pPr>
      <w:r>
        <w:rPr>
          <w:rFonts w:ascii="Courier New" w:cs="Courier New" w:eastAsia="Courier New" w:hAnsi="Courier New"/>
          <w:sz w:val="16"/>
          <w:szCs w:val="16"/>
          <w:color w:val="auto"/>
        </w:rPr>
        <w:t>Contributions are made under control of the plan administrator. The allocation of the participants' and Company contributions to the investment funds is selected by the participants. Company matching contributions, together with income attributable thereto, vest at the rate of 20% after one year of vesting service, with an additional 20% being accumulated annually thereafter until the participant is 100% vested.</w:t>
      </w:r>
    </w:p>
    <w:p>
      <w:pPr>
        <w:spacing w:after="0" w:line="192" w:lineRule="exact"/>
        <w:rPr>
          <w:sz w:val="20"/>
          <w:szCs w:val="20"/>
          <w:color w:val="auto"/>
        </w:rPr>
      </w:pPr>
    </w:p>
    <w:p>
      <w:pPr>
        <w:ind w:left="580" w:right="2659"/>
        <w:spacing w:after="0" w:line="237" w:lineRule="auto"/>
        <w:rPr>
          <w:sz w:val="20"/>
          <w:szCs w:val="20"/>
          <w:color w:val="auto"/>
        </w:rPr>
      </w:pPr>
      <w:r>
        <w:rPr>
          <w:rFonts w:ascii="Courier New" w:cs="Courier New" w:eastAsia="Courier New" w:hAnsi="Courier New"/>
          <w:sz w:val="16"/>
          <w:szCs w:val="16"/>
          <w:color w:val="auto"/>
        </w:rPr>
        <w:t>Benefit payments and transfers of participants' interests are made under control of the Trustee.</w:t>
      </w:r>
    </w:p>
    <w:p>
      <w:pPr>
        <w:spacing w:after="0" w:line="188" w:lineRule="exact"/>
        <w:rPr>
          <w:sz w:val="20"/>
          <w:szCs w:val="20"/>
          <w:color w:val="auto"/>
        </w:rPr>
      </w:pPr>
    </w:p>
    <w:p>
      <w:pPr>
        <w:ind w:left="580" w:right="2659"/>
        <w:spacing w:after="0" w:line="238" w:lineRule="auto"/>
        <w:rPr>
          <w:sz w:val="20"/>
          <w:szCs w:val="20"/>
          <w:color w:val="auto"/>
        </w:rPr>
      </w:pPr>
      <w:r>
        <w:rPr>
          <w:rFonts w:ascii="Courier New" w:cs="Courier New" w:eastAsia="Courier New" w:hAnsi="Courier New"/>
          <w:sz w:val="16"/>
          <w:szCs w:val="16"/>
          <w:color w:val="auto"/>
        </w:rPr>
        <w:t>During the year ended December 31, 2000 and 1999, forfeited nonvested accounts totaled $10,386.12 and $22,051.80, respectively. These accounts are used to offset future employer contributions.</w:t>
      </w:r>
    </w:p>
    <w:p>
      <w:pPr>
        <w:spacing w:after="0" w:line="184" w:lineRule="exact"/>
        <w:rPr>
          <w:sz w:val="20"/>
          <w:szCs w:val="20"/>
          <w:color w:val="auto"/>
        </w:rPr>
      </w:pPr>
    </w:p>
    <w:p>
      <w:pPr>
        <w:ind w:left="580" w:hanging="574"/>
        <w:spacing w:after="0"/>
        <w:tabs>
          <w:tab w:leader="none" w:pos="5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CONTRIBUTIONS AND PLAN TRANSFERS</w:t>
      </w:r>
    </w:p>
    <w:p>
      <w:pPr>
        <w:spacing w:after="0" w:line="186" w:lineRule="exact"/>
        <w:rPr>
          <w:rFonts w:ascii="Courier New" w:cs="Courier New" w:eastAsia="Courier New" w:hAnsi="Courier New"/>
          <w:sz w:val="16"/>
          <w:szCs w:val="16"/>
          <w:color w:val="auto"/>
        </w:rPr>
      </w:pPr>
    </w:p>
    <w:p>
      <w:pPr>
        <w:ind w:left="580" w:right="265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Company's funding policy is to make annual contributions to the Plan in amounts determined by a formula set forth in the Plan. The contribution formula is based on 5.5% of the participants' total compensation earned during the plan year plus 5.5% of the participants' compensation above the Social Security taxable wage base as of the beginning of the plan year. In addition, the Company is required to make a matching contribution equal to 50% of the participants' contributions to the Plan not to exceed two percent of the participant's total compensation. The contribution formula specifies a minimum annual contribution to the Plan. The Company contribution is allocated to participants based on compensation earned during the plan year. Investment income is allocated based on participants' account balances.</w:t>
      </w:r>
    </w:p>
    <w:p>
      <w:pPr>
        <w:spacing w:after="0" w:line="180" w:lineRule="exact"/>
        <w:rPr>
          <w:rFonts w:ascii="Courier New" w:cs="Courier New" w:eastAsia="Courier New" w:hAnsi="Courier New"/>
          <w:sz w:val="16"/>
          <w:szCs w:val="16"/>
          <w:color w:val="auto"/>
        </w:rPr>
      </w:pPr>
    </w:p>
    <w:p>
      <w:pPr>
        <w:ind w:left="580" w:right="265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contributions consist of salary reduction elections under a 401(k) feature and rollover funds from other qualified plans.</w:t>
      </w:r>
    </w:p>
    <w:p>
      <w:pPr>
        <w:spacing w:after="0" w:line="187" w:lineRule="exact"/>
        <w:rPr>
          <w:rFonts w:ascii="Courier New" w:cs="Courier New" w:eastAsia="Courier New" w:hAnsi="Courier New"/>
          <w:sz w:val="16"/>
          <w:szCs w:val="16"/>
          <w:color w:val="auto"/>
        </w:rPr>
      </w:pPr>
    </w:p>
    <w:p>
      <w:pPr>
        <w:ind w:left="580" w:right="293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Transfers to/from other plans represent participant elected transfers to/from other Company plans.</w:t>
      </w:r>
    </w:p>
    <w:p>
      <w:pPr>
        <w:spacing w:after="0" w:line="183" w:lineRule="exact"/>
        <w:rPr>
          <w:rFonts w:ascii="Courier New" w:cs="Courier New" w:eastAsia="Courier New" w:hAnsi="Courier New"/>
          <w:sz w:val="16"/>
          <w:szCs w:val="16"/>
          <w:color w:val="auto"/>
        </w:rPr>
      </w:pPr>
    </w:p>
    <w:p>
      <w:pPr>
        <w:ind w:left="580" w:hanging="574"/>
        <w:spacing w:after="0"/>
        <w:tabs>
          <w:tab w:leader="none" w:pos="5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PARTY-IN-INTEREST TRANSACTIONS</w:t>
      </w:r>
    </w:p>
    <w:p>
      <w:pPr>
        <w:spacing w:after="0" w:line="186" w:lineRule="exact"/>
        <w:rPr>
          <w:rFonts w:ascii="Courier New" w:cs="Courier New" w:eastAsia="Courier New" w:hAnsi="Courier New"/>
          <w:sz w:val="16"/>
          <w:szCs w:val="16"/>
          <w:color w:val="auto"/>
        </w:rPr>
      </w:pPr>
    </w:p>
    <w:p>
      <w:pPr>
        <w:ind w:left="580" w:right="27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Putnam Fiduciary Trust Company and The Toro Company are parties-in-interest with respect to the Plan. In the opinion of the Plan's legal counsel, transactions between the Plan and the Trustee and the Company are exempt from being considered as `prohibited transactions' under the Employee Retirement Income Security Act of 1974 (ERISA) Section 408(b).</w:t>
      </w:r>
    </w:p>
    <w:p>
      <w:pPr>
        <w:spacing w:after="0" w:line="186" w:lineRule="exact"/>
        <w:rPr>
          <w:rFonts w:ascii="Courier New" w:cs="Courier New" w:eastAsia="Courier New" w:hAnsi="Courier New"/>
          <w:sz w:val="16"/>
          <w:szCs w:val="16"/>
          <w:color w:val="auto"/>
        </w:rPr>
      </w:pPr>
    </w:p>
    <w:p>
      <w:pPr>
        <w:ind w:left="580" w:hanging="574"/>
        <w:spacing w:after="0"/>
        <w:tabs>
          <w:tab w:leader="none" w:pos="5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TERMINATION</w:t>
      </w:r>
    </w:p>
    <w:p>
      <w:pPr>
        <w:spacing w:after="0" w:line="186" w:lineRule="exact"/>
        <w:rPr>
          <w:rFonts w:ascii="Courier New" w:cs="Courier New" w:eastAsia="Courier New" w:hAnsi="Courier New"/>
          <w:sz w:val="16"/>
          <w:szCs w:val="16"/>
          <w:color w:val="auto"/>
        </w:rPr>
      </w:pPr>
    </w:p>
    <w:p>
      <w:pPr>
        <w:ind w:left="580" w:right="293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voluntarily agreed to make contributions to the Plan. Although the Company has not expressed any intent to terminate the profit sharing plan agreement, it may do so at any time. Upon termination of the Plan, the interest of the participants in the Plan shall fully vest.</w:t>
      </w:r>
    </w:p>
    <w:p>
      <w:pPr>
        <w:spacing w:after="0" w:line="184" w:lineRule="exact"/>
        <w:rPr>
          <w:rFonts w:ascii="Courier New" w:cs="Courier New" w:eastAsia="Courier New" w:hAnsi="Courier New"/>
          <w:sz w:val="16"/>
          <w:szCs w:val="16"/>
          <w:color w:val="auto"/>
        </w:rPr>
      </w:pPr>
    </w:p>
    <w:p>
      <w:pPr>
        <w:ind w:left="580" w:hanging="574"/>
        <w:spacing w:after="0"/>
        <w:tabs>
          <w:tab w:leader="none" w:pos="5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186" w:lineRule="exact"/>
        <w:rPr>
          <w:rFonts w:ascii="Courier New" w:cs="Courier New" w:eastAsia="Courier New" w:hAnsi="Courier New"/>
          <w:sz w:val="16"/>
          <w:szCs w:val="16"/>
          <w:color w:val="auto"/>
        </w:rPr>
      </w:pPr>
    </w:p>
    <w:p>
      <w:pPr>
        <w:ind w:left="580"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Under the terms of the trust agreement, the Trustee manages investment funds on behalf of the Plan. The Trustee has been granted discretionary authority concerning the purchases and sales of the investments of the investment funds. In accordance with the trust agreement, certain assets of the Plan are held together with assets of other plans sponsored by the Company in the master trust.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(Continued)</w:t>
      </w:r>
    </w:p>
    <w:p>
      <w:pPr>
        <w:sectPr>
          <w:pgSz w:w="11900" w:h="16838" w:orient="portrait"/>
          <w:cols w:equalWidth="0" w:num="1">
            <w:col w:w="10039"/>
          </w:cols>
          <w:pgMar w:left="420" w:top="295" w:right="1440" w:bottom="1440" w:gutter="0" w:footer="0" w:header="0"/>
        </w:sectPr>
      </w:pP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039"/>
          </w:cols>
          <w:pgMar w:left="420" w:top="295" w:right="1440" w:bottom="1440"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THE TORO COMPANY</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INVESTMENT AND SAVINGS PLAN</w:t>
      </w:r>
    </w:p>
    <w:p>
      <w:pPr>
        <w:spacing w:after="0" w:line="183"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Notes to Financial Statements</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December 31, 2000 and 1999</w:t>
      </w:r>
    </w:p>
    <w:p>
      <w:pPr>
        <w:spacing w:after="0" w:line="368"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On August 12, 1994, guaranteed investment contracts in the Toro Stable Value Fund of $2,132,761 issued by Confederation Life Insurance Company (CL) were placed under court supervised rehabilitation. Beginning August 1, 1995, payments from the CL annuity contracts were suspended pending further court action until such time as the fair value of the CL annuity contracts could be determined. The actions suspending distributions were consistent with procedures published by the Internal Revenue Service. Effective August 1, 1995, a loan agreement was established between the Company and the Plan providing the Company to fund payments to plan participants (or their beneficiaries) for 100% of the interests of plan participants in the CL annuity contracts based on the valuation of the CL annuity contracts as of August 11, 1994.</w:t>
      </w:r>
    </w:p>
    <w:p>
      <w:pPr>
        <w:spacing w:after="0" w:line="181"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During 1997, the Toro Stable Value Fund received payments of $2,147,799 related to the CL annuity contracts. The amount in excess of the $2,132,761 ($15,038) was recorded as investment income in 1997. Any further payments received upon final liquidation of these contracts will be recorded as investment income upon receipt.</w:t>
      </w:r>
    </w:p>
    <w:p>
      <w:pPr>
        <w:spacing w:after="0" w:line="189"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6"/>
          <w:szCs w:val="16"/>
          <w:color w:val="auto"/>
        </w:rPr>
        <w:t>The net assets available for benefits of the master trust at December 31, 2000 were as follows:</w:t>
      </w:r>
    </w:p>
    <w:p>
      <w:pPr>
        <w:spacing w:after="0" w:line="200" w:lineRule="exact"/>
        <w:rPr>
          <w:sz w:val="20"/>
          <w:szCs w:val="20"/>
          <w:color w:val="auto"/>
        </w:rPr>
      </w:pPr>
    </w:p>
    <w:p>
      <w:pPr>
        <w:spacing w:after="0" w:line="347" w:lineRule="exact"/>
        <w:rPr>
          <w:sz w:val="20"/>
          <w:szCs w:val="20"/>
          <w:color w:val="auto"/>
        </w:rPr>
      </w:pPr>
    </w:p>
    <w:p>
      <w:pPr>
        <w:ind w:left="5960"/>
        <w:spacing w:after="0"/>
        <w:rPr>
          <w:sz w:val="20"/>
          <w:szCs w:val="20"/>
          <w:color w:val="auto"/>
        </w:rPr>
      </w:pPr>
      <w:r>
        <w:rPr>
          <w:rFonts w:ascii="Courier New" w:cs="Courier New" w:eastAsia="Courier New" w:hAnsi="Courier New"/>
          <w:sz w:val="16"/>
          <w:szCs w:val="16"/>
          <w:color w:val="auto"/>
        </w:rPr>
        <w:t>TORO STABLE</w:t>
      </w:r>
    </w:p>
    <w:p>
      <w:pPr>
        <w:spacing w:after="0" w:line="1" w:lineRule="exact"/>
        <w:rPr>
          <w:sz w:val="20"/>
          <w:szCs w:val="20"/>
          <w:color w:val="auto"/>
        </w:rPr>
      </w:pPr>
    </w:p>
    <w:p>
      <w:pPr>
        <w:ind w:left="5960"/>
        <w:spacing w:after="0"/>
        <w:rPr>
          <w:sz w:val="20"/>
          <w:szCs w:val="20"/>
          <w:color w:val="auto"/>
        </w:rPr>
      </w:pPr>
      <w:r>
        <w:rPr>
          <w:rFonts w:ascii="Courier New" w:cs="Courier New" w:eastAsia="Courier New" w:hAnsi="Courier New"/>
          <w:sz w:val="16"/>
          <w:szCs w:val="16"/>
          <w:color w:val="auto"/>
        </w:rPr>
        <w:t>VALUE FUND</w:t>
      </w:r>
    </w:p>
    <w:p>
      <w:pPr>
        <w:spacing w:after="0" w:line="1" w:lineRule="exact"/>
        <w:rPr>
          <w:sz w:val="20"/>
          <w:szCs w:val="20"/>
          <w:color w:val="auto"/>
        </w:rPr>
      </w:pPr>
    </w:p>
    <w:p>
      <w:pPr>
        <w:ind w:left="58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95" w:right="1440" w:bottom="144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Short-term investment funds</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Guaranteed investment contracts</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41,370,916</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2,367,031</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ectPr>
          <w:pgSz w:w="11900" w:h="16838" w:orient="portrait"/>
          <w:cols w:equalWidth="0" w:num="2">
            <w:col w:w="4960" w:space="720"/>
            <w:col w:w="4539"/>
          </w:cols>
          <w:pgMar w:left="240" w:top="295" w:right="1440" w:bottom="1440" w:gutter="0" w:footer="0" w:header="0"/>
          <w:type w:val="continuous"/>
        </w:sectPr>
      </w:pPr>
    </w:p>
    <w:p>
      <w:pPr>
        <w:spacing w:after="0" w:line="4" w:lineRule="exact"/>
        <w:rPr>
          <w:sz w:val="20"/>
          <w:szCs w:val="20"/>
          <w:color w:val="auto"/>
        </w:rPr>
      </w:pPr>
    </w:p>
    <w:p>
      <w:pPr>
        <w:jc w:val="center"/>
        <w:ind w:left="800"/>
        <w:spacing w:after="0"/>
        <w:rPr>
          <w:sz w:val="20"/>
          <w:szCs w:val="20"/>
          <w:color w:val="auto"/>
        </w:rPr>
      </w:pPr>
      <w:r>
        <w:rPr>
          <w:rFonts w:ascii="Courier New" w:cs="Courier New" w:eastAsia="Courier New" w:hAnsi="Courier New"/>
          <w:sz w:val="15"/>
          <w:szCs w:val="15"/>
          <w:color w:val="auto"/>
        </w:rPr>
        <w:t>Total assets available for benefits</w:t>
      </w:r>
    </w:p>
    <w:p>
      <w:pPr>
        <w:spacing w:after="0" w:line="20" w:lineRule="exact"/>
        <w:rPr>
          <w:sz w:val="20"/>
          <w:szCs w:val="20"/>
          <w:color w:val="auto"/>
        </w:rPr>
      </w:pPr>
      <w:r>
        <w:rPr>
          <w:sz w:val="20"/>
          <w:szCs w:val="20"/>
          <w:color w:val="auto"/>
        </w:rPr>
        <w:br w:type="column"/>
      </w:r>
    </w:p>
    <w:p>
      <w:pPr>
        <w:spacing w:after="0"/>
        <w:tabs>
          <w:tab w:leader="none" w:pos="4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43,737,947</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4960" w:space="720"/>
            <w:col w:w="4539"/>
          </w:cols>
          <w:pgMar w:left="240" w:top="295" w:right="1440" w:bottom="1440" w:gutter="0" w:footer="0" w:header="0"/>
          <w:type w:val="continuous"/>
        </w:sectPr>
      </w:pPr>
    </w:p>
    <w:p>
      <w:pPr>
        <w:spacing w:after="0" w:line="358"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6"/>
          <w:szCs w:val="16"/>
          <w:color w:val="auto"/>
        </w:rPr>
        <w:t>The net assets available for benefits of the master trust at December 31, 1999 were as follows:</w:t>
      </w:r>
    </w:p>
    <w:p>
      <w:pPr>
        <w:spacing w:after="0" w:line="200" w:lineRule="exact"/>
        <w:rPr>
          <w:sz w:val="20"/>
          <w:szCs w:val="20"/>
          <w:color w:val="auto"/>
        </w:rPr>
      </w:pPr>
    </w:p>
    <w:p>
      <w:pPr>
        <w:spacing w:after="0" w:line="347" w:lineRule="exact"/>
        <w:rPr>
          <w:sz w:val="20"/>
          <w:szCs w:val="20"/>
          <w:color w:val="auto"/>
        </w:rPr>
      </w:pPr>
    </w:p>
    <w:p>
      <w:pPr>
        <w:ind w:left="5960"/>
        <w:spacing w:after="0"/>
        <w:rPr>
          <w:sz w:val="20"/>
          <w:szCs w:val="20"/>
          <w:color w:val="auto"/>
        </w:rPr>
      </w:pPr>
      <w:r>
        <w:rPr>
          <w:rFonts w:ascii="Courier New" w:cs="Courier New" w:eastAsia="Courier New" w:hAnsi="Courier New"/>
          <w:sz w:val="16"/>
          <w:szCs w:val="16"/>
          <w:color w:val="auto"/>
        </w:rPr>
        <w:t>TORO STABLE</w:t>
      </w:r>
    </w:p>
    <w:p>
      <w:pPr>
        <w:spacing w:after="0" w:line="1" w:lineRule="exact"/>
        <w:rPr>
          <w:sz w:val="20"/>
          <w:szCs w:val="20"/>
          <w:color w:val="auto"/>
        </w:rPr>
      </w:pPr>
    </w:p>
    <w:p>
      <w:pPr>
        <w:ind w:left="5960"/>
        <w:spacing w:after="0"/>
        <w:rPr>
          <w:sz w:val="20"/>
          <w:szCs w:val="20"/>
          <w:color w:val="auto"/>
        </w:rPr>
      </w:pPr>
      <w:r>
        <w:rPr>
          <w:rFonts w:ascii="Courier New" w:cs="Courier New" w:eastAsia="Courier New" w:hAnsi="Courier New"/>
          <w:sz w:val="16"/>
          <w:szCs w:val="16"/>
          <w:color w:val="auto"/>
        </w:rPr>
        <w:t>VALUE FUND</w:t>
      </w:r>
    </w:p>
    <w:p>
      <w:pPr>
        <w:spacing w:after="0" w:line="1" w:lineRule="exact"/>
        <w:rPr>
          <w:sz w:val="20"/>
          <w:szCs w:val="20"/>
          <w:color w:val="auto"/>
        </w:rPr>
      </w:pPr>
    </w:p>
    <w:p>
      <w:pPr>
        <w:ind w:left="58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95" w:right="1440"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Short-term investment funds</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Guaranteed investment contracts</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34,690,962</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10,031,869</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ectPr>
          <w:pgSz w:w="11900" w:h="16838" w:orient="portrait"/>
          <w:cols w:equalWidth="0" w:num="2">
            <w:col w:w="4960" w:space="720"/>
            <w:col w:w="4539"/>
          </w:cols>
          <w:pgMar w:left="240" w:top="295" w:right="1440" w:bottom="1440" w:gutter="0" w:footer="0" w:header="0"/>
          <w:type w:val="continuous"/>
        </w:sectPr>
      </w:pPr>
    </w:p>
    <w:p>
      <w:pPr>
        <w:spacing w:after="0" w:line="4" w:lineRule="exact"/>
        <w:rPr>
          <w:sz w:val="20"/>
          <w:szCs w:val="20"/>
          <w:color w:val="auto"/>
        </w:rPr>
      </w:pPr>
    </w:p>
    <w:p>
      <w:pPr>
        <w:jc w:val="center"/>
        <w:ind w:left="800"/>
        <w:spacing w:after="0"/>
        <w:rPr>
          <w:sz w:val="20"/>
          <w:szCs w:val="20"/>
          <w:color w:val="auto"/>
        </w:rPr>
      </w:pPr>
      <w:r>
        <w:rPr>
          <w:rFonts w:ascii="Courier New" w:cs="Courier New" w:eastAsia="Courier New" w:hAnsi="Courier New"/>
          <w:sz w:val="15"/>
          <w:szCs w:val="15"/>
          <w:color w:val="auto"/>
        </w:rPr>
        <w:t>Total assets available for benefits</w:t>
      </w:r>
    </w:p>
    <w:p>
      <w:pPr>
        <w:spacing w:after="0" w:line="20" w:lineRule="exact"/>
        <w:rPr>
          <w:sz w:val="20"/>
          <w:szCs w:val="20"/>
          <w:color w:val="auto"/>
        </w:rPr>
      </w:pPr>
      <w:r>
        <w:rPr>
          <w:sz w:val="20"/>
          <w:szCs w:val="20"/>
          <w:color w:val="auto"/>
        </w:rPr>
        <w:br w:type="column"/>
      </w:r>
    </w:p>
    <w:p>
      <w:pPr>
        <w:spacing w:after="0"/>
        <w:tabs>
          <w:tab w:leader="none" w:pos="4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44,722,831</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4960" w:space="720"/>
            <w:col w:w="4539"/>
          </w:cols>
          <w:pgMar w:left="240" w:top="295" w:right="1440" w:bottom="1440" w:gutter="0" w:footer="0" w:header="0"/>
          <w:type w:val="continuous"/>
        </w:sectPr>
      </w:pPr>
    </w:p>
    <w:p>
      <w:pPr>
        <w:spacing w:after="0" w:line="358" w:lineRule="exact"/>
        <w:rPr>
          <w:sz w:val="20"/>
          <w:szCs w:val="20"/>
          <w:color w:val="auto"/>
        </w:rPr>
      </w:pPr>
    </w:p>
    <w:p>
      <w:pPr>
        <w:ind w:left="6520"/>
        <w:spacing w:after="0"/>
        <w:rPr>
          <w:sz w:val="20"/>
          <w:szCs w:val="20"/>
          <w:color w:val="auto"/>
        </w:rPr>
      </w:pPr>
      <w:r>
        <w:rPr>
          <w:rFonts w:ascii="Courier New" w:cs="Courier New" w:eastAsia="Courier New" w:hAnsi="Courier New"/>
          <w:sz w:val="15"/>
          <w:szCs w:val="15"/>
          <w:color w:val="auto"/>
        </w:rPr>
        <w:t>(Continued)</w:t>
      </w:r>
    </w:p>
    <w:p>
      <w:pPr>
        <w:spacing w:after="0" w:line="37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5"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THE TORO COMPANY</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INVESTMENT AND SAVINGS PLAN</w:t>
      </w:r>
    </w:p>
    <w:p>
      <w:pPr>
        <w:spacing w:after="0" w:line="183"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Notes to Financial Statements</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December 31, 2000 and 1999</w:t>
      </w:r>
    </w:p>
    <w:p>
      <w:pPr>
        <w:spacing w:after="0" w:line="368"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6"/>
          <w:szCs w:val="16"/>
          <w:color w:val="auto"/>
        </w:rPr>
        <w:t>The changes in net assets available for benefits of the master trust for the year ended December 31, 2000 were as follows:</w:t>
      </w:r>
    </w:p>
    <w:p>
      <w:pPr>
        <w:spacing w:after="0" w:line="200" w:lineRule="exact"/>
        <w:rPr>
          <w:sz w:val="20"/>
          <w:szCs w:val="20"/>
          <w:color w:val="auto"/>
        </w:rPr>
      </w:pPr>
    </w:p>
    <w:p>
      <w:pPr>
        <w:spacing w:after="0" w:line="347" w:lineRule="exact"/>
        <w:rPr>
          <w:sz w:val="20"/>
          <w:szCs w:val="20"/>
          <w:color w:val="auto"/>
        </w:rPr>
      </w:pPr>
    </w:p>
    <w:p>
      <w:pPr>
        <w:ind w:left="6340"/>
        <w:spacing w:after="0"/>
        <w:rPr>
          <w:sz w:val="20"/>
          <w:szCs w:val="20"/>
          <w:color w:val="auto"/>
        </w:rPr>
      </w:pPr>
      <w:r>
        <w:rPr>
          <w:rFonts w:ascii="Courier New" w:cs="Courier New" w:eastAsia="Courier New" w:hAnsi="Courier New"/>
          <w:sz w:val="16"/>
          <w:szCs w:val="16"/>
          <w:color w:val="auto"/>
        </w:rPr>
        <w:t>TORO STABLE</w:t>
      </w:r>
    </w:p>
    <w:p>
      <w:pPr>
        <w:spacing w:after="0" w:line="1" w:lineRule="exact"/>
        <w:rPr>
          <w:sz w:val="20"/>
          <w:szCs w:val="20"/>
          <w:color w:val="auto"/>
        </w:rPr>
      </w:pPr>
    </w:p>
    <w:p>
      <w:pPr>
        <w:ind w:left="6420"/>
        <w:spacing w:after="0"/>
        <w:rPr>
          <w:sz w:val="20"/>
          <w:szCs w:val="20"/>
          <w:color w:val="auto"/>
        </w:rPr>
      </w:pPr>
      <w:r>
        <w:rPr>
          <w:rFonts w:ascii="Courier New" w:cs="Courier New" w:eastAsia="Courier New" w:hAnsi="Courier New"/>
          <w:sz w:val="16"/>
          <w:szCs w:val="16"/>
          <w:color w:val="auto"/>
        </w:rPr>
        <w:t>VALUE FUND</w:t>
      </w:r>
    </w:p>
    <w:p>
      <w:pPr>
        <w:spacing w:after="0" w:line="5" w:lineRule="exact"/>
        <w:rPr>
          <w:sz w:val="20"/>
          <w:szCs w:val="20"/>
          <w:color w:val="auto"/>
        </w:rPr>
      </w:pPr>
    </w:p>
    <w:p>
      <w:pPr>
        <w:ind w:left="62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95" w:right="1440" w:bottom="1440" w:gutter="0" w:footer="0" w:header="0"/>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income (interest and dividends)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Deposits by participating plans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Withdrawals by participating plans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2,688,159</w:t>
      </w:r>
    </w:p>
    <w:p>
      <w:pPr>
        <w:spacing w:after="0" w:line="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11,894,155</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(15,567,198)</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sectPr>
          <w:pgSz w:w="11900" w:h="16838" w:orient="portrait"/>
          <w:cols w:equalWidth="0" w:num="2">
            <w:col w:w="5320" w:space="720"/>
            <w:col w:w="4179"/>
          </w:cols>
          <w:pgMar w:left="240" w:top="295" w:right="1440" w:bottom="1440" w:gutter="0" w:footer="0" w:header="0"/>
          <w:type w:val="continuous"/>
        </w:sectPr>
      </w:pPr>
    </w:p>
    <w:p>
      <w:pPr>
        <w:ind w:left="1220"/>
        <w:spacing w:after="0"/>
        <w:rPr>
          <w:sz w:val="20"/>
          <w:szCs w:val="20"/>
          <w:color w:val="auto"/>
        </w:rPr>
      </w:pPr>
      <w:r>
        <w:rPr>
          <w:rFonts w:ascii="Courier New" w:cs="Courier New" w:eastAsia="Courier New" w:hAnsi="Courier New"/>
          <w:sz w:val="15"/>
          <w:szCs w:val="15"/>
          <w:color w:val="auto"/>
        </w:rPr>
        <w:t>Decrease in net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(984,884)</w:t>
      </w:r>
    </w:p>
    <w:p>
      <w:pPr>
        <w:spacing w:after="0" w:line="194" w:lineRule="exact"/>
        <w:rPr>
          <w:sz w:val="20"/>
          <w:szCs w:val="20"/>
          <w:color w:val="auto"/>
        </w:rPr>
      </w:pPr>
    </w:p>
    <w:p>
      <w:pPr>
        <w:sectPr>
          <w:pgSz w:w="11900" w:h="16838" w:orient="portrait"/>
          <w:cols w:equalWidth="0" w:num="2">
            <w:col w:w="6000" w:space="720"/>
            <w:col w:w="3499"/>
          </w:cols>
          <w:pgMar w:left="240" w:top="29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Net assets available for benefits:</w:t>
      </w:r>
    </w:p>
    <w:p>
      <w:pPr>
        <w:spacing w:after="0" w:line="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Beginning of year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44,722,831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ectPr>
          <w:pgSz w:w="11900" w:h="16838" w:orient="portrait"/>
          <w:cols w:equalWidth="0" w:num="2">
            <w:col w:w="5520" w:space="720"/>
            <w:col w:w="3979"/>
          </w:cols>
          <w:pgMar w:left="240" w:top="295" w:right="1440" w:bottom="1440" w:gutter="0" w:footer="0" w:header="0"/>
          <w:type w:val="continuous"/>
        </w:sectPr>
      </w:pP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End of year</w:t>
      </w:r>
    </w:p>
    <w:p>
      <w:pPr>
        <w:spacing w:after="0" w:line="20" w:lineRule="exact"/>
        <w:rPr>
          <w:sz w:val="20"/>
          <w:szCs w:val="20"/>
          <w:color w:val="auto"/>
        </w:rPr>
      </w:pPr>
      <w:r>
        <w:rPr>
          <w:sz w:val="20"/>
          <w:szCs w:val="20"/>
          <w:color w:val="auto"/>
        </w:rPr>
        <w:br w:type="column"/>
      </w:r>
    </w:p>
    <w:p>
      <w:pPr>
        <w:spacing w:after="0"/>
        <w:tabs>
          <w:tab w:leader="none" w:pos="5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43,737,947</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320" w:space="720"/>
            <w:col w:w="4179"/>
          </w:cols>
          <w:pgMar w:left="240" w:top="295" w:right="1440" w:bottom="1440" w:gutter="0" w:footer="0" w:header="0"/>
          <w:type w:val="continuous"/>
        </w:sectPr>
      </w:pPr>
    </w:p>
    <w:p>
      <w:pPr>
        <w:spacing w:after="0" w:line="358"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6"/>
          <w:szCs w:val="16"/>
          <w:color w:val="auto"/>
        </w:rPr>
        <w:t>The changes in net assets available for benefits of the master trust for the year ended December 31, 1999 were as follows:</w:t>
      </w:r>
    </w:p>
    <w:p>
      <w:pPr>
        <w:spacing w:after="0" w:line="366" w:lineRule="exact"/>
        <w:rPr>
          <w:sz w:val="20"/>
          <w:szCs w:val="20"/>
          <w:color w:val="auto"/>
        </w:rPr>
      </w:pPr>
    </w:p>
    <w:p>
      <w:pPr>
        <w:ind w:left="6040"/>
        <w:spacing w:after="0"/>
        <w:rPr>
          <w:sz w:val="20"/>
          <w:szCs w:val="20"/>
          <w:color w:val="auto"/>
        </w:rPr>
      </w:pPr>
      <w:r>
        <w:rPr>
          <w:rFonts w:ascii="Courier New" w:cs="Courier New" w:eastAsia="Courier New" w:hAnsi="Courier New"/>
          <w:sz w:val="16"/>
          <w:szCs w:val="16"/>
          <w:color w:val="auto"/>
        </w:rPr>
        <w:t>TORO STABLE</w:t>
      </w:r>
    </w:p>
    <w:p>
      <w:pPr>
        <w:spacing w:after="0" w:line="1" w:lineRule="exact"/>
        <w:rPr>
          <w:sz w:val="20"/>
          <w:szCs w:val="20"/>
          <w:color w:val="auto"/>
        </w:rPr>
      </w:pPr>
    </w:p>
    <w:p>
      <w:pPr>
        <w:ind w:left="6140"/>
        <w:spacing w:after="0"/>
        <w:rPr>
          <w:sz w:val="20"/>
          <w:szCs w:val="20"/>
          <w:color w:val="auto"/>
        </w:rPr>
      </w:pPr>
      <w:r>
        <w:rPr>
          <w:rFonts w:ascii="Courier New" w:cs="Courier New" w:eastAsia="Courier New" w:hAnsi="Courier New"/>
          <w:sz w:val="16"/>
          <w:szCs w:val="16"/>
          <w:color w:val="auto"/>
        </w:rPr>
        <w:t>VALUE FUND</w:t>
      </w:r>
    </w:p>
    <w:p>
      <w:pPr>
        <w:spacing w:after="0" w:line="5" w:lineRule="exact"/>
        <w:rPr>
          <w:sz w:val="20"/>
          <w:szCs w:val="20"/>
          <w:color w:val="auto"/>
        </w:rPr>
      </w:pPr>
    </w:p>
    <w:p>
      <w:pPr>
        <w:ind w:left="59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95" w:right="1440" w:bottom="1440" w:gutter="0" w:footer="0" w:header="0"/>
          <w:type w:val="continuous"/>
        </w:sect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income (interest and dividends)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Deposits by participating plans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Withdrawals by participating plans</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2,385,233</w:t>
      </w:r>
    </w:p>
    <w:p>
      <w:pPr>
        <w:spacing w:after="0" w:line="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10,963,781</w:t>
      </w:r>
    </w:p>
    <w:p>
      <w:pPr>
        <w:spacing w:after="0" w:line="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(8,362,307)</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sectPr>
          <w:pgSz w:w="11900" w:h="16838" w:orient="portrait"/>
          <w:cols w:equalWidth="0" w:num="2">
            <w:col w:w="5040" w:space="720"/>
            <w:col w:w="4459"/>
          </w:cols>
          <w:pgMar w:left="240" w:top="295" w:right="1440" w:bottom="1440" w:gutter="0" w:footer="0" w:header="0"/>
          <w:type w:val="continuous"/>
        </w:sectPr>
      </w:pPr>
    </w:p>
    <w:p>
      <w:pPr>
        <w:ind w:left="1220"/>
        <w:spacing w:after="0"/>
        <w:rPr>
          <w:sz w:val="20"/>
          <w:szCs w:val="20"/>
          <w:color w:val="auto"/>
        </w:rPr>
      </w:pPr>
      <w:r>
        <w:rPr>
          <w:rFonts w:ascii="Courier New" w:cs="Courier New" w:eastAsia="Courier New" w:hAnsi="Courier New"/>
          <w:sz w:val="15"/>
          <w:szCs w:val="15"/>
          <w:color w:val="auto"/>
        </w:rPr>
        <w:t>Increase in net assets</w:t>
      </w:r>
    </w:p>
    <w:p>
      <w:pPr>
        <w:spacing w:after="0" w:line="20" w:lineRule="exact"/>
        <w:rPr>
          <w:sz w:val="20"/>
          <w:szCs w:val="20"/>
          <w:color w:val="auto"/>
        </w:rPr>
      </w:pPr>
      <w:r>
        <w:rPr>
          <w:sz w:val="20"/>
          <w:szCs w:val="20"/>
          <w:color w:val="auto"/>
        </w:rPr>
        <w:br w:type="column"/>
      </w:r>
    </w:p>
    <w:p>
      <w:pPr>
        <w:jc w:val="center"/>
        <w:ind w:right="2939"/>
        <w:spacing w:after="0"/>
        <w:rPr>
          <w:sz w:val="20"/>
          <w:szCs w:val="20"/>
          <w:color w:val="auto"/>
        </w:rPr>
      </w:pPr>
      <w:r>
        <w:rPr>
          <w:rFonts w:ascii="Courier New" w:cs="Courier New" w:eastAsia="Courier New" w:hAnsi="Courier New"/>
          <w:sz w:val="15"/>
          <w:szCs w:val="15"/>
          <w:color w:val="auto"/>
        </w:rPr>
        <w:t>4,986,707</w:t>
      </w:r>
    </w:p>
    <w:p>
      <w:pPr>
        <w:spacing w:after="0" w:line="194" w:lineRule="exact"/>
        <w:rPr>
          <w:sz w:val="20"/>
          <w:szCs w:val="20"/>
          <w:color w:val="auto"/>
        </w:rPr>
      </w:pPr>
    </w:p>
    <w:p>
      <w:pPr>
        <w:sectPr>
          <w:pgSz w:w="11900" w:h="16838" w:orient="portrait"/>
          <w:cols w:equalWidth="0" w:num="2">
            <w:col w:w="5700" w:space="720"/>
            <w:col w:w="3799"/>
          </w:cols>
          <w:pgMar w:left="240" w:top="29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Net assets available for benefits:</w:t>
      </w:r>
    </w:p>
    <w:p>
      <w:pPr>
        <w:spacing w:after="0" w:line="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Beginning of year</w:t>
      </w:r>
    </w:p>
    <w:p>
      <w:pPr>
        <w:spacing w:after="0" w:line="183"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End of year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39,736,124</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44,722,831</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4960" w:space="720"/>
            <w:col w:w="4539"/>
          </w:cols>
          <w:pgMar w:left="240" w:top="29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The Plan's proportionate share of net investment income from the master trust is based upon the percentage of the fair value of the Plan's investment in the master trust's assets. The Plan's percentage interest in the net assets of the master trust was approximately 95% as of December 31, 2000 and 1999.</w:t>
      </w:r>
    </w:p>
    <w:p>
      <w:pPr>
        <w:spacing w:after="0" w:line="200" w:lineRule="exact"/>
        <w:rPr>
          <w:sz w:val="20"/>
          <w:szCs w:val="20"/>
          <w:color w:val="auto"/>
        </w:rPr>
      </w:pPr>
    </w:p>
    <w:p>
      <w:pPr>
        <w:spacing w:after="0" w:line="347"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(Continued)</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5"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THE TORO COMPANY</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INVESTMENT AND SAVINGS PLAN</w:t>
      </w:r>
    </w:p>
    <w:p>
      <w:pPr>
        <w:spacing w:after="0" w:line="183"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Notes to Financial Statements</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December 31, 2000 and 1999</w:t>
      </w:r>
    </w:p>
    <w:p>
      <w:pPr>
        <w:spacing w:after="0" w:line="368"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6"/>
          <w:szCs w:val="16"/>
          <w:color w:val="auto"/>
        </w:rPr>
        <w:t>The following investments represent 5% or more of the Plan's net assets available for plan benefits as of December 31, 2000 and 1999:</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2000</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1999</w:t>
            </w:r>
          </w:p>
        </w:tc>
      </w:tr>
      <w:tr>
        <w:trPr>
          <w:trHeight w:val="182"/>
        </w:trPr>
        <w:tc>
          <w:tcPr>
            <w:tcW w:w="5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340" w:type="dxa"/>
            <w:vAlign w:val="bottom"/>
          </w:tcPr>
          <w:p>
            <w:pPr>
              <w:spacing w:after="0"/>
              <w:rPr>
                <w:sz w:val="20"/>
                <w:szCs w:val="20"/>
                <w:color w:val="auto"/>
              </w:rPr>
            </w:pPr>
            <w:r>
              <w:rPr>
                <w:rFonts w:ascii="Courier New" w:cs="Courier New" w:eastAsia="Courier New" w:hAnsi="Courier New"/>
                <w:sz w:val="16"/>
                <w:szCs w:val="16"/>
                <w:color w:val="auto"/>
              </w:rPr>
              <w:t>Toro Stable Value Fund*</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41,478,932</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42,395,665</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Putnam Fund for Growth and Income*</w:t>
            </w:r>
          </w:p>
        </w:tc>
        <w:tc>
          <w:tcPr>
            <w:tcW w:w="860" w:type="dxa"/>
            <w:vAlign w:val="bottom"/>
          </w:tcPr>
          <w:p>
            <w:pPr>
              <w:spacing w:after="0"/>
              <w:rPr>
                <w:sz w:val="15"/>
                <w:szCs w:val="15"/>
                <w:color w:val="auto"/>
              </w:rPr>
            </w:pP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44,111,071</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46,374,395</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Putnam Asset Allocation: Growth Fund*</w:t>
            </w:r>
          </w:p>
        </w:tc>
        <w:tc>
          <w:tcPr>
            <w:tcW w:w="860" w:type="dxa"/>
            <w:vAlign w:val="bottom"/>
          </w:tcPr>
          <w:p>
            <w:pPr>
              <w:spacing w:after="0"/>
              <w:rPr>
                <w:sz w:val="15"/>
                <w:szCs w:val="15"/>
                <w:color w:val="auto"/>
              </w:rPr>
            </w:pP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12,292,893</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13,217,598</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Putnam Asset Allocation: Balanced Fund*</w:t>
            </w:r>
          </w:p>
        </w:tc>
        <w:tc>
          <w:tcPr>
            <w:tcW w:w="860" w:type="dxa"/>
            <w:vAlign w:val="bottom"/>
          </w:tcPr>
          <w:p>
            <w:pPr>
              <w:spacing w:after="0"/>
              <w:rPr>
                <w:sz w:val="15"/>
                <w:szCs w:val="15"/>
                <w:color w:val="auto"/>
              </w:rPr>
            </w:pP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15,501,264</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15,096,642</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Putnam Voyager Fund*</w:t>
            </w:r>
          </w:p>
        </w:tc>
        <w:tc>
          <w:tcPr>
            <w:tcW w:w="860" w:type="dxa"/>
            <w:vAlign w:val="bottom"/>
          </w:tcPr>
          <w:p>
            <w:pPr>
              <w:spacing w:after="0"/>
              <w:rPr>
                <w:sz w:val="15"/>
                <w:szCs w:val="15"/>
                <w:color w:val="auto"/>
              </w:rPr>
            </w:pP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69,881,808</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80,406,689</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The Toro Company Common Stock**</w:t>
            </w:r>
          </w:p>
        </w:tc>
        <w:tc>
          <w:tcPr>
            <w:tcW w:w="860" w:type="dxa"/>
            <w:vAlign w:val="bottom"/>
          </w:tcPr>
          <w:p>
            <w:pPr>
              <w:spacing w:after="0"/>
              <w:rPr>
                <w:sz w:val="15"/>
                <w:szCs w:val="15"/>
                <w:color w:val="auto"/>
              </w:rPr>
            </w:pP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26,883,705</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26,895,793</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Putnam Growth Opportunities Fund - International*</w:t>
            </w:r>
          </w:p>
        </w:tc>
        <w:tc>
          <w:tcPr>
            <w:tcW w:w="860" w:type="dxa"/>
            <w:vAlign w:val="bottom"/>
          </w:tcPr>
          <w:p>
            <w:pPr>
              <w:spacing w:after="0"/>
              <w:rPr>
                <w:sz w:val="15"/>
                <w:szCs w:val="15"/>
                <w:color w:val="auto"/>
              </w:rPr>
            </w:pP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14,915,573</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13,845,262</w:t>
            </w: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*Party-in-interest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**Party-in-interest and nonparticipant-directed.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6"/>
          <w:szCs w:val="16"/>
          <w:color w:val="auto"/>
        </w:rPr>
        <w:t>During 2000, the Plan's investments (including gains and losses on investments bought and sold, as well as held during the year, interest, dividends, and cash earnings) depreciated in value by $12,892,368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2000</w:t>
            </w:r>
          </w:p>
        </w:tc>
      </w:tr>
      <w:tr>
        <w:trPr>
          <w:trHeight w:val="182"/>
        </w:trPr>
        <w:tc>
          <w:tcPr>
            <w:tcW w:w="4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720" w:type="dxa"/>
            <w:vAlign w:val="bottom"/>
          </w:tcPr>
          <w:p>
            <w:pPr>
              <w:spacing w:after="0"/>
              <w:rPr>
                <w:sz w:val="20"/>
                <w:szCs w:val="20"/>
                <w:color w:val="auto"/>
              </w:rPr>
            </w:pPr>
            <w:r>
              <w:rPr>
                <w:rFonts w:ascii="Courier New" w:cs="Courier New" w:eastAsia="Courier New" w:hAnsi="Courier New"/>
                <w:sz w:val="16"/>
                <w:szCs w:val="16"/>
                <w:color w:val="auto"/>
              </w:rPr>
              <w:t>Mutual funds</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(15,600,295)</w:t>
            </w: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Common stocks</w:t>
            </w:r>
          </w:p>
        </w:tc>
        <w:tc>
          <w:tcPr>
            <w:tcW w:w="900" w:type="dxa"/>
            <w:vAlign w:val="bottom"/>
          </w:tcPr>
          <w:p>
            <w:pPr>
              <w:spacing w:after="0"/>
              <w:rPr>
                <w:sz w:val="15"/>
                <w:szCs w:val="15"/>
                <w:color w:val="auto"/>
              </w:rPr>
            </w:pPr>
          </w:p>
        </w:tc>
        <w:tc>
          <w:tcPr>
            <w:tcW w:w="1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94,582</w:t>
            </w: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Master trust fund (Toro Stable Value Fund)</w:t>
            </w:r>
          </w:p>
        </w:tc>
        <w:tc>
          <w:tcPr>
            <w:tcW w:w="900" w:type="dxa"/>
            <w:vAlign w:val="bottom"/>
          </w:tcPr>
          <w:p>
            <w:pPr>
              <w:spacing w:after="0"/>
              <w:rPr>
                <w:sz w:val="15"/>
                <w:szCs w:val="15"/>
                <w:color w:val="auto"/>
              </w:rPr>
            </w:pPr>
          </w:p>
        </w:tc>
        <w:tc>
          <w:tcPr>
            <w:tcW w:w="1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2,613,345</w:t>
            </w:r>
          </w:p>
        </w:tc>
      </w:tr>
      <w:tr>
        <w:trPr>
          <w:trHeight w:val="182"/>
        </w:trPr>
        <w:tc>
          <w:tcPr>
            <w:tcW w:w="4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7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(12,892,368)</w:t>
            </w:r>
          </w:p>
        </w:tc>
      </w:tr>
      <w:tr>
        <w:trPr>
          <w:trHeight w:val="182"/>
        </w:trPr>
        <w:tc>
          <w:tcPr>
            <w:tcW w:w="4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(Continued)</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95"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18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THE TORO COMPANY</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INVESTMENT AND SAVINGS PLAN</w:t>
      </w:r>
    </w:p>
    <w:p>
      <w:pPr>
        <w:spacing w:after="0" w:line="183"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Notes to Financial Statements</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December 31, 2000 and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60" w:right="3880"/>
        <w:spacing w:after="0" w:line="238" w:lineRule="auto"/>
        <w:rPr>
          <w:sz w:val="20"/>
          <w:szCs w:val="20"/>
          <w:color w:val="auto"/>
        </w:rPr>
      </w:pPr>
      <w:r>
        <w:rPr>
          <w:rFonts w:ascii="Courier New" w:cs="Courier New" w:eastAsia="Courier New" w:hAnsi="Courier New"/>
          <w:sz w:val="16"/>
          <w:szCs w:val="16"/>
          <w:color w:val="auto"/>
        </w:rPr>
        <w:t>Information about the net assets and the significant components of the changes in net assets relating to the nonparticipant-directed investments is as follows:</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20" w:type="dxa"/>
            <w:vAlign w:val="bottom"/>
          </w:tcPr>
          <w:p>
            <w:pPr>
              <w:ind w:left="520"/>
              <w:spacing w:after="0"/>
              <w:rPr>
                <w:sz w:val="20"/>
                <w:szCs w:val="20"/>
                <w:color w:val="auto"/>
              </w:rPr>
            </w:pPr>
            <w:r>
              <w:rPr>
                <w:rFonts w:ascii="Courier New" w:cs="Courier New" w:eastAsia="Courier New" w:hAnsi="Courier New"/>
                <w:sz w:val="16"/>
                <w:szCs w:val="16"/>
                <w:color w:val="auto"/>
              </w:rPr>
              <w:t>2000</w:t>
            </w:r>
          </w:p>
        </w:tc>
        <w:tc>
          <w:tcPr>
            <w:tcW w:w="180" w:type="dxa"/>
            <w:vAlign w:val="bottom"/>
          </w:tcPr>
          <w:p>
            <w:pPr>
              <w:spacing w:after="0"/>
              <w:rPr>
                <w:sz w:val="15"/>
                <w:szCs w:val="15"/>
                <w:color w:val="auto"/>
              </w:rPr>
            </w:pPr>
          </w:p>
        </w:tc>
        <w:tc>
          <w:tcPr>
            <w:tcW w:w="14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1999</w:t>
            </w:r>
          </w:p>
        </w:tc>
      </w:tr>
      <w:tr>
        <w:trPr>
          <w:trHeight w:val="182"/>
        </w:trPr>
        <w:tc>
          <w:tcPr>
            <w:tcW w:w="3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20" w:type="dxa"/>
            <w:vAlign w:val="bottom"/>
          </w:tcPr>
          <w:p>
            <w:pPr>
              <w:spacing w:after="0"/>
              <w:rPr>
                <w:sz w:val="20"/>
                <w:szCs w:val="20"/>
                <w:color w:val="auto"/>
              </w:rPr>
            </w:pPr>
            <w:r>
              <w:rPr>
                <w:rFonts w:ascii="Courier New" w:cs="Courier New" w:eastAsia="Courier New" w:hAnsi="Courier New"/>
                <w:sz w:val="16"/>
                <w:szCs w:val="16"/>
                <w:color w:val="auto"/>
              </w:rPr>
              <w:t>Net</w:t>
            </w:r>
          </w:p>
        </w:tc>
        <w:tc>
          <w:tcPr>
            <w:tcW w:w="3220" w:type="dxa"/>
            <w:vAlign w:val="bottom"/>
          </w:tcPr>
          <w:p>
            <w:pPr>
              <w:ind w:left="60"/>
              <w:spacing w:after="0"/>
              <w:rPr>
                <w:sz w:val="20"/>
                <w:szCs w:val="20"/>
                <w:color w:val="auto"/>
              </w:rPr>
            </w:pPr>
            <w:r>
              <w:rPr>
                <w:rFonts w:ascii="Courier New" w:cs="Courier New" w:eastAsia="Courier New" w:hAnsi="Courier New"/>
                <w:sz w:val="16"/>
                <w:szCs w:val="16"/>
                <w:color w:val="auto"/>
              </w:rPr>
              <w:t>Assets:</w:t>
            </w:r>
          </w:p>
        </w:tc>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2"/>
        </w:trPr>
        <w:tc>
          <w:tcPr>
            <w:tcW w:w="320" w:type="dxa"/>
            <w:vAlign w:val="bottom"/>
          </w:tcPr>
          <w:p>
            <w:pPr>
              <w:spacing w:after="0"/>
              <w:rPr>
                <w:sz w:val="20"/>
                <w:szCs w:val="20"/>
                <w:color w:val="auto"/>
              </w:rPr>
            </w:pPr>
            <w:r>
              <w:rPr>
                <w:rFonts w:ascii="Courier New" w:cs="Courier New" w:eastAsia="Courier New" w:hAnsi="Courier New"/>
                <w:sz w:val="16"/>
                <w:szCs w:val="16"/>
                <w:color w:val="auto"/>
              </w:rPr>
              <w:t>The</w:t>
            </w:r>
          </w:p>
        </w:tc>
        <w:tc>
          <w:tcPr>
            <w:tcW w:w="3220" w:type="dxa"/>
            <w:vAlign w:val="bottom"/>
          </w:tcPr>
          <w:p>
            <w:pPr>
              <w:ind w:left="60"/>
              <w:spacing w:after="0"/>
              <w:rPr>
                <w:sz w:val="20"/>
                <w:szCs w:val="20"/>
                <w:color w:val="auto"/>
              </w:rPr>
            </w:pPr>
            <w:r>
              <w:rPr>
                <w:rFonts w:ascii="Courier New" w:cs="Courier New" w:eastAsia="Courier New" w:hAnsi="Courier New"/>
                <w:sz w:val="16"/>
                <w:szCs w:val="16"/>
                <w:color w:val="auto"/>
              </w:rPr>
              <w:t>Toro Company Common Stock</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ind w:left="520"/>
              <w:spacing w:after="0"/>
              <w:rPr>
                <w:sz w:val="20"/>
                <w:szCs w:val="20"/>
                <w:color w:val="auto"/>
              </w:rPr>
            </w:pPr>
            <w:r>
              <w:rPr>
                <w:rFonts w:ascii="Courier New" w:cs="Courier New" w:eastAsia="Courier New" w:hAnsi="Courier New"/>
                <w:sz w:val="16"/>
                <w:szCs w:val="16"/>
                <w:color w:val="auto"/>
              </w:rPr>
              <w:t>26,883,705</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26,895,793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2000</w:t>
            </w:r>
          </w:p>
        </w:tc>
        <w:tc>
          <w:tcPr>
            <w:tcW w:w="180" w:type="dxa"/>
            <w:vAlign w:val="bottom"/>
          </w:tcPr>
          <w:p>
            <w:pPr>
              <w:spacing w:after="0"/>
              <w:rPr>
                <w:sz w:val="15"/>
                <w:szCs w:val="15"/>
                <w:color w:val="auto"/>
              </w:rPr>
            </w:pPr>
          </w:p>
        </w:tc>
        <w:tc>
          <w:tcPr>
            <w:tcW w:w="14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1999</w:t>
            </w:r>
          </w:p>
        </w:tc>
      </w:tr>
      <w:tr>
        <w:trPr>
          <w:trHeight w:val="182"/>
        </w:trPr>
        <w:tc>
          <w:tcPr>
            <w:tcW w:w="7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7380" w:type="dxa"/>
            <w:vAlign w:val="bottom"/>
          </w:tcPr>
          <w:p>
            <w:pPr>
              <w:spacing w:after="0"/>
              <w:rPr>
                <w:sz w:val="20"/>
                <w:szCs w:val="20"/>
                <w:color w:val="auto"/>
              </w:rPr>
            </w:pPr>
            <w:r>
              <w:rPr>
                <w:rFonts w:ascii="Courier New" w:cs="Courier New" w:eastAsia="Courier New" w:hAnsi="Courier New"/>
                <w:sz w:val="16"/>
                <w:szCs w:val="16"/>
                <w:color w:val="auto"/>
              </w:rPr>
              <w:t>Investment income:</w:t>
            </w: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2"/>
        </w:trPr>
        <w:tc>
          <w:tcPr>
            <w:tcW w:w="7380" w:type="dxa"/>
            <w:vAlign w:val="bottom"/>
          </w:tcPr>
          <w:p>
            <w:pPr>
              <w:ind w:left="380"/>
              <w:spacing w:after="0"/>
              <w:rPr>
                <w:sz w:val="20"/>
                <w:szCs w:val="20"/>
                <w:color w:val="auto"/>
              </w:rPr>
            </w:pPr>
            <w:r>
              <w:rPr>
                <w:rFonts w:ascii="Courier New" w:cs="Courier New" w:eastAsia="Courier New" w:hAnsi="Courier New"/>
                <w:sz w:val="16"/>
                <w:szCs w:val="16"/>
                <w:color w:val="auto"/>
              </w:rPr>
              <w:t>Dividends</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348,579</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338,372</w:t>
            </w:r>
          </w:p>
        </w:tc>
      </w:tr>
      <w:tr>
        <w:trPr>
          <w:trHeight w:val="182"/>
        </w:trPr>
        <w:tc>
          <w:tcPr>
            <w:tcW w:w="7380" w:type="dxa"/>
            <w:vAlign w:val="bottom"/>
          </w:tcPr>
          <w:p>
            <w:pPr>
              <w:ind w:left="380"/>
              <w:spacing w:after="0"/>
              <w:rPr>
                <w:sz w:val="20"/>
                <w:szCs w:val="20"/>
                <w:color w:val="auto"/>
              </w:rPr>
            </w:pPr>
            <w:r>
              <w:rPr>
                <w:rFonts w:ascii="Courier New" w:cs="Courier New" w:eastAsia="Courier New" w:hAnsi="Courier New"/>
                <w:sz w:val="16"/>
                <w:szCs w:val="16"/>
                <w:color w:val="auto"/>
              </w:rPr>
              <w:t>Net realized/unrealized (loss) gain in the fair value of investments</w:t>
            </w:r>
          </w:p>
        </w:tc>
        <w:tc>
          <w:tcPr>
            <w:tcW w:w="7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(253,997)</w:t>
            </w:r>
          </w:p>
        </w:tc>
        <w:tc>
          <w:tcPr>
            <w:tcW w:w="180" w:type="dxa"/>
            <w:vAlign w:val="bottom"/>
          </w:tcPr>
          <w:p>
            <w:pPr>
              <w:spacing w:after="0"/>
              <w:rPr>
                <w:sz w:val="15"/>
                <w:szCs w:val="15"/>
                <w:color w:val="auto"/>
              </w:rPr>
            </w:pP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6,326,408</w:t>
            </w:r>
          </w:p>
        </w:tc>
      </w:tr>
      <w:tr>
        <w:trPr>
          <w:trHeight w:val="182"/>
        </w:trPr>
        <w:tc>
          <w:tcPr>
            <w:tcW w:w="7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7380" w:type="dxa"/>
            <w:vAlign w:val="bottom"/>
          </w:tcPr>
          <w:p>
            <w:pPr>
              <w:ind w:left="1420"/>
              <w:spacing w:after="0"/>
              <w:rPr>
                <w:sz w:val="20"/>
                <w:szCs w:val="20"/>
                <w:color w:val="auto"/>
              </w:rPr>
            </w:pPr>
            <w:r>
              <w:rPr>
                <w:rFonts w:ascii="Courier New" w:cs="Courier New" w:eastAsia="Courier New" w:hAnsi="Courier New"/>
                <w:sz w:val="16"/>
                <w:szCs w:val="16"/>
                <w:color w:val="auto"/>
              </w:rPr>
              <w:t>Net investment income</w:t>
            </w:r>
          </w:p>
        </w:tc>
        <w:tc>
          <w:tcPr>
            <w:tcW w:w="700" w:type="dxa"/>
            <w:vAlign w:val="bottom"/>
          </w:tcPr>
          <w:p>
            <w:pPr>
              <w:spacing w:after="0"/>
              <w:rPr>
                <w:sz w:val="24"/>
                <w:szCs w:val="24"/>
                <w:color w:val="auto"/>
              </w:rPr>
            </w:pP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94,582</w:t>
            </w:r>
          </w:p>
        </w:tc>
        <w:tc>
          <w:tcPr>
            <w:tcW w:w="180" w:type="dxa"/>
            <w:vAlign w:val="bottom"/>
          </w:tcPr>
          <w:p>
            <w:pPr>
              <w:spacing w:after="0"/>
              <w:rPr>
                <w:sz w:val="24"/>
                <w:szCs w:val="24"/>
                <w:color w:val="auto"/>
              </w:rPr>
            </w:pP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6,664,780</w:t>
            </w:r>
          </w:p>
        </w:tc>
      </w:tr>
      <w:tr>
        <w:trPr>
          <w:trHeight w:val="546"/>
        </w:trPr>
        <w:tc>
          <w:tcPr>
            <w:tcW w:w="7380" w:type="dxa"/>
            <w:vAlign w:val="bottom"/>
          </w:tcPr>
          <w:p>
            <w:pPr>
              <w:spacing w:after="0"/>
              <w:rPr>
                <w:sz w:val="20"/>
                <w:szCs w:val="20"/>
                <w:color w:val="auto"/>
              </w:rPr>
            </w:pPr>
            <w:r>
              <w:rPr>
                <w:rFonts w:ascii="Courier New" w:cs="Courier New" w:eastAsia="Courier New" w:hAnsi="Courier New"/>
                <w:sz w:val="16"/>
                <w:szCs w:val="16"/>
                <w:color w:val="auto"/>
              </w:rPr>
              <w:t>Total contributions</w:t>
            </w:r>
          </w:p>
        </w:tc>
        <w:tc>
          <w:tcPr>
            <w:tcW w:w="700" w:type="dxa"/>
            <w:vAlign w:val="bottom"/>
          </w:tcPr>
          <w:p>
            <w:pPr>
              <w:spacing w:after="0"/>
              <w:rPr>
                <w:sz w:val="24"/>
                <w:szCs w:val="24"/>
                <w:color w:val="auto"/>
              </w:rPr>
            </w:pP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2,891,549</w:t>
            </w:r>
          </w:p>
        </w:tc>
        <w:tc>
          <w:tcPr>
            <w:tcW w:w="180" w:type="dxa"/>
            <w:vAlign w:val="bottom"/>
          </w:tcPr>
          <w:p>
            <w:pPr>
              <w:spacing w:after="0"/>
              <w:rPr>
                <w:sz w:val="24"/>
                <w:szCs w:val="24"/>
                <w:color w:val="auto"/>
              </w:rPr>
            </w:pP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2,892,950</w:t>
            </w:r>
          </w:p>
        </w:tc>
      </w:tr>
      <w:tr>
        <w:trPr>
          <w:trHeight w:val="364"/>
        </w:trPr>
        <w:tc>
          <w:tcPr>
            <w:tcW w:w="7380" w:type="dxa"/>
            <w:vAlign w:val="bottom"/>
          </w:tcPr>
          <w:p>
            <w:pPr>
              <w:spacing w:after="0"/>
              <w:rPr>
                <w:sz w:val="20"/>
                <w:szCs w:val="20"/>
                <w:color w:val="auto"/>
              </w:rPr>
            </w:pPr>
            <w:r>
              <w:rPr>
                <w:rFonts w:ascii="Courier New" w:cs="Courier New" w:eastAsia="Courier New" w:hAnsi="Courier New"/>
                <w:sz w:val="16"/>
                <w:szCs w:val="16"/>
                <w:color w:val="auto"/>
              </w:rPr>
              <w:t>Benefit payments</w:t>
            </w:r>
          </w:p>
        </w:tc>
        <w:tc>
          <w:tcPr>
            <w:tcW w:w="7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(1,012,431)</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(765,439)</w:t>
            </w:r>
          </w:p>
        </w:tc>
      </w:tr>
      <w:tr>
        <w:trPr>
          <w:trHeight w:val="182"/>
        </w:trPr>
        <w:tc>
          <w:tcPr>
            <w:tcW w:w="7380" w:type="dxa"/>
            <w:vAlign w:val="bottom"/>
          </w:tcPr>
          <w:p>
            <w:pPr>
              <w:spacing w:after="0"/>
              <w:rPr>
                <w:sz w:val="20"/>
                <w:szCs w:val="20"/>
                <w:color w:val="auto"/>
              </w:rPr>
            </w:pPr>
            <w:r>
              <w:rPr>
                <w:rFonts w:ascii="Courier New" w:cs="Courier New" w:eastAsia="Courier New" w:hAnsi="Courier New"/>
                <w:sz w:val="16"/>
                <w:szCs w:val="16"/>
                <w:color w:val="auto"/>
              </w:rPr>
              <w:t>Transfers to other plans</w:t>
            </w:r>
          </w:p>
        </w:tc>
        <w:tc>
          <w:tcPr>
            <w:tcW w:w="7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(1,985,788)</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(1,682,855)</w:t>
            </w:r>
          </w:p>
        </w:tc>
      </w:tr>
      <w:tr>
        <w:trPr>
          <w:trHeight w:val="182"/>
        </w:trPr>
        <w:tc>
          <w:tcPr>
            <w:tcW w:w="7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7380" w:type="dxa"/>
            <w:vAlign w:val="bottom"/>
          </w:tcPr>
          <w:p>
            <w:pPr>
              <w:ind w:left="1420"/>
              <w:spacing w:after="0"/>
              <w:rPr>
                <w:sz w:val="20"/>
                <w:szCs w:val="20"/>
                <w:color w:val="auto"/>
              </w:rPr>
            </w:pPr>
            <w:r>
              <w:rPr>
                <w:rFonts w:ascii="Courier New" w:cs="Courier New" w:eastAsia="Courier New" w:hAnsi="Courier New"/>
                <w:sz w:val="16"/>
                <w:szCs w:val="16"/>
                <w:color w:val="auto"/>
              </w:rPr>
              <w:t>(Decrease) increase in net assets</w:t>
            </w: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2"/>
        </w:trPr>
        <w:tc>
          <w:tcPr>
            <w:tcW w:w="7380" w:type="dxa"/>
            <w:vAlign w:val="bottom"/>
          </w:tcPr>
          <w:p>
            <w:pPr>
              <w:ind w:left="1600"/>
              <w:spacing w:after="0"/>
              <w:rPr>
                <w:sz w:val="20"/>
                <w:szCs w:val="20"/>
                <w:color w:val="auto"/>
              </w:rPr>
            </w:pPr>
            <w:r>
              <w:rPr>
                <w:rFonts w:ascii="Courier New" w:cs="Courier New" w:eastAsia="Courier New" w:hAnsi="Courier New"/>
                <w:sz w:val="16"/>
                <w:szCs w:val="16"/>
                <w:color w:val="auto"/>
              </w:rPr>
              <w:t>available for plan benefits</w:t>
            </w:r>
          </w:p>
        </w:tc>
        <w:tc>
          <w:tcPr>
            <w:tcW w:w="7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(12,088)</w:t>
            </w:r>
          </w:p>
        </w:tc>
        <w:tc>
          <w:tcPr>
            <w:tcW w:w="180" w:type="dxa"/>
            <w:vAlign w:val="bottom"/>
          </w:tcPr>
          <w:p>
            <w:pPr>
              <w:spacing w:after="0"/>
              <w:rPr>
                <w:sz w:val="15"/>
                <w:szCs w:val="15"/>
                <w:color w:val="auto"/>
              </w:rPr>
            </w:pP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7,109,436</w:t>
            </w:r>
          </w:p>
        </w:tc>
      </w:tr>
      <w:tr>
        <w:trPr>
          <w:trHeight w:val="364"/>
        </w:trPr>
        <w:tc>
          <w:tcPr>
            <w:tcW w:w="7380" w:type="dxa"/>
            <w:vAlign w:val="bottom"/>
          </w:tcPr>
          <w:p>
            <w:pPr>
              <w:spacing w:after="0"/>
              <w:rPr>
                <w:sz w:val="20"/>
                <w:szCs w:val="20"/>
                <w:color w:val="auto"/>
              </w:rPr>
            </w:pPr>
            <w:r>
              <w:rPr>
                <w:rFonts w:ascii="Courier New" w:cs="Courier New" w:eastAsia="Courier New" w:hAnsi="Courier New"/>
                <w:sz w:val="16"/>
                <w:szCs w:val="16"/>
                <w:color w:val="auto"/>
              </w:rPr>
              <w:t>Net assets available for plan benefits:</w:t>
            </w: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2"/>
        </w:trPr>
        <w:tc>
          <w:tcPr>
            <w:tcW w:w="7380" w:type="dxa"/>
            <w:vAlign w:val="bottom"/>
          </w:tcPr>
          <w:p>
            <w:pPr>
              <w:ind w:left="380"/>
              <w:spacing w:after="0"/>
              <w:rPr>
                <w:sz w:val="20"/>
                <w:szCs w:val="20"/>
                <w:color w:val="auto"/>
              </w:rPr>
            </w:pPr>
            <w:r>
              <w:rPr>
                <w:rFonts w:ascii="Courier New" w:cs="Courier New" w:eastAsia="Courier New" w:hAnsi="Courier New"/>
                <w:sz w:val="16"/>
                <w:szCs w:val="16"/>
                <w:color w:val="auto"/>
              </w:rPr>
              <w:t>Beginning of year</w:t>
            </w:r>
          </w:p>
        </w:tc>
        <w:tc>
          <w:tcPr>
            <w:tcW w:w="700" w:type="dxa"/>
            <w:vAlign w:val="bottom"/>
          </w:tcPr>
          <w:p>
            <w:pPr>
              <w:spacing w:after="0"/>
              <w:rPr>
                <w:sz w:val="15"/>
                <w:szCs w:val="15"/>
                <w:color w:val="auto"/>
              </w:rPr>
            </w:pP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26,895,793</w:t>
            </w:r>
          </w:p>
        </w:tc>
        <w:tc>
          <w:tcPr>
            <w:tcW w:w="180" w:type="dxa"/>
            <w:vAlign w:val="bottom"/>
          </w:tcPr>
          <w:p>
            <w:pPr>
              <w:spacing w:after="0"/>
              <w:rPr>
                <w:sz w:val="15"/>
                <w:szCs w:val="15"/>
                <w:color w:val="auto"/>
              </w:rPr>
            </w:pP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19,786,357</w:t>
            </w:r>
          </w:p>
        </w:tc>
      </w:tr>
      <w:tr>
        <w:trPr>
          <w:trHeight w:val="182"/>
        </w:trPr>
        <w:tc>
          <w:tcPr>
            <w:tcW w:w="7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7380" w:type="dxa"/>
            <w:vAlign w:val="bottom"/>
          </w:tcPr>
          <w:p>
            <w:pPr>
              <w:ind w:left="380"/>
              <w:spacing w:after="0"/>
              <w:rPr>
                <w:sz w:val="20"/>
                <w:szCs w:val="20"/>
                <w:color w:val="auto"/>
              </w:rPr>
            </w:pPr>
            <w:r>
              <w:rPr>
                <w:rFonts w:ascii="Courier New" w:cs="Courier New" w:eastAsia="Courier New" w:hAnsi="Courier New"/>
                <w:sz w:val="16"/>
                <w:szCs w:val="16"/>
                <w:color w:val="auto"/>
              </w:rPr>
              <w:t>End of year</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26,883,705</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26,895,793</w:t>
            </w:r>
          </w:p>
        </w:tc>
      </w:tr>
      <w:tr>
        <w:trPr>
          <w:trHeight w:val="182"/>
        </w:trPr>
        <w:tc>
          <w:tcPr>
            <w:tcW w:w="7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60" w:hanging="574"/>
        <w:spacing w:after="0"/>
        <w:tabs>
          <w:tab w:leader="none" w:pos="7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FEDERAL INCOME TAXES</w:t>
      </w:r>
    </w:p>
    <w:p>
      <w:pPr>
        <w:spacing w:after="0" w:line="186" w:lineRule="exact"/>
        <w:rPr>
          <w:rFonts w:ascii="Courier New" w:cs="Courier New" w:eastAsia="Courier New" w:hAnsi="Courier New"/>
          <w:sz w:val="16"/>
          <w:szCs w:val="16"/>
          <w:color w:val="auto"/>
        </w:rPr>
      </w:pPr>
    </w:p>
    <w:p>
      <w:pPr>
        <w:ind w:left="760" w:right="37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administrator has received a determination letter from the Internal Revenue Service dated July 18, 1996 stating that the Plan is qualified under Section 401(a) of the Internal Revenue Code and that the trust created under the Plan is exempt from federal income taxes under Section 501(a) of the Code. The plan administrator believes that the Plan and its related trust continue to qualify under the provisions of Sections 401(a) and 501(a) of the Code and are exempt from federal income taxes.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520"/>
        <w:spacing w:after="0"/>
        <w:rPr>
          <w:sz w:val="20"/>
          <w:szCs w:val="20"/>
          <w:color w:val="auto"/>
        </w:rPr>
      </w:pPr>
      <w:r>
        <w:rPr>
          <w:rFonts w:ascii="Courier New" w:cs="Courier New" w:eastAsia="Courier New" w:hAnsi="Courier New"/>
          <w:sz w:val="16"/>
          <w:szCs w:val="16"/>
          <w:color w:val="auto"/>
        </w:rPr>
        <w:t>(Continued)</w:t>
      </w:r>
    </w:p>
    <w:p>
      <w:pPr>
        <w:sectPr>
          <w:pgSz w:w="11900" w:h="16838" w:orient="portrait"/>
          <w:cols w:equalWidth="0" w:num="1">
            <w:col w:w="11260"/>
          </w:cols>
          <w:pgMar w:left="240" w:top="295" w:right="399" w:bottom="701" w:gutter="0" w:footer="0" w:header="0"/>
        </w:sectPr>
      </w:pP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1260"/>
          </w:cols>
          <w:pgMar w:left="240" w:top="295" w:right="399" w:bottom="701"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364" w:lineRule="exact"/>
        <w:rPr>
          <w:sz w:val="20"/>
          <w:szCs w:val="20"/>
          <w:color w:val="auto"/>
        </w:rPr>
      </w:pPr>
    </w:p>
    <w:p>
      <w:pPr>
        <w:ind w:left="6620"/>
        <w:spacing w:after="0"/>
        <w:rPr>
          <w:sz w:val="20"/>
          <w:szCs w:val="20"/>
          <w:color w:val="auto"/>
        </w:rPr>
      </w:pPr>
      <w:r>
        <w:rPr>
          <w:rFonts w:ascii="Courier New" w:cs="Courier New" w:eastAsia="Courier New" w:hAnsi="Courier New"/>
          <w:sz w:val="16"/>
          <w:szCs w:val="16"/>
          <w:color w:val="auto"/>
        </w:rPr>
        <w:t>SCHEDULE 1</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THE TORO COMPANY</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INVESTMENT AND SAVINGS PLAN</w:t>
      </w:r>
    </w:p>
    <w:p>
      <w:pPr>
        <w:spacing w:after="0" w:line="183"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6"/>
          <w:szCs w:val="16"/>
          <w:color w:val="auto"/>
        </w:rPr>
        <w:t>Schedule of Assets Held for Investment Purposes at End of Year</w:t>
      </w:r>
    </w:p>
    <w:p>
      <w:pPr>
        <w:spacing w:after="0" w:line="18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December 31,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40" w:type="dxa"/>
            <w:vAlign w:val="bottom"/>
          </w:tcPr>
          <w:p>
            <w:pPr>
              <w:spacing w:after="0"/>
              <w:rPr>
                <w:sz w:val="15"/>
                <w:szCs w:val="15"/>
                <w:color w:val="auto"/>
              </w:rPr>
            </w:pPr>
          </w:p>
        </w:tc>
        <w:tc>
          <w:tcPr>
            <w:tcW w:w="18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FACE</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2"/>
        </w:trPr>
        <w:tc>
          <w:tcPr>
            <w:tcW w:w="6340" w:type="dxa"/>
            <w:vAlign w:val="bottom"/>
          </w:tcPr>
          <w:p>
            <w:pPr>
              <w:spacing w:after="0"/>
              <w:rPr>
                <w:sz w:val="15"/>
                <w:szCs w:val="15"/>
                <w:color w:val="auto"/>
              </w:rPr>
            </w:pPr>
          </w:p>
        </w:tc>
        <w:tc>
          <w:tcPr>
            <w:tcW w:w="1800" w:type="dxa"/>
            <w:vAlign w:val="bottom"/>
          </w:tcPr>
          <w:p>
            <w:pPr>
              <w:ind w:left="460"/>
              <w:spacing w:after="0"/>
              <w:rPr>
                <w:sz w:val="20"/>
                <w:szCs w:val="20"/>
                <w:color w:val="auto"/>
              </w:rPr>
            </w:pPr>
            <w:r>
              <w:rPr>
                <w:rFonts w:ascii="Courier New" w:cs="Courier New" w:eastAsia="Courier New" w:hAnsi="Courier New"/>
                <w:sz w:val="16"/>
                <w:szCs w:val="16"/>
                <w:color w:val="auto"/>
              </w:rPr>
              <w:t>AMOUNT OR</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FAIR</w:t>
            </w:r>
          </w:p>
        </w:tc>
      </w:tr>
      <w:tr>
        <w:trPr>
          <w:trHeight w:val="182"/>
        </w:trPr>
        <w:tc>
          <w:tcPr>
            <w:tcW w:w="6340" w:type="dxa"/>
            <w:vAlign w:val="bottom"/>
          </w:tcPr>
          <w:p>
            <w:pPr>
              <w:ind w:left="2260"/>
              <w:spacing w:after="0"/>
              <w:rPr>
                <w:sz w:val="20"/>
                <w:szCs w:val="20"/>
                <w:color w:val="auto"/>
              </w:rPr>
            </w:pPr>
            <w:r>
              <w:rPr>
                <w:rFonts w:ascii="Courier New" w:cs="Courier New" w:eastAsia="Courier New" w:hAnsi="Courier New"/>
                <w:sz w:val="16"/>
                <w:szCs w:val="16"/>
                <w:color w:val="auto"/>
              </w:rPr>
              <w:t>DESCRIPTION</w:t>
            </w:r>
          </w:p>
        </w:tc>
        <w:tc>
          <w:tcPr>
            <w:tcW w:w="180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SHARES</w:t>
            </w:r>
          </w:p>
        </w:tc>
        <w:tc>
          <w:tcPr>
            <w:tcW w:w="220" w:type="dxa"/>
            <w:vAlign w:val="bottom"/>
          </w:tcPr>
          <w:p>
            <w:pPr>
              <w:spacing w:after="0"/>
              <w:rPr>
                <w:sz w:val="15"/>
                <w:szCs w:val="15"/>
                <w:color w:val="auto"/>
              </w:rPr>
            </w:pPr>
          </w:p>
        </w:tc>
        <w:tc>
          <w:tcPr>
            <w:tcW w:w="14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COST</w:t>
            </w:r>
          </w:p>
        </w:tc>
        <w:tc>
          <w:tcPr>
            <w:tcW w:w="168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VALUE</w:t>
            </w: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800" w:type="dxa"/>
            <w:vAlign w:val="bottom"/>
          </w:tcPr>
          <w:p>
            <w:pPr>
              <w:ind w:left="460"/>
              <w:spacing w:after="0"/>
              <w:rPr>
                <w:sz w:val="20"/>
                <w:szCs w:val="20"/>
                <w:color w:val="auto"/>
              </w:rPr>
            </w:pPr>
            <w:r>
              <w:rPr>
                <w:rFonts w:ascii="Courier New" w:cs="Courier New" w:eastAsia="Courier New" w:hAnsi="Courier New"/>
                <w:sz w:val="16"/>
                <w:szCs w:val="16"/>
                <w:color w:val="auto"/>
                <w:w w:val="98"/>
              </w:rPr>
              <w:t>--------------</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6340" w:type="dxa"/>
            <w:vAlign w:val="bottom"/>
          </w:tcPr>
          <w:p>
            <w:pPr>
              <w:spacing w:after="0"/>
              <w:rPr>
                <w:sz w:val="20"/>
                <w:szCs w:val="20"/>
                <w:color w:val="auto"/>
              </w:rPr>
            </w:pPr>
            <w:r>
              <w:rPr>
                <w:rFonts w:ascii="Courier New" w:cs="Courier New" w:eastAsia="Courier New" w:hAnsi="Courier New"/>
                <w:sz w:val="16"/>
                <w:szCs w:val="16"/>
                <w:color w:val="auto"/>
              </w:rPr>
              <w:t>The Toro Company Common Stock**</w:t>
            </w:r>
          </w:p>
        </w:tc>
        <w:tc>
          <w:tcPr>
            <w:tcW w:w="18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732,776</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4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20,684,038</w:t>
            </w:r>
          </w:p>
        </w:tc>
        <w:tc>
          <w:tcPr>
            <w:tcW w:w="168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26,883,705</w:t>
            </w: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Toro Stable Value Fund*</w:t>
            </w:r>
          </w:p>
        </w:tc>
        <w:tc>
          <w:tcPr>
            <w:tcW w:w="18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31,636,741</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8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41,478,932</w:t>
            </w: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Putnam S&amp;P 500 Fund*</w:t>
            </w:r>
          </w:p>
        </w:tc>
        <w:tc>
          <w:tcPr>
            <w:tcW w:w="18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20,216</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8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640,446</w:t>
            </w: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Putnam Fund for Growth and Income*</w:t>
            </w:r>
          </w:p>
        </w:tc>
        <w:tc>
          <w:tcPr>
            <w:tcW w:w="18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2,255,167</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8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44,111,071</w:t>
            </w: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Putnam Asset Allocation: Growth Fund*</w:t>
            </w:r>
          </w:p>
        </w:tc>
        <w:tc>
          <w:tcPr>
            <w:tcW w:w="18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1,113,487</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8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12,292,893</w:t>
            </w: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Putnam Asset Allocation: Balanced Fund*</w:t>
            </w:r>
          </w:p>
        </w:tc>
        <w:tc>
          <w:tcPr>
            <w:tcW w:w="18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1,431,326</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8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15,501,264</w:t>
            </w: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Putnam Asset Allocation: Conservative Fund*</w:t>
            </w:r>
          </w:p>
        </w:tc>
        <w:tc>
          <w:tcPr>
            <w:tcW w:w="18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598,003</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8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5,543,485</w:t>
            </w: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Putnam Growth Opportunities Fund - International*</w:t>
            </w:r>
          </w:p>
        </w:tc>
        <w:tc>
          <w:tcPr>
            <w:tcW w:w="18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601,434</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8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14,915,573</w:t>
            </w: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Putnam Growth Opportunities Fund*</w:t>
            </w:r>
          </w:p>
        </w:tc>
        <w:tc>
          <w:tcPr>
            <w:tcW w:w="18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247,467</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8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5,456,646</w:t>
            </w: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Putnam Voyager Fund*</w:t>
            </w:r>
          </w:p>
        </w:tc>
        <w:tc>
          <w:tcPr>
            <w:tcW w:w="18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2,922,702</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8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69,881,808</w:t>
            </w: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Lord Abbett Affiliated Fund</w:t>
            </w:r>
          </w:p>
        </w:tc>
        <w:tc>
          <w:tcPr>
            <w:tcW w:w="18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39,242</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8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618,461</w:t>
            </w: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UAM ICM Small Company Portfolio</w:t>
            </w:r>
          </w:p>
        </w:tc>
        <w:tc>
          <w:tcPr>
            <w:tcW w:w="18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68,366</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8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1,540,964</w:t>
            </w:r>
          </w:p>
        </w:tc>
      </w:tr>
      <w:tr>
        <w:trPr>
          <w:trHeight w:val="182"/>
        </w:trPr>
        <w:tc>
          <w:tcPr>
            <w:tcW w:w="63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8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w:t>
            </w:r>
          </w:p>
        </w:tc>
      </w:tr>
      <w:tr>
        <w:trPr>
          <w:trHeight w:val="364"/>
        </w:trPr>
        <w:tc>
          <w:tcPr>
            <w:tcW w:w="634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238,865,248</w:t>
            </w:r>
          </w:p>
        </w:tc>
      </w:tr>
      <w:tr>
        <w:trPr>
          <w:trHeight w:val="182"/>
        </w:trPr>
        <w:tc>
          <w:tcPr>
            <w:tcW w:w="63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8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w:t>
            </w: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*Party-in-interest.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**Party-in-interest and nonparticipant-directed.</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1520"/>
          </w:cols>
          <w:pgMar w:left="240" w:top="295" w:right="139"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w:t>
      </w:r>
    </w:p>
    <w:p>
      <w:pPr>
        <w:spacing w:after="0" w:line="364"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Exhibit 23</w:t>
      </w:r>
    </w:p>
    <w:p>
      <w:pPr>
        <w:spacing w:after="0" w:line="200" w:lineRule="exact"/>
        <w:rPr>
          <w:sz w:val="20"/>
          <w:szCs w:val="20"/>
          <w:color w:val="auto"/>
        </w:rPr>
      </w:pPr>
    </w:p>
    <w:p>
      <w:pPr>
        <w:spacing w:after="0" w:line="346"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INDEPENDENT AUDITORS' CONSENT</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Toro Company:</w:t>
      </w:r>
    </w:p>
    <w:p>
      <w:pPr>
        <w:spacing w:after="0" w:line="368"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We consent to incorporation by reference in the Registration Statement No. 33-59563 on Form S-8 of The Toro Company of our report dated June 15, 2001, relating to the statements of net assets available for plan benefits of The Toro Company Investment and Savings Plan as of December 31, 2000 and 1999, and the related statements of changes in net assets available for plan benefits for the years then ended and supplemental schedule as of December 31, 2000, which report is included in Form 11-K of The Toro Company.</w:t>
      </w:r>
    </w:p>
    <w:p>
      <w:pPr>
        <w:sectPr>
          <w:pgSz w:w="11900" w:h="16838" w:orient="portrait"/>
          <w:cols w:equalWidth="0" w:num="1">
            <w:col w:w="10219"/>
          </w:cols>
          <w:pgMar w:left="240" w:top="138" w:right="1440" w:bottom="1440" w:gutter="0" w:footer="0" w:header="0"/>
        </w:sect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29, 2001</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 LLP</w:t>
      </w:r>
    </w:p>
    <w:sectPr>
      <w:pgSz w:w="11900" w:h="16838" w:orient="portrait"/>
      <w:cols w:equalWidth="0" w:num="2">
        <w:col w:w="5140" w:space="720"/>
        <w:col w:w="4359"/>
      </w:cols>
      <w:pgMar w:left="240" w:top="13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upperLetter"/>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3"/>
    </w:lvl>
  </w:abstractNum>
  <w:abstractNum w:abstractNumId="6">
    <w:nsid w:val="41B71EFB"/>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2019-12-13T13:43:06Z</dcterms:created>
  <dcterms:modified xsi:type="dcterms:W3CDTF">2019-12-13T13:43:06Z</dcterms:modified>
</cp:coreProperties>
</file>