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09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960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3"/>
        <w:spacing w:after="0"/>
        <w:rPr>
          <w:sz w:val="20"/>
          <w:szCs w:val="20"/>
          <w:color w:val="auto"/>
        </w:rPr>
      </w:pPr>
      <w:r>
        <w:rPr>
          <w:rFonts w:ascii="Arial" w:cs="Arial" w:eastAsia="Arial" w:hAnsi="Arial"/>
          <w:sz w:val="17"/>
          <w:szCs w:val="17"/>
          <w:color w:val="0000FF"/>
        </w:rPr>
        <w:t>VP, Commercial Business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2"/>
          </w:tcPr>
          <w:p>
            <w:pPr>
              <w:ind w:left="760"/>
              <w:spacing w:after="0"/>
              <w:rPr>
                <w:sz w:val="20"/>
                <w:szCs w:val="20"/>
                <w:color w:val="auto"/>
              </w:rPr>
            </w:pPr>
            <w:r>
              <w:rPr>
                <w:rFonts w:ascii="Arial" w:cs="Arial" w:eastAsia="Arial" w:hAnsi="Arial"/>
                <w:sz w:val="17"/>
                <w:szCs w:val="17"/>
                <w:color w:val="0000FF"/>
              </w:rPr>
              <w:t>09/14/2009</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220"/>
              <w:spacing w:after="0"/>
              <w:rPr>
                <w:sz w:val="20"/>
                <w:szCs w:val="20"/>
                <w:color w:val="auto"/>
              </w:rPr>
            </w:pPr>
            <w:r>
              <w:rPr>
                <w:rFonts w:ascii="Arial" w:cs="Arial" w:eastAsia="Arial" w:hAnsi="Arial"/>
                <w:sz w:val="17"/>
                <w:szCs w:val="17"/>
                <w:color w:val="0000FF"/>
              </w:rPr>
              <w:t>2,000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37.02</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3"/>
              </w:rPr>
              <w:t>2,000</w:t>
            </w: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80" w:type="dxa"/>
            <w:vAlign w:val="bottom"/>
            <w:gridSpan w:val="2"/>
          </w:tcPr>
          <w:p>
            <w:pPr>
              <w:ind w:left="760"/>
              <w:spacing w:after="0"/>
              <w:rPr>
                <w:sz w:val="20"/>
                <w:szCs w:val="20"/>
                <w:color w:val="auto"/>
              </w:rPr>
            </w:pPr>
            <w:r>
              <w:rPr>
                <w:rFonts w:ascii="Arial" w:cs="Arial" w:eastAsia="Arial" w:hAnsi="Arial"/>
                <w:sz w:val="17"/>
                <w:szCs w:val="17"/>
                <w:color w:val="0000FF"/>
              </w:rPr>
              <w:t>09/14/2009</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Pr>
          <w:p>
            <w:pPr>
              <w:ind w:left="220"/>
              <w:spacing w:after="0"/>
              <w:rPr>
                <w:sz w:val="20"/>
                <w:szCs w:val="20"/>
                <w:color w:val="auto"/>
              </w:rPr>
            </w:pPr>
            <w:r>
              <w:rPr>
                <w:rFonts w:ascii="Arial" w:cs="Arial" w:eastAsia="Arial" w:hAnsi="Arial"/>
                <w:sz w:val="17"/>
                <w:szCs w:val="17"/>
                <w:color w:val="0000FF"/>
              </w:rPr>
              <w:t>2,000</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40.453</w:t>
            </w:r>
          </w:p>
        </w:tc>
        <w:tc>
          <w:tcPr>
            <w:tcW w:w="760" w:type="dxa"/>
            <w:vAlign w:val="bottom"/>
          </w:tcPr>
          <w:p>
            <w:pPr>
              <w:jc w:val="center"/>
              <w:ind w:left="374"/>
              <w:spacing w:after="0"/>
              <w:rPr>
                <w:sz w:val="20"/>
                <w:szCs w:val="20"/>
                <w:color w:val="auto"/>
              </w:rPr>
            </w:pPr>
            <w:r>
              <w:rPr>
                <w:rFonts w:ascii="Arial" w:cs="Arial" w:eastAsia="Arial" w:hAnsi="Arial"/>
                <w:sz w:val="17"/>
                <w:szCs w:val="17"/>
                <w:color w:val="0000FF"/>
                <w:w w:val="84"/>
              </w:rPr>
              <w:t>0</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3,263.294</w:t>
            </w:r>
            <w:r>
              <w:rPr>
                <w:rFonts w:ascii="Arial" w:cs="Arial" w:eastAsia="Arial" w:hAnsi="Arial"/>
                <w:sz w:val="22"/>
                <w:szCs w:val="22"/>
                <w:color w:val="008000"/>
                <w:w w:val="89"/>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37.02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09/14/2009</w:t>
            </w:r>
          </w:p>
        </w:tc>
        <w:tc>
          <w:tcPr>
            <w:tcW w:w="1180" w:type="dxa"/>
            <w:vAlign w:val="bottom"/>
          </w:tcPr>
          <w:p>
            <w:pPr>
              <w:spacing w:after="0"/>
              <w:rPr>
                <w:sz w:val="18"/>
                <w:szCs w:val="18"/>
                <w:color w:val="auto"/>
              </w:rPr>
            </w:pPr>
          </w:p>
        </w:tc>
        <w:tc>
          <w:tcPr>
            <w:tcW w:w="500" w:type="dxa"/>
            <w:vAlign w:val="bottom"/>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8"/>
                <w:szCs w:val="18"/>
                <w:color w:val="auto"/>
              </w:rPr>
            </w:pPr>
          </w:p>
        </w:tc>
        <w:tc>
          <w:tcPr>
            <w:tcW w:w="840" w:type="dxa"/>
            <w:vAlign w:val="bottom"/>
          </w:tcPr>
          <w:p>
            <w:pPr>
              <w:ind w:left="400"/>
              <w:spacing w:after="0"/>
              <w:rPr>
                <w:sz w:val="20"/>
                <w:szCs w:val="20"/>
                <w:color w:val="auto"/>
              </w:rPr>
            </w:pPr>
            <w:r>
              <w:rPr>
                <w:rFonts w:ascii="Arial" w:cs="Arial" w:eastAsia="Arial" w:hAnsi="Arial"/>
                <w:sz w:val="13"/>
                <w:szCs w:val="13"/>
                <w:color w:val="0000FF"/>
              </w:rPr>
              <w:t>2,000</w:t>
            </w:r>
          </w:p>
        </w:tc>
        <w:tc>
          <w:tcPr>
            <w:tcW w:w="800" w:type="dxa"/>
            <w:vAlign w:val="bottom"/>
          </w:tcPr>
          <w:p>
            <w:pPr>
              <w:spacing w:after="0" w:line="212" w:lineRule="exact"/>
              <w:rPr>
                <w:sz w:val="20"/>
                <w:szCs w:val="20"/>
                <w:color w:val="auto"/>
              </w:rPr>
            </w:pPr>
            <w:r>
              <w:rPr>
                <w:rFonts w:ascii="Arial" w:cs="Arial" w:eastAsia="Arial" w:hAnsi="Arial"/>
                <w:sz w:val="13"/>
                <w:szCs w:val="13"/>
                <w:color w:val="0000FF"/>
                <w:w w:val="93"/>
              </w:rPr>
              <w:t>12/02/2006</w:t>
            </w:r>
            <w:r>
              <w:rPr>
                <w:rFonts w:ascii="Arial" w:cs="Arial" w:eastAsia="Arial" w:hAnsi="Arial"/>
                <w:sz w:val="22"/>
                <w:szCs w:val="22"/>
                <w:color w:val="008000"/>
                <w:w w:val="93"/>
                <w:vertAlign w:val="superscript"/>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12/02/2009</w:t>
            </w:r>
          </w:p>
        </w:tc>
        <w:tc>
          <w:tcPr>
            <w:tcW w:w="600" w:type="dxa"/>
            <w:vAlign w:val="bottom"/>
          </w:tcPr>
          <w:p>
            <w:pPr>
              <w:ind w:left="80"/>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60"/>
              <w:spacing w:after="0"/>
              <w:rPr>
                <w:sz w:val="20"/>
                <w:szCs w:val="20"/>
                <w:color w:val="auto"/>
              </w:rPr>
            </w:pPr>
            <w:r>
              <w:rPr>
                <w:rFonts w:ascii="Arial" w:cs="Arial" w:eastAsia="Arial" w:hAnsi="Arial"/>
                <w:sz w:val="17"/>
                <w:szCs w:val="17"/>
                <w:color w:val="0000FF"/>
              </w:rPr>
              <w:t>2,000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ind w:left="180"/>
              <w:spacing w:after="0" w:line="95"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second anniversary of the date of grant.</w:t>
      </w:r>
    </w:p>
    <w:p>
      <w:pPr>
        <w:spacing w:after="0" w:line="51" w:lineRule="exact"/>
        <w:rPr>
          <w:rFonts w:ascii="Arial" w:cs="Arial" w:eastAsia="Arial" w:hAnsi="Arial"/>
          <w:sz w:val="13"/>
          <w:szCs w:val="13"/>
          <w:color w:val="008000"/>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(IS&amp;ESOP) since the date of his last report: 12.246 shares acquired on January 12, 2009, 18.488 shares acquired on April 13, 2009 and 16.348 shares acquired on July 10, 2009. Also includes 313.519 shares of common stock acquired by the reporting person through individual and issuer matching contributions to the IS&amp;ESOP since the date of his last report and account adjustments (rounding) of 0.396 shares of common stock since the date of his last report.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Amy E. Dahl,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09/16/2009</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197" w:lineRule="exact"/>
        <w:rPr>
          <w:sz w:val="20"/>
          <w:szCs w:val="20"/>
          <w:color w:val="auto"/>
        </w:rPr>
      </w:pPr>
    </w:p>
    <w:p>
      <w:pPr>
        <w:ind w:right="3399" w:firstLine="7"/>
        <w:spacing w:after="0" w:line="254"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4" w:lineRule="exact"/>
        <w:rPr>
          <w:rFonts w:ascii="Courier New" w:cs="Courier New" w:eastAsia="Courier New" w:hAnsi="Courier New"/>
          <w:sz w:val="17"/>
          <w:szCs w:val="17"/>
          <w:color w:val="auto"/>
        </w:rPr>
      </w:pPr>
    </w:p>
    <w:p>
      <w:pPr>
        <w:ind w:right="3499" w:firstLine="7"/>
        <w:spacing w:after="0" w:line="252"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29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01"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Michael J. Happe</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Michael J. Happe</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02/10/2009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2019-12-16T23:56:35Z</dcterms:created>
  <dcterms:modified xsi:type="dcterms:W3CDTF">2019-12-16T23:56:35Z</dcterms:modified>
</cp:coreProperties>
</file>