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1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144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702"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80" w:type="dxa"/>
            <w:vAlign w:val="bottom"/>
            <w:gridSpan w:val="6"/>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440" w:type="dxa"/>
            <w:vAlign w:val="bottom"/>
          </w:tcPr>
          <w:p>
            <w:pPr>
              <w:spacing w:after="0"/>
              <w:rPr>
                <w:sz w:val="2"/>
                <w:szCs w:val="2"/>
                <w:color w:val="auto"/>
              </w:rPr>
            </w:pPr>
          </w:p>
        </w:tc>
        <w:tc>
          <w:tcPr>
            <w:tcW w:w="3380" w:type="dxa"/>
            <w:vAlign w:val="bottom"/>
            <w:gridSpan w:val="5"/>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33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20" w:type="dxa"/>
            <w:vAlign w:val="bottom"/>
          </w:tcPr>
          <w:p>
            <w:pPr>
              <w:jc w:val="right"/>
              <w:ind w:right="285"/>
              <w:spacing w:after="0"/>
              <w:rPr>
                <w:sz w:val="20"/>
                <w:szCs w:val="20"/>
                <w:color w:val="auto"/>
              </w:rPr>
            </w:pPr>
            <w:r>
              <w:rPr>
                <w:rFonts w:ascii="Arial" w:cs="Arial" w:eastAsia="Arial" w:hAnsi="Arial"/>
                <w:sz w:val="18"/>
                <w:szCs w:val="18"/>
                <w:color w:val="0000FF"/>
              </w:rPr>
              <w:t>55420-1196</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4"/>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3180" w:type="dxa"/>
            <w:vAlign w:val="bottom"/>
            <w:gridSpan w:val="4"/>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6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ind w:left="3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6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2"/>
          </w:tcPr>
          <w:p>
            <w:pPr>
              <w:ind w:left="1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2"/>
          </w:tcPr>
          <w:p>
            <w:pPr>
              <w:ind w:left="1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4"/>
                <w:szCs w:val="24"/>
                <w:color w:val="auto"/>
              </w:rPr>
            </w:pP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0000FF"/>
              </w:rPr>
              <w:t>06/29/2015</w:t>
            </w:r>
          </w:p>
        </w:tc>
        <w:tc>
          <w:tcPr>
            <w:tcW w:w="114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jc w:val="center"/>
              <w:ind w:right="115"/>
              <w:spacing w:after="0" w:line="324" w:lineRule="exact"/>
              <w:rPr>
                <w:sz w:val="20"/>
                <w:szCs w:val="20"/>
                <w:color w:val="auto"/>
              </w:rPr>
            </w:pPr>
            <w:r>
              <w:rPr>
                <w:rFonts w:ascii="Arial" w:cs="Arial" w:eastAsia="Arial" w:hAnsi="Arial"/>
                <w:sz w:val="35"/>
                <w:szCs w:val="35"/>
                <w:color w:val="0000FF"/>
                <w:vertAlign w:val="subscript"/>
              </w:rPr>
              <w:t>20</w:t>
            </w:r>
            <w:r>
              <w:rPr>
                <w:rFonts w:ascii="Arial" w:cs="Arial" w:eastAsia="Arial" w:hAnsi="Arial"/>
                <w:sz w:val="11"/>
                <w:szCs w:val="11"/>
                <w:color w:val="008000"/>
              </w:rPr>
              <w:t>(1)</w:t>
            </w:r>
          </w:p>
        </w:tc>
        <w:tc>
          <w:tcPr>
            <w:tcW w:w="540" w:type="dxa"/>
            <w:vAlign w:val="bottom"/>
          </w:tcPr>
          <w:p>
            <w:pPr>
              <w:jc w:val="center"/>
              <w:ind w:left="26"/>
              <w:spacing w:after="0"/>
              <w:rPr>
                <w:sz w:val="20"/>
                <w:szCs w:val="20"/>
                <w:color w:val="auto"/>
              </w:rPr>
            </w:pPr>
            <w:r>
              <w:rPr>
                <w:rFonts w:ascii="Arial" w:cs="Arial" w:eastAsia="Arial" w:hAnsi="Arial"/>
                <w:sz w:val="18"/>
                <w:szCs w:val="18"/>
                <w:color w:val="0000FF"/>
                <w:w w:val="99"/>
              </w:rPr>
              <w:t>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2"/>
          </w:tcPr>
          <w:p>
            <w:pPr>
              <w:jc w:val="center"/>
              <w:ind w:left="139"/>
              <w:spacing w:after="0"/>
              <w:rPr>
                <w:sz w:val="20"/>
                <w:szCs w:val="20"/>
                <w:color w:val="auto"/>
              </w:rPr>
            </w:pPr>
            <w:r>
              <w:rPr>
                <w:rFonts w:ascii="Arial" w:cs="Arial" w:eastAsia="Arial" w:hAnsi="Arial"/>
                <w:sz w:val="18"/>
                <w:szCs w:val="18"/>
                <w:color w:val="0000FF"/>
                <w:w w:val="79"/>
              </w:rPr>
              <w:t>20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top w:val="single" w:sz="8" w:color="2C2C2C"/>
              <w:bottom w:val="single" w:sz="8" w:color="2C2C2C"/>
            </w:tcBorders>
          </w:tcPr>
          <w:p>
            <w:pPr>
              <w:spacing w:after="0"/>
              <w:rPr>
                <w:sz w:val="24"/>
                <w:szCs w:val="24"/>
                <w:color w:val="auto"/>
              </w:rPr>
            </w:pPr>
          </w:p>
        </w:tc>
        <w:tc>
          <w:tcPr>
            <w:tcW w:w="2260" w:type="dxa"/>
            <w:vAlign w:val="bottom"/>
            <w:tcBorders>
              <w:top w:val="single" w:sz="8" w:color="2C2C2C"/>
              <w:bottom w:val="single" w:sz="8" w:color="2C2C2C"/>
            </w:tcBorders>
            <w:gridSpan w:val="2"/>
          </w:tcPr>
          <w:p>
            <w:pPr>
              <w:jc w:val="right"/>
              <w:ind w:right="112"/>
              <w:spacing w:after="0"/>
              <w:rPr>
                <w:sz w:val="20"/>
                <w:szCs w:val="20"/>
                <w:color w:val="auto"/>
              </w:rPr>
            </w:pPr>
            <w:r>
              <w:rPr>
                <w:rFonts w:ascii="Arial" w:cs="Arial" w:eastAsia="Arial" w:hAnsi="Arial"/>
                <w:sz w:val="18"/>
                <w:szCs w:val="18"/>
                <w:color w:val="0000FF"/>
              </w:rPr>
              <w:t>09/17/2015</w:t>
            </w:r>
          </w:p>
        </w:tc>
        <w:tc>
          <w:tcPr>
            <w:tcW w:w="11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top w:val="single" w:sz="8" w:color="2C2C2C"/>
              <w:bottom w:val="single" w:sz="8" w:color="2C2C2C"/>
            </w:tcBorders>
          </w:tcPr>
          <w:p>
            <w:pPr>
              <w:jc w:val="right"/>
              <w:ind w:right="75"/>
              <w:spacing w:after="0"/>
              <w:rPr>
                <w:sz w:val="20"/>
                <w:szCs w:val="20"/>
                <w:color w:val="auto"/>
              </w:rPr>
            </w:pPr>
            <w:r>
              <w:rPr>
                <w:rFonts w:ascii="Arial" w:cs="Arial" w:eastAsia="Arial" w:hAnsi="Arial"/>
                <w:sz w:val="18"/>
                <w:szCs w:val="18"/>
                <w:color w:val="0000FF"/>
              </w:rPr>
              <w:t>1,610</w:t>
            </w:r>
          </w:p>
        </w:tc>
        <w:tc>
          <w:tcPr>
            <w:tcW w:w="540" w:type="dxa"/>
            <w:vAlign w:val="bottom"/>
            <w:tcBorders>
              <w:top w:val="single" w:sz="8" w:color="2C2C2C"/>
              <w:bottom w:val="single" w:sz="8" w:color="2C2C2C"/>
            </w:tcBorders>
          </w:tcPr>
          <w:p>
            <w:pPr>
              <w:jc w:val="center"/>
              <w:ind w:left="26"/>
              <w:spacing w:after="0"/>
              <w:rPr>
                <w:sz w:val="20"/>
                <w:szCs w:val="20"/>
                <w:color w:val="auto"/>
              </w:rPr>
            </w:pPr>
            <w:r>
              <w:rPr>
                <w:rFonts w:ascii="Arial" w:cs="Arial" w:eastAsia="Arial" w:hAnsi="Arial"/>
                <w:sz w:val="18"/>
                <w:szCs w:val="18"/>
                <w:color w:val="0000FF"/>
                <w:w w:val="91"/>
              </w:rPr>
              <w:t>D</w:t>
            </w:r>
          </w:p>
        </w:tc>
        <w:tc>
          <w:tcPr>
            <w:tcW w:w="44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top w:val="single" w:sz="8" w:color="2C2C2C"/>
              <w:bottom w:val="single" w:sz="8" w:color="2C2C2C"/>
            </w:tcBorders>
            <w:gridSpan w:val="2"/>
          </w:tcPr>
          <w:p>
            <w:pPr>
              <w:jc w:val="center"/>
              <w:ind w:left="139"/>
              <w:spacing w:after="0"/>
              <w:rPr>
                <w:sz w:val="20"/>
                <w:szCs w:val="20"/>
                <w:color w:val="auto"/>
              </w:rPr>
            </w:pPr>
            <w:r>
              <w:rPr>
                <w:rFonts w:ascii="Arial" w:cs="Arial" w:eastAsia="Arial" w:hAnsi="Arial"/>
                <w:sz w:val="18"/>
                <w:szCs w:val="18"/>
                <w:color w:val="0000FF"/>
                <w:w w:val="84"/>
              </w:rPr>
              <w:t>560,464.652</w:t>
            </w:r>
            <w:r>
              <w:rPr>
                <w:rFonts w:ascii="Arial" w:cs="Arial" w:eastAsia="Arial" w:hAnsi="Arial"/>
                <w:sz w:val="22"/>
                <w:szCs w:val="22"/>
                <w:color w:val="008000"/>
                <w:w w:val="84"/>
                <w:vertAlign w:val="superscript"/>
              </w:rPr>
              <w:t>(2)</w:t>
            </w:r>
          </w:p>
        </w:tc>
        <w:tc>
          <w:tcPr>
            <w:tcW w:w="9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Michael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Hoffman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left="139"/>
              <w:spacing w:after="0" w:line="217" w:lineRule="exact"/>
              <w:rPr>
                <w:sz w:val="20"/>
                <w:szCs w:val="20"/>
                <w:color w:val="auto"/>
              </w:rPr>
            </w:pPr>
            <w:r>
              <w:rPr>
                <w:rFonts w:ascii="Arial" w:cs="Arial" w:eastAsia="Arial" w:hAnsi="Arial"/>
                <w:sz w:val="18"/>
                <w:szCs w:val="18"/>
                <w:color w:val="0000FF"/>
                <w:w w:val="84"/>
              </w:rPr>
              <w:t>123,998.093</w:t>
            </w:r>
            <w:r>
              <w:rPr>
                <w:rFonts w:ascii="Arial" w:cs="Arial" w:eastAsia="Arial" w:hAnsi="Arial"/>
                <w:sz w:val="22"/>
                <w:szCs w:val="22"/>
                <w:color w:val="008000"/>
                <w:w w:val="84"/>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Lifetime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left="139"/>
              <w:spacing w:after="0" w:line="217" w:lineRule="exact"/>
              <w:rPr>
                <w:sz w:val="20"/>
                <w:szCs w:val="20"/>
                <w:color w:val="auto"/>
              </w:rPr>
            </w:pPr>
            <w:r>
              <w:rPr>
                <w:rFonts w:ascii="Arial" w:cs="Arial" w:eastAsia="Arial" w:hAnsi="Arial"/>
                <w:sz w:val="18"/>
                <w:szCs w:val="18"/>
                <w:color w:val="0000FF"/>
                <w:w w:val="85"/>
              </w:rPr>
              <w:t>67,245.592</w:t>
            </w:r>
            <w:r>
              <w:rPr>
                <w:rFonts w:ascii="Arial" w:cs="Arial" w:eastAsia="Arial" w:hAnsi="Arial"/>
                <w:sz w:val="22"/>
                <w:szCs w:val="22"/>
                <w:color w:val="008000"/>
                <w:w w:val="85"/>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involved a gift of securities by a non-family member to the reporting person's son, who shares the reporting person's household. The reporting person disclaims beneficial ownership of the shares held by his son, and this report should not be deemed an admission that the reporting person is the beneficial owner of his son's shares for purposes of Section 16 or for any other purpose.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1,283.867 shares of common stock acquired by the reporting person under The Toro Company Dividend Reinvestment Plan (the "DRIP")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451.223 shares of common stock acquired by the reporting person under the DRIP since the date of his last report.</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244.154 net shares acquired by the reporting person since the date of his last report under the dividend reinvestment feature of The Toro Company Investment, Savings &amp; ESOP less quarterly non-discretionary administrative fees.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09/24/2015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2019-12-23T20:51:35Z</dcterms:created>
  <dcterms:modified xsi:type="dcterms:W3CDTF">2019-12-23T20:51:35Z</dcterms:modified>
</cp:coreProperties>
</file>