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76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6148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7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Larson Thomas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3"/>
        <w:spacing w:after="0"/>
        <w:rPr>
          <w:sz w:val="20"/>
          <w:szCs w:val="20"/>
          <w:color w:val="auto"/>
        </w:rPr>
      </w:pPr>
      <w:r>
        <w:rPr>
          <w:rFonts w:ascii="Arial" w:cs="Arial" w:eastAsia="Arial" w:hAnsi="Arial"/>
          <w:sz w:val="17"/>
          <w:szCs w:val="17"/>
          <w:color w:val="0000FF"/>
        </w:rPr>
        <w:t>VP, Treasurer</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72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7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09/15/2009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8"/>
              <w:spacing w:after="0"/>
              <w:rPr>
                <w:sz w:val="20"/>
                <w:szCs w:val="20"/>
                <w:color w:val="auto"/>
              </w:rPr>
            </w:pPr>
            <w:r>
              <w:rPr>
                <w:rFonts w:ascii="Arial" w:cs="Arial" w:eastAsia="Arial" w:hAnsi="Arial"/>
                <w:sz w:val="13"/>
                <w:szCs w:val="13"/>
                <w:color w:val="0000FF"/>
              </w:rPr>
              <w:t>M</w:t>
            </w:r>
          </w:p>
        </w:tc>
        <w:tc>
          <w:tcPr>
            <w:tcW w:w="680" w:type="dxa"/>
            <w:vAlign w:val="bottom"/>
          </w:tcPr>
          <w:p>
            <w:pPr>
              <w:jc w:val="center"/>
              <w:spacing w:after="0"/>
              <w:rPr>
                <w:sz w:val="20"/>
                <w:szCs w:val="20"/>
                <w:color w:val="auto"/>
              </w:rPr>
            </w:pPr>
            <w:r>
              <w:rPr>
                <w:rFonts w:ascii="Arial" w:cs="Arial" w:eastAsia="Arial" w:hAnsi="Arial"/>
                <w:sz w:val="17"/>
                <w:szCs w:val="17"/>
                <w:color w:val="0000FF"/>
                <w:w w:val="93"/>
              </w:rPr>
              <w:t>2,470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37.02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2,868.165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09/15/2009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Pr>
          <w:p>
            <w:pPr>
              <w:jc w:val="center"/>
              <w:spacing w:after="0"/>
              <w:rPr>
                <w:sz w:val="20"/>
                <w:szCs w:val="20"/>
                <w:color w:val="auto"/>
              </w:rPr>
            </w:pPr>
            <w:r>
              <w:rPr>
                <w:rFonts w:ascii="Arial" w:cs="Arial" w:eastAsia="Arial" w:hAnsi="Arial"/>
                <w:sz w:val="17"/>
                <w:szCs w:val="17"/>
                <w:color w:val="0000FF"/>
                <w:w w:val="93"/>
              </w:rPr>
              <w:t>1,170</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39.89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1,698.165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09/15/2009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Pr>
          <w:p>
            <w:pPr>
              <w:jc w:val="center"/>
              <w:spacing w:after="0"/>
              <w:rPr>
                <w:sz w:val="20"/>
                <w:szCs w:val="20"/>
                <w:color w:val="auto"/>
              </w:rPr>
            </w:pPr>
            <w:r>
              <w:rPr>
                <w:rFonts w:ascii="Arial" w:cs="Arial" w:eastAsia="Arial" w:hAnsi="Arial"/>
                <w:sz w:val="17"/>
                <w:szCs w:val="17"/>
                <w:color w:val="0000FF"/>
                <w:w w:val="91"/>
              </w:rPr>
              <w:t>700</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39.9</w:t>
            </w: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1"/>
              </w:rPr>
              <w:t>998.165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6"/>
              <w:spacing w:after="0"/>
              <w:rPr>
                <w:sz w:val="20"/>
                <w:szCs w:val="20"/>
                <w:color w:val="auto"/>
              </w:rPr>
            </w:pPr>
            <w:r>
              <w:rPr>
                <w:rFonts w:ascii="Arial" w:cs="Arial" w:eastAsia="Arial" w:hAnsi="Arial"/>
                <w:sz w:val="17"/>
                <w:szCs w:val="17"/>
                <w:color w:val="0000FF"/>
                <w:w w:val="93"/>
              </w:rPr>
              <w:t>09/15/2009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39.92</w:t>
            </w: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1"/>
              </w:rPr>
              <w:t>498.165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93"/>
              </w:rPr>
              <w:t>09/15/2009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39.93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398.165</w:t>
            </w:r>
            <w:r>
              <w:rPr>
                <w:rFonts w:ascii="Arial" w:cs="Arial" w:eastAsia="Arial" w:hAnsi="Arial"/>
                <w:sz w:val="22"/>
                <w:szCs w:val="22"/>
                <w:color w:val="008000"/>
                <w:w w:val="88"/>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center"/>
              <w:ind w:right="19"/>
              <w:spacing w:after="0" w:line="214" w:lineRule="exact"/>
              <w:rPr>
                <w:sz w:val="20"/>
                <w:szCs w:val="20"/>
                <w:color w:val="auto"/>
              </w:rPr>
            </w:pPr>
            <w:r>
              <w:rPr>
                <w:rFonts w:ascii="Arial" w:cs="Arial" w:eastAsia="Arial" w:hAnsi="Arial"/>
                <w:sz w:val="17"/>
                <w:szCs w:val="17"/>
                <w:color w:val="0000FF"/>
                <w:w w:val="89"/>
              </w:rPr>
              <w:t>1,432.785</w:t>
            </w:r>
            <w:r>
              <w:rPr>
                <w:rFonts w:ascii="Arial" w:cs="Arial" w:eastAsia="Arial" w:hAnsi="Arial"/>
                <w:sz w:val="22"/>
                <w:szCs w:val="22"/>
                <w:color w:val="008000"/>
                <w:w w:val="89"/>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47"/>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3560" w:type="dxa"/>
            <w:vAlign w:val="bottom"/>
            <w:tcBorders>
              <w:bottom w:val="single" w:sz="8" w:color="2C2C2C"/>
            </w:tcBorders>
            <w:gridSpan w:val="5"/>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09/15/2009</w:t>
            </w:r>
          </w:p>
        </w:tc>
        <w:tc>
          <w:tcPr>
            <w:tcW w:w="11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00" w:type="dxa"/>
            <w:vAlign w:val="bottom"/>
          </w:tcPr>
          <w:p>
            <w:pPr>
              <w:ind w:left="400"/>
              <w:spacing w:after="0"/>
              <w:rPr>
                <w:sz w:val="20"/>
                <w:szCs w:val="20"/>
                <w:color w:val="auto"/>
              </w:rPr>
            </w:pPr>
            <w:r>
              <w:rPr>
                <w:rFonts w:ascii="Arial" w:cs="Arial" w:eastAsia="Arial" w:hAnsi="Arial"/>
                <w:sz w:val="13"/>
                <w:szCs w:val="13"/>
                <w:color w:val="0000FF"/>
              </w:rPr>
              <w:t>2,470</w:t>
            </w:r>
          </w:p>
        </w:tc>
        <w:tc>
          <w:tcPr>
            <w:tcW w:w="920" w:type="dxa"/>
            <w:vAlign w:val="bottom"/>
            <w:gridSpan w:val="2"/>
          </w:tcPr>
          <w:p>
            <w:pPr>
              <w:ind w:left="40"/>
              <w:spacing w:after="0" w:line="212" w:lineRule="exact"/>
              <w:rPr>
                <w:sz w:val="20"/>
                <w:szCs w:val="20"/>
                <w:color w:val="auto"/>
              </w:rPr>
            </w:pPr>
            <w:r>
              <w:rPr>
                <w:rFonts w:ascii="Arial" w:cs="Arial" w:eastAsia="Arial" w:hAnsi="Arial"/>
                <w:sz w:val="13"/>
                <w:szCs w:val="13"/>
                <w:color w:val="0000FF"/>
              </w:rPr>
              <w:t>12/02/2006</w:t>
            </w:r>
            <w:r>
              <w:rPr>
                <w:rFonts w:ascii="Arial" w:cs="Arial" w:eastAsia="Arial" w:hAnsi="Arial"/>
                <w:sz w:val="22"/>
                <w:szCs w:val="22"/>
                <w:color w:val="008000"/>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12/02/2009</w:t>
            </w:r>
          </w:p>
        </w:tc>
        <w:tc>
          <w:tcPr>
            <w:tcW w:w="64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ind w:left="120"/>
              <w:spacing w:after="0"/>
              <w:rPr>
                <w:sz w:val="20"/>
                <w:szCs w:val="20"/>
                <w:color w:val="auto"/>
              </w:rPr>
            </w:pPr>
            <w:r>
              <w:rPr>
                <w:rFonts w:ascii="Arial" w:cs="Arial" w:eastAsia="Arial" w:hAnsi="Arial"/>
                <w:sz w:val="17"/>
                <w:szCs w:val="17"/>
                <w:color w:val="0000FF"/>
              </w:rPr>
              <w:t>2,470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Toro Company Dividend Reinvestment Plan since the date of his last report: 1.081 shares acquired on January 12, 2009, 1.487 shares acquired on April 13, 2009 and 1.309 shares acquired on July 10, 2009.</w:t>
      </w:r>
    </w:p>
    <w:p>
      <w:pPr>
        <w:spacing w:after="0" w:line="10"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(IS&amp;ESOP) since the date of his last report: 5.262 shares acquired on January 12, 2009, 8.201 shares acquired on April 13, 2009 and 7.21 shares acquired on July 10, 2009. Also includes 163.857 shares of common stock acquired by the reporting person through issuer matching contributions to the IS&amp;ESOP since the date of his last report.</w:t>
      </w:r>
    </w:p>
    <w:p>
      <w:pPr>
        <w:spacing w:after="0" w:line="2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second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09/16/2009</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72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197" w:lineRule="exact"/>
        <w:rPr>
          <w:sz w:val="20"/>
          <w:szCs w:val="20"/>
          <w:color w:val="auto"/>
        </w:rPr>
      </w:pPr>
    </w:p>
    <w:p>
      <w:pPr>
        <w:ind w:right="3399" w:firstLine="7"/>
        <w:spacing w:after="0" w:line="254"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4" w:lineRule="exact"/>
        <w:rPr>
          <w:rFonts w:ascii="Courier New" w:cs="Courier New" w:eastAsia="Courier New" w:hAnsi="Courier New"/>
          <w:sz w:val="17"/>
          <w:szCs w:val="17"/>
          <w:color w:val="auto"/>
        </w:rPr>
      </w:pPr>
    </w:p>
    <w:p>
      <w:pPr>
        <w:ind w:right="3499" w:firstLine="7"/>
        <w:spacing w:after="0" w:line="252"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9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1"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Thomas J. Larson</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Thomas J. Larson</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02/09/2009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2019-12-16T23:37:25Z</dcterms:created>
  <dcterms:modified xsi:type="dcterms:W3CDTF">2019-12-16T23:37:25Z</dcterms:modified>
</cp:coreProperties>
</file>