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UNITED STATES</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19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Quarterly Report Pursuant to Section 13 or 15(d) of the</w:t>
      </w:r>
    </w:p>
    <w:p>
      <w:pPr>
        <w:spacing w:after="0" w:line="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9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For the Quarterly Period Ended August 3, 2001</w:t>
      </w:r>
    </w:p>
    <w:p>
      <w:pPr>
        <w:spacing w:after="0" w:line="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Commission File Number 1-8649</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THE TORO COMPANY</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388" w:lineRule="exact"/>
        <w:rPr>
          <w:sz w:val="24"/>
          <w:szCs w:val="24"/>
          <w:color w:val="auto"/>
        </w:rPr>
      </w:pPr>
    </w:p>
    <w:p>
      <w:pPr>
        <w:jc w:val="center"/>
        <w:ind w:right="5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jc w:val="center"/>
        <w:ind w:right="5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5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41-0580470</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320" w:space="720"/>
            <w:col w:w="6179"/>
          </w:cols>
          <w:pgMar w:left="240" w:top="243" w:right="1440" w:bottom="1440" w:gutter="0" w:footer="0" w:header="0"/>
          <w:type w:val="continuous"/>
        </w:sectPr>
      </w:pPr>
    </w:p>
    <w:p>
      <w:pPr>
        <w:spacing w:after="0" w:line="18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8111 LYNDALE AVENUE SOUTH</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BLOOMINGTON, MINNESOTA 55420</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TELEPHONE NUMBER: (952) 888-8801</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(Address, including zip code, and telephone number, including area</w:t>
      </w:r>
    </w:p>
    <w:p>
      <w:pPr>
        <w:sectPr>
          <w:pgSz w:w="11900" w:h="16838" w:orient="portrait"/>
          <w:cols w:equalWidth="0" w:num="1">
            <w:col w:w="10219"/>
          </w:cols>
          <w:pgMar w:left="240" w:top="243" w:right="1440" w:bottom="1440" w:gutter="0" w:footer="0" w:header="0"/>
          <w:type w:val="continuous"/>
        </w:sectPr>
      </w:pP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code, of registrant's principal executive offices)</w:t>
      </w:r>
    </w:p>
    <w:p>
      <w:pPr>
        <w:spacing w:after="0" w:line="388" w:lineRule="exact"/>
        <w:rPr>
          <w:sz w:val="24"/>
          <w:szCs w:val="24"/>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3" w:right="1440" w:bottom="1440" w:gutter="0" w:footer="0" w:header="0"/>
          <w:type w:val="continuous"/>
        </w:sectPr>
      </w:pPr>
    </w:p>
    <w:p>
      <w:pPr>
        <w:spacing w:after="0" w:line="376"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8" w:lineRule="exact"/>
        <w:rPr>
          <w:sz w:val="24"/>
          <w:szCs w:val="24"/>
          <w:color w:val="auto"/>
        </w:rPr>
      </w:pPr>
    </w:p>
    <w:p>
      <w:pPr>
        <w:sectPr>
          <w:pgSz w:w="11900" w:h="16838" w:orient="portrait"/>
          <w:cols w:equalWidth="0" w:num="3">
            <w:col w:w="1380" w:space="600"/>
            <w:col w:w="3120" w:space="720"/>
            <w:col w:w="4399"/>
          </w:cols>
          <w:pgMar w:left="240" w:top="243"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680" w:space="720"/>
            <w:col w:w="3819"/>
          </w:cols>
          <w:pgMar w:left="240" w:top="243" w:right="1440" w:bottom="1440" w:gutter="0" w:footer="0" w:header="0"/>
          <w:type w:val="continuous"/>
        </w:sectPr>
      </w:pPr>
    </w:p>
    <w:p>
      <w:pPr>
        <w:spacing w:after="0" w:line="188" w:lineRule="exact"/>
        <w:rPr>
          <w:sz w:val="24"/>
          <w:szCs w:val="24"/>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The number of shares of Common Stock outstanding as of August 31, 2001 was 12,496,603.</w:t>
      </w: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7"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6"/>
          <w:szCs w:val="16"/>
          <w:color w:val="auto"/>
        </w:rPr>
        <w:t>THE TORO COMPANY</w:t>
      </w:r>
    </w:p>
    <w:p>
      <w:pPr>
        <w:spacing w:after="0" w:line="8"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 Number</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8"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Condensed Consolidated Statements of Earnings (Unaudited) -</w:t>
      </w:r>
    </w:p>
    <w:p>
      <w:pPr>
        <w:spacing w:after="0" w:line="8" w:lineRule="exact"/>
        <w:rPr>
          <w:sz w:val="20"/>
          <w:szCs w:val="20"/>
          <w:color w:val="auto"/>
        </w:rPr>
      </w:pPr>
    </w:p>
    <w:p>
      <w:pPr>
        <w:ind w:left="1880"/>
        <w:spacing w:after="0"/>
        <w:tabs>
          <w:tab w:leader="dot" w:pos="9840" w:val="left"/>
        </w:tabs>
        <w:rPr>
          <w:sz w:val="20"/>
          <w:szCs w:val="20"/>
          <w:color w:val="auto"/>
        </w:rPr>
      </w:pPr>
      <w:r>
        <w:rPr>
          <w:rFonts w:ascii="Courier New" w:cs="Courier New" w:eastAsia="Courier New" w:hAnsi="Courier New"/>
          <w:sz w:val="16"/>
          <w:szCs w:val="16"/>
          <w:color w:val="auto"/>
        </w:rPr>
        <w:t>Three and Nine Months Ended August 3, 2001 and July 28, 2000</w:t>
      </w:r>
      <w:r>
        <w:rPr>
          <w:sz w:val="20"/>
          <w:szCs w:val="20"/>
          <w:color w:val="auto"/>
        </w:rPr>
        <w:tab/>
      </w:r>
      <w:r>
        <w:rPr>
          <w:rFonts w:ascii="Courier New" w:cs="Courier New" w:eastAsia="Courier New" w:hAnsi="Courier New"/>
          <w:sz w:val="16"/>
          <w:szCs w:val="16"/>
          <w:color w:val="auto"/>
        </w:rPr>
        <w:t>3</w:t>
      </w:r>
    </w:p>
    <w:p>
      <w:pPr>
        <w:spacing w:after="0" w:line="19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Condensed Consolidated Balance Sheets (Unaudited) -</w:t>
      </w:r>
    </w:p>
    <w:p>
      <w:pPr>
        <w:spacing w:after="0" w:line="8" w:lineRule="exact"/>
        <w:rPr>
          <w:sz w:val="20"/>
          <w:szCs w:val="20"/>
          <w:color w:val="auto"/>
        </w:rPr>
      </w:pPr>
    </w:p>
    <w:p>
      <w:pPr>
        <w:ind w:left="1880"/>
        <w:spacing w:after="0"/>
        <w:tabs>
          <w:tab w:leader="dot" w:pos="9840" w:val="left"/>
        </w:tabs>
        <w:rPr>
          <w:sz w:val="20"/>
          <w:szCs w:val="20"/>
          <w:color w:val="auto"/>
        </w:rPr>
      </w:pPr>
      <w:r>
        <w:rPr>
          <w:rFonts w:ascii="Courier New" w:cs="Courier New" w:eastAsia="Courier New" w:hAnsi="Courier New"/>
          <w:sz w:val="16"/>
          <w:szCs w:val="16"/>
          <w:color w:val="auto"/>
        </w:rPr>
        <w:t>August 3, 2001, July 28, 2000 and October 31, 2000</w:t>
      </w:r>
      <w:r>
        <w:rPr>
          <w:sz w:val="20"/>
          <w:szCs w:val="20"/>
          <w:color w:val="auto"/>
        </w:rPr>
        <w:tab/>
      </w:r>
      <w:r>
        <w:rPr>
          <w:rFonts w:ascii="Courier New" w:cs="Courier New" w:eastAsia="Courier New" w:hAnsi="Courier New"/>
          <w:sz w:val="16"/>
          <w:szCs w:val="16"/>
          <w:color w:val="auto"/>
        </w:rPr>
        <w:t>4</w:t>
      </w:r>
    </w:p>
    <w:p>
      <w:pPr>
        <w:spacing w:after="0" w:line="19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Condensed Consolidated Statements of Cash Flows (Unaudited) -</w:t>
      </w:r>
    </w:p>
    <w:p>
      <w:pPr>
        <w:spacing w:after="0" w:line="8" w:lineRule="exact"/>
        <w:rPr>
          <w:sz w:val="20"/>
          <w:szCs w:val="20"/>
          <w:color w:val="auto"/>
        </w:rPr>
      </w:pPr>
    </w:p>
    <w:p>
      <w:pPr>
        <w:ind w:left="1880"/>
        <w:spacing w:after="0"/>
        <w:tabs>
          <w:tab w:leader="dot" w:pos="9840" w:val="left"/>
        </w:tabs>
        <w:rPr>
          <w:sz w:val="20"/>
          <w:szCs w:val="20"/>
          <w:color w:val="auto"/>
        </w:rPr>
      </w:pPr>
      <w:r>
        <w:rPr>
          <w:rFonts w:ascii="Courier New" w:cs="Courier New" w:eastAsia="Courier New" w:hAnsi="Courier New"/>
          <w:sz w:val="16"/>
          <w:szCs w:val="16"/>
          <w:color w:val="auto"/>
        </w:rPr>
        <w:t>Nine Months Ended August 3, 2001 and July 28, 2000</w:t>
      </w:r>
      <w:r>
        <w:rPr>
          <w:sz w:val="20"/>
          <w:szCs w:val="20"/>
          <w:color w:val="auto"/>
        </w:rPr>
        <w:tab/>
      </w:r>
      <w:r>
        <w:rPr>
          <w:rFonts w:ascii="Courier New" w:cs="Courier New" w:eastAsia="Courier New" w:hAnsi="Courier New"/>
          <w:sz w:val="16"/>
          <w:szCs w:val="16"/>
          <w:color w:val="auto"/>
        </w:rPr>
        <w:t>5</w:t>
      </w:r>
    </w:p>
    <w:p>
      <w:pPr>
        <w:spacing w:after="0" w:line="198" w:lineRule="exact"/>
        <w:rPr>
          <w:sz w:val="20"/>
          <w:szCs w:val="20"/>
          <w:color w:val="auto"/>
        </w:rPr>
      </w:pPr>
    </w:p>
    <w:p>
      <w:pPr>
        <w:ind w:left="1680"/>
        <w:spacing w:after="0"/>
        <w:tabs>
          <w:tab w:leader="dot" w:pos="9740" w:val="left"/>
        </w:tabs>
        <w:rPr>
          <w:sz w:val="20"/>
          <w:szCs w:val="20"/>
          <w:color w:val="auto"/>
        </w:rPr>
      </w:pPr>
      <w:r>
        <w:rPr>
          <w:rFonts w:ascii="Courier New" w:cs="Courier New" w:eastAsia="Courier New" w:hAnsi="Courier New"/>
          <w:sz w:val="16"/>
          <w:szCs w:val="16"/>
          <w:color w:val="auto"/>
        </w:rPr>
        <w:t>Notes to Condensed Consolidated Financial Statements (Unaudited)</w:t>
      </w:r>
      <w:r>
        <w:rPr>
          <w:sz w:val="20"/>
          <w:szCs w:val="20"/>
          <w:color w:val="auto"/>
        </w:rPr>
        <w:tab/>
      </w:r>
      <w:r>
        <w:rPr>
          <w:rFonts w:ascii="Courier New" w:cs="Courier New" w:eastAsia="Courier New" w:hAnsi="Courier New"/>
          <w:sz w:val="16"/>
          <w:szCs w:val="16"/>
          <w:color w:val="auto"/>
        </w:rPr>
        <w:t>6-10</w:t>
      </w:r>
    </w:p>
    <w:p>
      <w:pPr>
        <w:spacing w:after="0" w:line="198"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w:t>
      </w:r>
    </w:p>
    <w:p>
      <w:pPr>
        <w:spacing w:after="0" w:line="8" w:lineRule="exact"/>
        <w:rPr>
          <w:sz w:val="20"/>
          <w:szCs w:val="20"/>
          <w:color w:val="auto"/>
        </w:rPr>
      </w:pPr>
    </w:p>
    <w:p>
      <w:pPr>
        <w:ind w:left="1680"/>
        <w:spacing w:after="0"/>
        <w:tabs>
          <w:tab w:leader="dot" w:pos="964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6"/>
          <w:szCs w:val="16"/>
          <w:color w:val="auto"/>
        </w:rPr>
        <w:t>11-20</w:t>
      </w:r>
    </w:p>
    <w:p>
      <w:pPr>
        <w:spacing w:after="0" w:line="38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98" w:lineRule="exact"/>
        <w:rPr>
          <w:sz w:val="20"/>
          <w:szCs w:val="20"/>
          <w:color w:val="auto"/>
        </w:rPr>
      </w:pPr>
    </w:p>
    <w:p>
      <w:pPr>
        <w:spacing w:after="0"/>
        <w:tabs>
          <w:tab w:leader="none" w:pos="1660" w:val="left"/>
          <w:tab w:leader="dot" w:pos="96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r>
        <w:rPr>
          <w:sz w:val="20"/>
          <w:szCs w:val="20"/>
          <w:color w:val="auto"/>
        </w:rPr>
        <w:tab/>
      </w:r>
      <w:r>
        <w:rPr>
          <w:rFonts w:ascii="Courier New" w:cs="Courier New" w:eastAsia="Courier New" w:hAnsi="Courier New"/>
          <w:sz w:val="16"/>
          <w:szCs w:val="16"/>
          <w:color w:val="auto"/>
        </w:rPr>
        <w:t>21-22</w:t>
      </w:r>
    </w:p>
    <w:p>
      <w:pPr>
        <w:spacing w:after="0" w:line="198" w:lineRule="exact"/>
        <w:rPr>
          <w:sz w:val="20"/>
          <w:szCs w:val="20"/>
          <w:color w:val="auto"/>
        </w:rPr>
      </w:pPr>
    </w:p>
    <w:p>
      <w:pPr>
        <w:ind w:left="1680"/>
        <w:spacing w:after="0"/>
        <w:tabs>
          <w:tab w:leader="dot" w:pos="974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360"/>
          </w:cols>
          <w:pgMar w:left="240" w:top="306" w:right="129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PART I. ITEM 1. FINANCIAL INFORMATION</w:t>
      </w:r>
    </w:p>
    <w:p>
      <w:pPr>
        <w:spacing w:after="0" w:line="19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CONDENSED CONSOLIDATED STATEMENTS OF EARNINGS (UNAUDITED)</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3"/>
          </w:tcPr>
          <w:p>
            <w:pPr>
              <w:jc w:val="right"/>
              <w:ind w:right="498"/>
              <w:spacing w:after="0"/>
              <w:rPr>
                <w:sz w:val="20"/>
                <w:szCs w:val="20"/>
                <w:color w:val="auto"/>
              </w:rPr>
            </w:pPr>
            <w:r>
              <w:rPr>
                <w:rFonts w:ascii="Courier New" w:cs="Courier New" w:eastAsia="Courier New" w:hAnsi="Courier New"/>
                <w:sz w:val="16"/>
                <w:szCs w:val="16"/>
                <w:color w:val="auto"/>
              </w:rPr>
              <w:t>Three Months Ended</w:t>
            </w:r>
          </w:p>
        </w:tc>
        <w:tc>
          <w:tcPr>
            <w:tcW w:w="300" w:type="dxa"/>
            <w:vAlign w:val="bottom"/>
          </w:tcPr>
          <w:p>
            <w:pPr>
              <w:spacing w:after="0"/>
              <w:rPr>
                <w:sz w:val="16"/>
                <w:szCs w:val="16"/>
                <w:color w:val="auto"/>
              </w:rPr>
            </w:pPr>
          </w:p>
        </w:tc>
        <w:tc>
          <w:tcPr>
            <w:tcW w:w="2760" w:type="dxa"/>
            <w:vAlign w:val="bottom"/>
            <w:gridSpan w:val="3"/>
          </w:tcPr>
          <w:p>
            <w:pPr>
              <w:jc w:val="right"/>
              <w:ind w:right="4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484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6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August 3,</w:t>
            </w:r>
          </w:p>
        </w:tc>
        <w:tc>
          <w:tcPr>
            <w:tcW w:w="280" w:type="dxa"/>
            <w:vAlign w:val="bottom"/>
          </w:tcPr>
          <w:p>
            <w:pPr>
              <w:spacing w:after="0"/>
              <w:rPr>
                <w:sz w:val="16"/>
                <w:szCs w:val="16"/>
                <w:color w:val="auto"/>
              </w:rPr>
            </w:pP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July 28,</w:t>
            </w:r>
          </w:p>
        </w:tc>
        <w:tc>
          <w:tcPr>
            <w:tcW w:w="30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August 3,</w:t>
            </w:r>
          </w:p>
        </w:tc>
        <w:tc>
          <w:tcPr>
            <w:tcW w:w="30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July 28,</w:t>
            </w:r>
          </w:p>
        </w:tc>
      </w:tr>
      <w:tr>
        <w:trPr>
          <w:trHeight w:val="190"/>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6"/>
                <w:szCs w:val="16"/>
                <w:color w:val="auto"/>
              </w:rPr>
            </w:pPr>
          </w:p>
        </w:tc>
        <w:tc>
          <w:tcPr>
            <w:tcW w:w="13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2000</w:t>
            </w:r>
          </w:p>
        </w:tc>
        <w:tc>
          <w:tcPr>
            <w:tcW w:w="300" w:type="dxa"/>
            <w:vAlign w:val="bottom"/>
          </w:tcPr>
          <w:p>
            <w:pPr>
              <w:spacing w:after="0"/>
              <w:rPr>
                <w:sz w:val="16"/>
                <w:szCs w:val="16"/>
                <w:color w:val="auto"/>
              </w:rPr>
            </w:pPr>
          </w:p>
        </w:tc>
        <w:tc>
          <w:tcPr>
            <w:tcW w:w="12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2001</w:t>
            </w:r>
          </w:p>
        </w:tc>
        <w:tc>
          <w:tcPr>
            <w:tcW w:w="300" w:type="dxa"/>
            <w:vAlign w:val="bottom"/>
          </w:tcPr>
          <w:p>
            <w:pPr>
              <w:spacing w:after="0"/>
              <w:rPr>
                <w:sz w:val="16"/>
                <w:szCs w:val="16"/>
                <w:color w:val="auto"/>
              </w:rPr>
            </w:pP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484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Net sales........................................</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329,811</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345,166</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1,076,813</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1,067,204</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Cost of sales....................................</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203,599</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211,879</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679,468</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672,029</w:t>
            </w:r>
          </w:p>
        </w:tc>
      </w:tr>
      <w:tr>
        <w:trPr>
          <w:trHeight w:val="190"/>
        </w:trPr>
        <w:tc>
          <w:tcPr>
            <w:tcW w:w="484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Gross profit...............................</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126,212</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133,287</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397,345</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395,175</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96,221</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101,867</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308,006</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304,585</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Restructuring and other unusual income...........</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(679)</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Earnings from operations...................</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29,991</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31,420</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90,018</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90,590</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6"/>
                <w:szCs w:val="16"/>
                <w:color w:val="auto"/>
              </w:rPr>
            </w:pPr>
          </w:p>
        </w:tc>
        <w:tc>
          <w:tcPr>
            <w:tcW w:w="12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(6,177)</w:t>
            </w:r>
          </w:p>
        </w:tc>
        <w:tc>
          <w:tcPr>
            <w:tcW w:w="28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(7,651)</w:t>
            </w:r>
          </w:p>
        </w:tc>
        <w:tc>
          <w:tcPr>
            <w:tcW w:w="3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(17,890)</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(21,060)</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Other income, net................................</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3,062</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2,329</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4,526</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748</w:t>
            </w:r>
          </w:p>
        </w:tc>
      </w:tr>
      <w:tr>
        <w:trPr>
          <w:trHeight w:val="190"/>
        </w:trPr>
        <w:tc>
          <w:tcPr>
            <w:tcW w:w="484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Earnings before income taxes...............</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26,876</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26,098</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76,654</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70,278</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Provision for income taxes.......................</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9,944</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9,656</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28,362</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26,003</w:t>
            </w:r>
          </w:p>
        </w:tc>
      </w:tr>
      <w:tr>
        <w:trPr>
          <w:trHeight w:val="190"/>
        </w:trPr>
        <w:tc>
          <w:tcPr>
            <w:tcW w:w="484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Net earnings...............................</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16,932</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16,442</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48,292</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44,275</w:t>
            </w:r>
          </w:p>
        </w:tc>
      </w:tr>
      <w:tr>
        <w:trPr>
          <w:trHeight w:val="190"/>
        </w:trPr>
        <w:tc>
          <w:tcPr>
            <w:tcW w:w="484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Basic net earnings per share of common stock.....</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1.34</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1.29</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3.79</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3.46</w:t>
            </w:r>
          </w:p>
        </w:tc>
      </w:tr>
      <w:tr>
        <w:trPr>
          <w:trHeight w:val="190"/>
        </w:trPr>
        <w:tc>
          <w:tcPr>
            <w:tcW w:w="484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120" w:type="dxa"/>
            <w:vAlign w:val="bottom"/>
            <w:gridSpan w:val="2"/>
          </w:tcPr>
          <w:p>
            <w:pPr>
              <w:spacing w:after="0"/>
              <w:rPr>
                <w:sz w:val="20"/>
                <w:szCs w:val="20"/>
                <w:color w:val="auto"/>
              </w:rPr>
            </w:pPr>
            <w:r>
              <w:rPr>
                <w:rFonts w:ascii="Courier New" w:cs="Courier New" w:eastAsia="Courier New" w:hAnsi="Courier New"/>
                <w:sz w:val="16"/>
                <w:szCs w:val="16"/>
                <w:color w:val="auto"/>
              </w:rPr>
              <w:t>Dilutive net earnings per share of common stock..$</w:t>
            </w: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1.26</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3.68</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3.39</w:t>
            </w:r>
          </w:p>
        </w:tc>
      </w:tr>
      <w:tr>
        <w:trPr>
          <w:trHeight w:val="190"/>
        </w:trPr>
        <w:tc>
          <w:tcPr>
            <w:tcW w:w="484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 number of shares of common stock</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4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outstanding - Basic.......................</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12,644</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12,745</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12,741</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12,799</w:t>
            </w:r>
          </w:p>
        </w:tc>
      </w:tr>
      <w:tr>
        <w:trPr>
          <w:trHeight w:val="569"/>
        </w:trPr>
        <w:tc>
          <w:tcPr>
            <w:tcW w:w="484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 number of shares of common stock</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4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outstanding - Dilutive....................</w:t>
            </w:r>
          </w:p>
        </w:tc>
        <w:tc>
          <w:tcPr>
            <w:tcW w:w="280" w:type="dxa"/>
            <w:vAlign w:val="bottom"/>
          </w:tcPr>
          <w:p>
            <w:pPr>
              <w:spacing w:after="0"/>
              <w:rPr>
                <w:sz w:val="16"/>
                <w:szCs w:val="16"/>
                <w:color w:val="auto"/>
              </w:rPr>
            </w:pP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13,009</w:t>
            </w:r>
          </w:p>
        </w:tc>
        <w:tc>
          <w:tcPr>
            <w:tcW w:w="28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13,071</w:t>
            </w:r>
          </w:p>
        </w:tc>
        <w:tc>
          <w:tcPr>
            <w:tcW w:w="3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13,108</w:t>
            </w:r>
          </w:p>
        </w:tc>
        <w:tc>
          <w:tcPr>
            <w:tcW w:w="3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040"/>
          </w:cols>
          <w:pgMar w:left="240" w:top="306" w:right="61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77"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9"/>
              </w:rPr>
              <w:t>August 3,</w:t>
            </w:r>
          </w:p>
        </w:tc>
        <w:tc>
          <w:tcPr>
            <w:tcW w:w="440" w:type="dxa"/>
            <w:vAlign w:val="bottom"/>
          </w:tcPr>
          <w:p>
            <w:pPr>
              <w:spacing w:after="0"/>
              <w:rPr>
                <w:sz w:val="16"/>
                <w:szCs w:val="16"/>
                <w:color w:val="auto"/>
              </w:rPr>
            </w:pP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July 28,</w:t>
            </w:r>
          </w:p>
        </w:tc>
        <w:tc>
          <w:tcPr>
            <w:tcW w:w="460" w:type="dxa"/>
            <w:vAlign w:val="bottom"/>
          </w:tcPr>
          <w:p>
            <w:pPr>
              <w:spacing w:after="0"/>
              <w:rPr>
                <w:sz w:val="16"/>
                <w:szCs w:val="16"/>
                <w:color w:val="auto"/>
              </w:rPr>
            </w:pPr>
          </w:p>
        </w:tc>
        <w:tc>
          <w:tcPr>
            <w:tcW w:w="13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October 31,</w:t>
            </w:r>
          </w:p>
        </w:tc>
      </w:tr>
      <w:tr>
        <w:trPr>
          <w:trHeight w:val="190"/>
        </w:trPr>
        <w:tc>
          <w:tcPr>
            <w:tcW w:w="5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2001</w:t>
            </w:r>
          </w:p>
        </w:tc>
        <w:tc>
          <w:tcPr>
            <w:tcW w:w="440" w:type="dxa"/>
            <w:vAlign w:val="bottom"/>
          </w:tcPr>
          <w:p>
            <w:pPr>
              <w:spacing w:after="0"/>
              <w:rPr>
                <w:sz w:val="16"/>
                <w:szCs w:val="16"/>
                <w:color w:val="auto"/>
              </w:rPr>
            </w:pPr>
          </w:p>
        </w:tc>
        <w:tc>
          <w:tcPr>
            <w:tcW w:w="13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2000</w:t>
            </w:r>
          </w:p>
        </w:tc>
        <w:tc>
          <w:tcPr>
            <w:tcW w:w="460" w:type="dxa"/>
            <w:vAlign w:val="bottom"/>
          </w:tcPr>
          <w:p>
            <w:pPr>
              <w:spacing w:after="0"/>
              <w:rPr>
                <w:sz w:val="16"/>
                <w:szCs w:val="16"/>
                <w:color w:val="auto"/>
              </w:rPr>
            </w:pPr>
          </w:p>
        </w:tc>
        <w:tc>
          <w:tcPr>
            <w:tcW w:w="13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4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90</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65</w:t>
            </w:r>
          </w:p>
        </w:tc>
        <w:tc>
          <w:tcPr>
            <w:tcW w:w="4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978</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Receivables, net..........................................</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335,697</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368,134</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262,484</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245,569</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213,461</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194,926</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Prepaid expenses and other current assets.................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10,544</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10,905</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12,065</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45,000</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40,638</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39,714</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Total current assets................................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636,900</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633,203</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510,167</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400" w:type="dxa"/>
            <w:vAlign w:val="bottom"/>
          </w:tcPr>
          <w:p>
            <w:pPr>
              <w:spacing w:after="0"/>
              <w:rPr>
                <w:sz w:val="24"/>
                <w:szCs w:val="24"/>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394,721</w:t>
            </w:r>
          </w:p>
        </w:tc>
        <w:tc>
          <w:tcPr>
            <w:tcW w:w="440" w:type="dxa"/>
            <w:vAlign w:val="bottom"/>
          </w:tcPr>
          <w:p>
            <w:pPr>
              <w:spacing w:after="0"/>
              <w:rPr>
                <w:sz w:val="24"/>
                <w:szCs w:val="24"/>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372,639</w:t>
            </w:r>
          </w:p>
        </w:tc>
        <w:tc>
          <w:tcPr>
            <w:tcW w:w="460" w:type="dxa"/>
            <w:vAlign w:val="bottom"/>
          </w:tcPr>
          <w:p>
            <w:pPr>
              <w:spacing w:after="0"/>
              <w:rPr>
                <w:sz w:val="24"/>
                <w:szCs w:val="24"/>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383,497</w:t>
            </w: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Less accumulated depreciation.......................</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256,576</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244,457</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250,645</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138,145</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128,182</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132,852</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400" w:type="dxa"/>
            <w:vAlign w:val="bottom"/>
          </w:tcPr>
          <w:p>
            <w:pPr>
              <w:spacing w:after="0"/>
              <w:rPr>
                <w:sz w:val="24"/>
                <w:szCs w:val="24"/>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9,883</w:t>
            </w:r>
          </w:p>
        </w:tc>
        <w:tc>
          <w:tcPr>
            <w:tcW w:w="440" w:type="dxa"/>
            <w:vAlign w:val="bottom"/>
          </w:tcPr>
          <w:p>
            <w:pPr>
              <w:spacing w:after="0"/>
              <w:rPr>
                <w:sz w:val="24"/>
                <w:szCs w:val="24"/>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8,876</w:t>
            </w:r>
          </w:p>
        </w:tc>
        <w:tc>
          <w:tcPr>
            <w:tcW w:w="460" w:type="dxa"/>
            <w:vAlign w:val="bottom"/>
          </w:tcPr>
          <w:p>
            <w:pPr>
              <w:spacing w:after="0"/>
              <w:rPr>
                <w:sz w:val="24"/>
                <w:szCs w:val="24"/>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9,883</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Goodwill and other assets.................................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123,800</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127,736</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126,488</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Total assets........................................</w:t>
            </w:r>
          </w:p>
        </w:tc>
        <w:tc>
          <w:tcPr>
            <w:tcW w:w="4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908,728</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897,997</w:t>
            </w:r>
          </w:p>
        </w:tc>
        <w:tc>
          <w:tcPr>
            <w:tcW w:w="4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779,390</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57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4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471</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485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94,384</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121,775</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11,587</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56,096</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43,544</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65,340</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205,481</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205,430</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183,927</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Total current liabilities...........................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356,432</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371,234</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260,892</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400" w:type="dxa"/>
            <w:vAlign w:val="bottom"/>
          </w:tcPr>
          <w:p>
            <w:pPr>
              <w:spacing w:after="0"/>
              <w:rPr>
                <w:sz w:val="24"/>
                <w:szCs w:val="24"/>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194,431</w:t>
            </w:r>
          </w:p>
        </w:tc>
        <w:tc>
          <w:tcPr>
            <w:tcW w:w="440" w:type="dxa"/>
            <w:vAlign w:val="bottom"/>
          </w:tcPr>
          <w:p>
            <w:pPr>
              <w:spacing w:after="0"/>
              <w:rPr>
                <w:sz w:val="24"/>
                <w:szCs w:val="24"/>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195,198</w:t>
            </w:r>
          </w:p>
        </w:tc>
        <w:tc>
          <w:tcPr>
            <w:tcW w:w="460" w:type="dxa"/>
            <w:vAlign w:val="bottom"/>
          </w:tcPr>
          <w:p>
            <w:pPr>
              <w:spacing w:after="0"/>
              <w:rPr>
                <w:sz w:val="24"/>
                <w:szCs w:val="24"/>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194,457</w:t>
            </w:r>
          </w:p>
        </w:tc>
      </w:tr>
      <w:tr>
        <w:trPr>
          <w:trHeight w:val="190"/>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7,263</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6,919</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6,823</w:t>
            </w:r>
          </w:p>
        </w:tc>
      </w:tr>
      <w:tr>
        <w:trPr>
          <w:trHeight w:val="379"/>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0"/>
        </w:trPr>
        <w:tc>
          <w:tcPr>
            <w:tcW w:w="5720" w:type="dxa"/>
            <w:vAlign w:val="bottom"/>
          </w:tcPr>
          <w:p>
            <w:pPr>
              <w:ind w:left="300"/>
              <w:spacing w:after="0"/>
              <w:rPr>
                <w:sz w:val="20"/>
                <w:szCs w:val="20"/>
                <w:color w:val="auto"/>
              </w:rPr>
            </w:pPr>
            <w:r>
              <w:rPr>
                <w:rFonts w:ascii="Courier New" w:cs="Courier New" w:eastAsia="Courier New" w:hAnsi="Courier New"/>
                <w:sz w:val="16"/>
                <w:szCs w:val="16"/>
                <w:color w:val="auto"/>
              </w:rPr>
              <w:t>Preferred stock, par value $1.00, authorized</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1,000,000 voting and 1,000,000 non-voting shares,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none issued and outstanding</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ind w:left="300"/>
              <w:spacing w:after="0"/>
              <w:rPr>
                <w:sz w:val="20"/>
                <w:szCs w:val="20"/>
                <w:color w:val="auto"/>
              </w:rPr>
            </w:pPr>
            <w:r>
              <w:rPr>
                <w:rFonts w:ascii="Courier New" w:cs="Courier New" w:eastAsia="Courier New" w:hAnsi="Courier New"/>
                <w:sz w:val="16"/>
                <w:szCs w:val="16"/>
                <w:color w:val="auto"/>
              </w:rPr>
              <w:t>Common stock, par value $1.00, authorized 35,000,000</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shares; issued and outstanding 12,466,373 shares at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August 3, 2001 (net of 1,041,682 treasury shares),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12,721,596 shares at July 28, 2000 (net of 786,459</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treasury shares), and 12,569,194 shares at October</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31, 2000 (net of 938,861 treasury shares)...........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12,466</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12,721</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12,569</w:t>
            </w:r>
          </w:p>
        </w:tc>
      </w:tr>
      <w:tr>
        <w:trPr>
          <w:trHeight w:val="190"/>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Additional paid-in capital...............................</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37,365</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52,044</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47,540</w:t>
            </w:r>
          </w:p>
        </w:tc>
      </w:tr>
      <w:tr>
        <w:trPr>
          <w:trHeight w:val="190"/>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Retained earnings........................................</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312,414</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269,231</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268,727</w:t>
            </w:r>
          </w:p>
        </w:tc>
      </w:tr>
      <w:tr>
        <w:trPr>
          <w:trHeight w:val="190"/>
        </w:trPr>
        <w:tc>
          <w:tcPr>
            <w:tcW w:w="5720" w:type="dxa"/>
            <w:vAlign w:val="bottom"/>
          </w:tcPr>
          <w:p>
            <w:pPr>
              <w:ind w:left="100"/>
              <w:spacing w:after="0"/>
              <w:rPr>
                <w:sz w:val="20"/>
                <w:szCs w:val="20"/>
                <w:color w:val="auto"/>
              </w:rPr>
            </w:pPr>
            <w:r>
              <w:rPr>
                <w:rFonts w:ascii="Courier New" w:cs="Courier New" w:eastAsia="Courier New" w:hAnsi="Courier New"/>
                <w:sz w:val="16"/>
                <w:szCs w:val="16"/>
                <w:color w:val="auto"/>
              </w:rPr>
              <w:t>Accumulated other comprehensive loss.....................</w:t>
            </w:r>
          </w:p>
        </w:tc>
        <w:tc>
          <w:tcPr>
            <w:tcW w:w="400" w:type="dxa"/>
            <w:vAlign w:val="bottom"/>
          </w:tcPr>
          <w:p>
            <w:pPr>
              <w:spacing w:after="0"/>
              <w:rPr>
                <w:sz w:val="16"/>
                <w:szCs w:val="16"/>
                <w:color w:val="auto"/>
              </w:rPr>
            </w:pP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(11,643)</w:t>
            </w:r>
          </w:p>
        </w:tc>
        <w:tc>
          <w:tcPr>
            <w:tcW w:w="440" w:type="dxa"/>
            <w:vAlign w:val="bottom"/>
          </w:tcPr>
          <w:p>
            <w:pPr>
              <w:spacing w:after="0"/>
              <w:rPr>
                <w:sz w:val="16"/>
                <w:szCs w:val="16"/>
                <w:color w:val="auto"/>
              </w:rPr>
            </w:pPr>
          </w:p>
        </w:tc>
        <w:tc>
          <w:tcPr>
            <w:tcW w:w="13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(9,350)</w:t>
            </w:r>
          </w:p>
        </w:tc>
        <w:tc>
          <w:tcPr>
            <w:tcW w:w="4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(11,618)</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Total stockholders' equity..........................</w:t>
            </w:r>
          </w:p>
        </w:tc>
        <w:tc>
          <w:tcPr>
            <w:tcW w:w="400" w:type="dxa"/>
            <w:vAlign w:val="bottom"/>
          </w:tcPr>
          <w:p>
            <w:pPr>
              <w:spacing w:after="0"/>
              <w:rPr>
                <w:sz w:val="16"/>
                <w:szCs w:val="16"/>
                <w:color w:val="auto"/>
              </w:rPr>
            </w:pP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350,602</w:t>
            </w:r>
          </w:p>
        </w:tc>
        <w:tc>
          <w:tcPr>
            <w:tcW w:w="44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324,646</w:t>
            </w:r>
          </w:p>
        </w:tc>
        <w:tc>
          <w:tcPr>
            <w:tcW w:w="46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317,218</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720" w:type="dxa"/>
            <w:vAlign w:val="bottom"/>
          </w:tcPr>
          <w:p>
            <w:pPr>
              <w:ind w:left="60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4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908,728</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897,997</w:t>
            </w:r>
          </w:p>
        </w:tc>
        <w:tc>
          <w:tcPr>
            <w:tcW w:w="46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779,390</w:t>
            </w:r>
          </w:p>
        </w:tc>
      </w:tr>
      <w:tr>
        <w:trPr>
          <w:trHeight w:val="190"/>
        </w:trPr>
        <w:tc>
          <w:tcPr>
            <w:tcW w:w="5720" w:type="dxa"/>
            <w:vAlign w:val="bottom"/>
          </w:tcPr>
          <w:p>
            <w:pPr>
              <w:spacing w:after="0"/>
              <w:rPr>
                <w:sz w:val="16"/>
                <w:szCs w:val="16"/>
                <w:color w:val="auto"/>
              </w:rPr>
            </w:pPr>
          </w:p>
        </w:tc>
        <w:tc>
          <w:tcPr>
            <w:tcW w:w="17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40"/>
          </w:cols>
          <w:pgMar w:left="240" w:top="306" w:right="6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7" w:lineRule="exact"/>
        <w:rPr>
          <w:sz w:val="20"/>
          <w:szCs w:val="20"/>
          <w:color w:val="auto"/>
        </w:rPr>
      </w:pPr>
    </w:p>
    <w:p>
      <w:pPr>
        <w:jc w:val="center"/>
        <w:ind w:right="2780"/>
        <w:spacing w:after="0" w:line="257" w:lineRule="auto"/>
        <w:rPr>
          <w:sz w:val="20"/>
          <w:szCs w:val="20"/>
          <w:color w:val="auto"/>
        </w:rPr>
      </w:pPr>
      <w:r>
        <w:rPr>
          <w:rFonts w:ascii="Courier New" w:cs="Courier New" w:eastAsia="Courier New" w:hAnsi="Courier New"/>
          <w:sz w:val="16"/>
          <w:szCs w:val="16"/>
          <w:color w:val="auto"/>
        </w:rPr>
        <w:t>THE TORO COMPANY AND SUBSIDIARIES CONDENSED CONSOLIDATED STATEMENTS OF CASH FLOWS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60" w:type="dxa"/>
            <w:vAlign w:val="bottom"/>
            <w:gridSpan w:val="3"/>
          </w:tcPr>
          <w:p>
            <w:pPr>
              <w:jc w:val="right"/>
              <w:ind w:right="91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6300" w:type="dxa"/>
            <w:vAlign w:val="bottom"/>
          </w:tcPr>
          <w:p>
            <w:pPr>
              <w:spacing w:after="0"/>
              <w:rPr>
                <w:sz w:val="16"/>
                <w:szCs w:val="16"/>
                <w:color w:val="auto"/>
              </w:rPr>
            </w:pPr>
          </w:p>
        </w:tc>
        <w:tc>
          <w:tcPr>
            <w:tcW w:w="3860" w:type="dxa"/>
            <w:vAlign w:val="bottom"/>
            <w:gridSpan w:val="4"/>
          </w:tcPr>
          <w:p>
            <w:pPr>
              <w:spacing w:after="0"/>
              <w:rPr>
                <w:sz w:val="20"/>
                <w:szCs w:val="20"/>
                <w:color w:val="auto"/>
              </w:rPr>
            </w:pPr>
            <w:r>
              <w:rPr>
                <w:rFonts w:ascii="Courier New" w:cs="Courier New" w:eastAsia="Courier New" w:hAnsi="Courier New"/>
                <w:sz w:val="16"/>
                <w:szCs w:val="16"/>
                <w:color w:val="auto"/>
              </w:rPr>
              <w:t>---------------------------------------</w:t>
            </w:r>
          </w:p>
        </w:tc>
      </w:tr>
      <w:tr>
        <w:trPr>
          <w:trHeight w:val="190"/>
        </w:trPr>
        <w:tc>
          <w:tcPr>
            <w:tcW w:w="6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w w:val="99"/>
              </w:rPr>
              <w:t>August 3,</w:t>
            </w:r>
          </w:p>
        </w:tc>
        <w:tc>
          <w:tcPr>
            <w:tcW w:w="540" w:type="dxa"/>
            <w:vAlign w:val="bottom"/>
          </w:tcPr>
          <w:p>
            <w:pPr>
              <w:spacing w:after="0"/>
              <w:rPr>
                <w:sz w:val="16"/>
                <w:szCs w:val="16"/>
                <w:color w:val="auto"/>
              </w:rPr>
            </w:pPr>
          </w:p>
        </w:tc>
        <w:tc>
          <w:tcPr>
            <w:tcW w:w="13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July 28,</w:t>
            </w:r>
          </w:p>
        </w:tc>
      </w:tr>
      <w:tr>
        <w:trPr>
          <w:trHeight w:val="190"/>
        </w:trPr>
        <w:tc>
          <w:tcPr>
            <w:tcW w:w="6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2001</w:t>
            </w:r>
          </w:p>
        </w:tc>
        <w:tc>
          <w:tcPr>
            <w:tcW w:w="540" w:type="dxa"/>
            <w:vAlign w:val="bottom"/>
          </w:tcPr>
          <w:p>
            <w:pPr>
              <w:spacing w:after="0"/>
              <w:rPr>
                <w:sz w:val="16"/>
                <w:szCs w:val="16"/>
                <w:color w:val="auto"/>
              </w:rPr>
            </w:pPr>
          </w:p>
        </w:tc>
        <w:tc>
          <w:tcPr>
            <w:tcW w:w="13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630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r>
      <w:tr>
        <w:trPr>
          <w:trHeight w:val="379"/>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0"/>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5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48,292</w:t>
            </w:r>
          </w:p>
        </w:tc>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44,275</w:t>
            </w:r>
          </w:p>
        </w:tc>
      </w:tr>
      <w:tr>
        <w:trPr>
          <w:trHeight w:val="379"/>
        </w:trPr>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earnings to net cash used</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0"/>
        </w:trPr>
        <w:tc>
          <w:tcPr>
            <w:tcW w:w="6300" w:type="dxa"/>
            <w:vAlign w:val="bottom"/>
          </w:tcPr>
          <w:p>
            <w:pPr>
              <w:jc w:val="right"/>
              <w:ind w:right="3358"/>
              <w:spacing w:after="0"/>
              <w:rPr>
                <w:sz w:val="20"/>
                <w:szCs w:val="20"/>
                <w:color w:val="auto"/>
              </w:rPr>
            </w:pPr>
            <w:r>
              <w:rPr>
                <w:rFonts w:ascii="Courier New" w:cs="Courier New" w:eastAsia="Courier New" w:hAnsi="Courier New"/>
                <w:sz w:val="16"/>
                <w:szCs w:val="16"/>
                <w:color w:val="auto"/>
              </w:rPr>
              <w:t>in operating activities:</w:t>
            </w: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9"/>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Provision for depreciation and amortization...................</w:t>
            </w:r>
          </w:p>
        </w:tc>
        <w:tc>
          <w:tcPr>
            <w:tcW w:w="500" w:type="dxa"/>
            <w:vAlign w:val="bottom"/>
          </w:tcPr>
          <w:p>
            <w:pPr>
              <w:spacing w:after="0"/>
              <w:rPr>
                <w:sz w:val="24"/>
                <w:szCs w:val="24"/>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26,508</w:t>
            </w:r>
          </w:p>
        </w:tc>
        <w:tc>
          <w:tcPr>
            <w:tcW w:w="540" w:type="dxa"/>
            <w:vAlign w:val="bottom"/>
          </w:tcPr>
          <w:p>
            <w:pPr>
              <w:spacing w:after="0"/>
              <w:rPr>
                <w:sz w:val="24"/>
                <w:szCs w:val="24"/>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28,199</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Write-down of investments.....................................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1,778</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1,097</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Gain on disposal of property, plant, and equipment............</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(Increase) decrease of deferred income taxes..................</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(5,286)</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254</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Tax benefits related to employee stock option transactions....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4,501</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854</w:t>
            </w:r>
          </w:p>
        </w:tc>
      </w:tr>
      <w:tr>
        <w:trPr>
          <w:trHeight w:val="379"/>
        </w:trPr>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9"/>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Receivables, net..........................................</w:t>
            </w:r>
          </w:p>
        </w:tc>
        <w:tc>
          <w:tcPr>
            <w:tcW w:w="500" w:type="dxa"/>
            <w:vAlign w:val="bottom"/>
          </w:tcPr>
          <w:p>
            <w:pPr>
              <w:spacing w:after="0"/>
              <w:rPr>
                <w:sz w:val="24"/>
                <w:szCs w:val="24"/>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(79,558)</w:t>
            </w:r>
          </w:p>
        </w:tc>
        <w:tc>
          <w:tcPr>
            <w:tcW w:w="5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(107,281)</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Inventories, net..........................................</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(36,792)</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(1,869)</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2,147</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(4,778)</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liabilities..................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13,187</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4,945</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operating activities.................</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(25,269)</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(34,390)</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9"/>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Purchases of property, plant, and equipment...................</w:t>
            </w:r>
          </w:p>
        </w:tc>
        <w:tc>
          <w:tcPr>
            <w:tcW w:w="500" w:type="dxa"/>
            <w:vAlign w:val="bottom"/>
          </w:tcPr>
          <w:p>
            <w:pPr>
              <w:spacing w:after="0"/>
              <w:rPr>
                <w:sz w:val="24"/>
                <w:szCs w:val="24"/>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(23,376)</w:t>
            </w:r>
          </w:p>
        </w:tc>
        <w:tc>
          <w:tcPr>
            <w:tcW w:w="5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(26,143)</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Proceeds from asset disposals.................................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2,181</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1,480</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Decrease (increase) in investment in affiliates...............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154</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(685)</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Increase in other assets......................................</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(3,027)</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(2,381)</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Acquisitions, net of cash acquired............................</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(8,549)</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investing activities.................</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(32,617)</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(27,729)</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3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9"/>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Increase in short-term debt...................................</w:t>
            </w:r>
          </w:p>
        </w:tc>
        <w:tc>
          <w:tcPr>
            <w:tcW w:w="500" w:type="dxa"/>
            <w:vAlign w:val="bottom"/>
          </w:tcPr>
          <w:p>
            <w:pPr>
              <w:spacing w:after="0"/>
              <w:rPr>
                <w:sz w:val="24"/>
                <w:szCs w:val="24"/>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79,190</w:t>
            </w:r>
          </w:p>
        </w:tc>
        <w:tc>
          <w:tcPr>
            <w:tcW w:w="540" w:type="dxa"/>
            <w:vAlign w:val="bottom"/>
          </w:tcPr>
          <w:p>
            <w:pPr>
              <w:spacing w:after="0"/>
              <w:rPr>
                <w:sz w:val="24"/>
                <w:szCs w:val="24"/>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63,512</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Repayments of long-term debt..................................</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(64)</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(657)</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Increase in other long-term liabilities.......................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440</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744</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Proceeds from exercise of stock options.......................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15,548</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3,629</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Purchases of common stock.....................................</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(33,559)</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(10,859)</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Dividends on common stock.....................................</w:t>
            </w:r>
          </w:p>
        </w:tc>
        <w:tc>
          <w:tcPr>
            <w:tcW w:w="500" w:type="dxa"/>
            <w:vAlign w:val="bottom"/>
          </w:tcPr>
          <w:p>
            <w:pPr>
              <w:spacing w:after="0"/>
              <w:rPr>
                <w:sz w:val="16"/>
                <w:szCs w:val="16"/>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(4,605)</w:t>
            </w:r>
          </w:p>
        </w:tc>
        <w:tc>
          <w:tcPr>
            <w:tcW w:w="5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(4,576)</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financing activities.............</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56,950</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51,793</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Foreign currency translation adjustment.........................</w:t>
            </w:r>
          </w:p>
        </w:tc>
        <w:tc>
          <w:tcPr>
            <w:tcW w:w="500" w:type="dxa"/>
            <w:vAlign w:val="bottom"/>
          </w:tcPr>
          <w:p>
            <w:pPr>
              <w:spacing w:after="0"/>
              <w:rPr>
                <w:sz w:val="24"/>
                <w:szCs w:val="24"/>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48</w:t>
            </w:r>
          </w:p>
        </w:tc>
        <w:tc>
          <w:tcPr>
            <w:tcW w:w="5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(1,569)</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Net decrease in cash and cash equivalents.......................</w:t>
            </w:r>
          </w:p>
        </w:tc>
        <w:tc>
          <w:tcPr>
            <w:tcW w:w="500" w:type="dxa"/>
            <w:vAlign w:val="bottom"/>
          </w:tcPr>
          <w:p>
            <w:pPr>
              <w:spacing w:after="0"/>
              <w:rPr>
                <w:sz w:val="24"/>
                <w:szCs w:val="24"/>
                <w:color w:val="auto"/>
              </w:rPr>
            </w:pP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(888)</w:t>
            </w:r>
          </w:p>
        </w:tc>
        <w:tc>
          <w:tcPr>
            <w:tcW w:w="5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(11,895)</w:t>
            </w:r>
          </w:p>
        </w:tc>
      </w:tr>
      <w:tr>
        <w:trPr>
          <w:trHeight w:val="19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50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978</w:t>
            </w:r>
          </w:p>
        </w:tc>
        <w:tc>
          <w:tcPr>
            <w:tcW w:w="5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11,960</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5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90</w:t>
            </w:r>
          </w:p>
        </w:tc>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w:t>
            </w:r>
          </w:p>
        </w:tc>
      </w:tr>
      <w:tr>
        <w:trPr>
          <w:trHeight w:val="190"/>
        </w:trPr>
        <w:tc>
          <w:tcPr>
            <w:tcW w:w="6300" w:type="dxa"/>
            <w:vAlign w:val="bottom"/>
          </w:tcPr>
          <w:p>
            <w:pPr>
              <w:spacing w:after="0"/>
              <w:rPr>
                <w:sz w:val="16"/>
                <w:szCs w:val="16"/>
                <w:color w:val="auto"/>
              </w:rPr>
            </w:pPr>
          </w:p>
        </w:tc>
        <w:tc>
          <w:tcPr>
            <w:tcW w:w="19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160"/>
          </w:cols>
          <w:pgMar w:left="540" w:top="306" w:right="1199" w:bottom="809"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77" w:lineRule="exact"/>
        <w:rPr>
          <w:sz w:val="20"/>
          <w:szCs w:val="20"/>
          <w:color w:val="auto"/>
        </w:rPr>
      </w:pPr>
    </w:p>
    <w:p>
      <w:pPr>
        <w:jc w:val="center"/>
        <w:ind w:right="2339"/>
        <w:spacing w:after="0" w:line="257" w:lineRule="auto"/>
        <w:rPr>
          <w:sz w:val="20"/>
          <w:szCs w:val="20"/>
          <w:color w:val="auto"/>
        </w:rPr>
      </w:pPr>
      <w:r>
        <w:rPr>
          <w:rFonts w:ascii="Courier New" w:cs="Courier New" w:eastAsia="Courier New" w:hAnsi="Courier New"/>
          <w:sz w:val="16"/>
          <w:szCs w:val="16"/>
          <w:color w:val="auto"/>
        </w:rPr>
        <w:t>THE TORO COMPANY AND SUBSIDIARIES NOTES TO CONDENSED CONSOLIDATED FINANCIAL STATEMENTS (UNAUDITED) AUGUST 3, 2001</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August 3, 2001 are not indicative of the results that may be expected for the fiscal year ending October 31, 2001. Certain amounts from prior period's financial statements have been reclassified to conform to this period's presentation.</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The company's fiscal year ends on October 31, and quarterly results are reported every three months generally on the Friday closest to the quarter end. For comparative purposes, the company's second and third quarters always reflect 13 weeks of results, therefore, the quarter end date is not necessarily the Friday closest to the quarter end.</w:t>
      </w:r>
    </w:p>
    <w:p>
      <w:pPr>
        <w:spacing w:after="0" w:line="186"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For further information, refer to the consolidated financial statements and notes included in the company's Annual Report on Form 10-K for the fiscal year ended October 31, 2000. The policies described in that report are used for preparing quarterly reports.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9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Inventories are valued at the lower of cost or net realizable value with cost determined by the last-in, first-out (LIFO) method for most inventories.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were as follows:</w:t>
      </w:r>
    </w:p>
    <w:p>
      <w:pPr>
        <w:spacing w:after="0" w:line="200" w:lineRule="exact"/>
        <w:rPr>
          <w:sz w:val="20"/>
          <w:szCs w:val="20"/>
          <w:color w:val="auto"/>
        </w:rPr>
      </w:pPr>
    </w:p>
    <w:p>
      <w:pPr>
        <w:spacing w:after="0" w:line="377"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34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80" w:type="dxa"/>
            <w:vAlign w:val="bottom"/>
          </w:tcPr>
          <w:p>
            <w:pPr>
              <w:spacing w:after="0"/>
              <w:rPr>
                <w:sz w:val="16"/>
                <w:szCs w:val="16"/>
                <w:color w:val="auto"/>
              </w:rPr>
            </w:pPr>
          </w:p>
        </w:tc>
        <w:tc>
          <w:tcPr>
            <w:tcW w:w="11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August 3,</w:t>
            </w:r>
          </w:p>
        </w:tc>
        <w:tc>
          <w:tcPr>
            <w:tcW w:w="500" w:type="dxa"/>
            <w:vAlign w:val="bottom"/>
          </w:tcPr>
          <w:p>
            <w:pPr>
              <w:spacing w:after="0"/>
              <w:rPr>
                <w:sz w:val="16"/>
                <w:szCs w:val="16"/>
                <w:color w:val="auto"/>
              </w:rPr>
            </w:pP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July 28,</w:t>
            </w:r>
          </w:p>
        </w:tc>
        <w:tc>
          <w:tcPr>
            <w:tcW w:w="13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October 31,</w:t>
            </w:r>
          </w:p>
        </w:tc>
      </w:tr>
      <w:tr>
        <w:trPr>
          <w:trHeight w:val="190"/>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2001</w:t>
            </w:r>
          </w:p>
        </w:tc>
        <w:tc>
          <w:tcPr>
            <w:tcW w:w="500" w:type="dxa"/>
            <w:vAlign w:val="bottom"/>
          </w:tcPr>
          <w:p>
            <w:pPr>
              <w:spacing w:after="0"/>
              <w:rPr>
                <w:sz w:val="16"/>
                <w:szCs w:val="16"/>
                <w:color w:val="auto"/>
              </w:rPr>
            </w:pPr>
          </w:p>
        </w:tc>
        <w:tc>
          <w:tcPr>
            <w:tcW w:w="12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2000</w:t>
            </w:r>
          </w:p>
        </w:tc>
        <w:tc>
          <w:tcPr>
            <w:tcW w:w="560" w:type="dxa"/>
            <w:vAlign w:val="bottom"/>
          </w:tcPr>
          <w:p>
            <w:pPr>
              <w:spacing w:after="0"/>
              <w:rPr>
                <w:sz w:val="16"/>
                <w:szCs w:val="16"/>
                <w:color w:val="auto"/>
              </w:rPr>
            </w:pPr>
          </w:p>
        </w:tc>
        <w:tc>
          <w:tcPr>
            <w:tcW w:w="8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434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Raw materials and work in process..........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71,439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60,260</w:t>
            </w:r>
          </w:p>
        </w:tc>
        <w:tc>
          <w:tcPr>
            <w:tcW w:w="5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66,175</w:t>
            </w:r>
          </w:p>
        </w:tc>
      </w:tr>
      <w:tr>
        <w:trPr>
          <w:trHeight w:val="190"/>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Finished goods and service parts...........</w:t>
            </w:r>
          </w:p>
        </w:tc>
        <w:tc>
          <w:tcPr>
            <w:tcW w:w="180" w:type="dxa"/>
            <w:vAlign w:val="bottom"/>
          </w:tcPr>
          <w:p>
            <w:pPr>
              <w:spacing w:after="0"/>
              <w:rPr>
                <w:sz w:val="16"/>
                <w:szCs w:val="16"/>
                <w:color w:val="auto"/>
              </w:rPr>
            </w:pPr>
          </w:p>
        </w:tc>
        <w:tc>
          <w:tcPr>
            <w:tcW w:w="11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215,246</w:t>
            </w:r>
          </w:p>
        </w:tc>
        <w:tc>
          <w:tcPr>
            <w:tcW w:w="50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195,810</w:t>
            </w: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168,135</w:t>
            </w:r>
          </w:p>
        </w:tc>
      </w:tr>
      <w:tr>
        <w:trPr>
          <w:trHeight w:val="190"/>
        </w:trPr>
        <w:tc>
          <w:tcPr>
            <w:tcW w:w="434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286,685</w:t>
            </w:r>
          </w:p>
        </w:tc>
        <w:tc>
          <w:tcPr>
            <w:tcW w:w="50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256,070</w:t>
            </w: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234,310</w:t>
            </w:r>
          </w:p>
        </w:tc>
      </w:tr>
      <w:tr>
        <w:trPr>
          <w:trHeight w:val="190"/>
        </w:trPr>
        <w:tc>
          <w:tcPr>
            <w:tcW w:w="4340" w:type="dxa"/>
            <w:vAlign w:val="bottom"/>
          </w:tcPr>
          <w:p>
            <w:pPr>
              <w:ind w:left="100"/>
              <w:spacing w:after="0"/>
              <w:rPr>
                <w:sz w:val="20"/>
                <w:szCs w:val="20"/>
                <w:color w:val="auto"/>
              </w:rPr>
            </w:pPr>
            <w:r>
              <w:rPr>
                <w:rFonts w:ascii="Courier New" w:cs="Courier New" w:eastAsia="Courier New" w:hAnsi="Courier New"/>
                <w:sz w:val="16"/>
                <w:szCs w:val="16"/>
                <w:color w:val="auto"/>
              </w:rPr>
              <w:t>Less LIFO and other reserves...............</w:t>
            </w:r>
          </w:p>
        </w:tc>
        <w:tc>
          <w:tcPr>
            <w:tcW w:w="180" w:type="dxa"/>
            <w:vAlign w:val="bottom"/>
          </w:tcPr>
          <w:p>
            <w:pPr>
              <w:spacing w:after="0"/>
              <w:rPr>
                <w:sz w:val="16"/>
                <w:szCs w:val="16"/>
                <w:color w:val="auto"/>
              </w:rPr>
            </w:pPr>
          </w:p>
        </w:tc>
        <w:tc>
          <w:tcPr>
            <w:tcW w:w="11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41,116</w:t>
            </w:r>
          </w:p>
        </w:tc>
        <w:tc>
          <w:tcPr>
            <w:tcW w:w="50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42,609</w:t>
            </w: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39,384</w:t>
            </w:r>
          </w:p>
        </w:tc>
      </w:tr>
      <w:tr>
        <w:trPr>
          <w:trHeight w:val="190"/>
        </w:trPr>
        <w:tc>
          <w:tcPr>
            <w:tcW w:w="434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245,569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213,461</w:t>
            </w:r>
          </w:p>
        </w:tc>
        <w:tc>
          <w:tcPr>
            <w:tcW w:w="5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194,926</w:t>
            </w:r>
          </w:p>
        </w:tc>
      </w:tr>
      <w:tr>
        <w:trPr>
          <w:trHeight w:val="190"/>
        </w:trPr>
        <w:tc>
          <w:tcPr>
            <w:tcW w:w="434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and Other Unusual Income</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At August 3, 2001, the company had $0.3 million of restructuring and other unusual expense remaining in accrued liabilities. The company has utilized $0.3 million of the original reserve since October 31, 2000 and reversed $0.7 million into restructuring and other unusual income related to the remaining accrual for the Sardis, Mississippi facility that was sold during the first quarter of fiscal 2001. The company expects the majority of the remaining reserve to be utilized when the Murray Bridge, Australia facility is sold.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6"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w:t>
      </w:r>
    </w:p>
    <w:p>
      <w:pPr>
        <w:spacing w:after="0" w:line="198" w:lineRule="exact"/>
        <w:rPr>
          <w:sz w:val="20"/>
          <w:szCs w:val="20"/>
          <w:color w:val="auto"/>
        </w:rPr>
      </w:pPr>
    </w:p>
    <w:p>
      <w:pPr>
        <w:ind w:right="3240"/>
        <w:spacing w:after="0" w:line="255" w:lineRule="auto"/>
        <w:rPr>
          <w:sz w:val="20"/>
          <w:szCs w:val="20"/>
          <w:color w:val="auto"/>
        </w:rPr>
      </w:pPr>
      <w:r>
        <w:rPr>
          <w:rFonts w:ascii="Courier New" w:cs="Courier New" w:eastAsia="Courier New" w:hAnsi="Courier New"/>
          <w:sz w:val="16"/>
          <w:szCs w:val="16"/>
          <w:color w:val="auto"/>
        </w:rPr>
        <w:t>Comprehensive income and the components of other comprehensive (loss) income were as follows:</w:t>
      </w:r>
    </w:p>
    <w:p>
      <w:pPr>
        <w:spacing w:after="0" w:line="200" w:lineRule="exact"/>
        <w:rPr>
          <w:sz w:val="20"/>
          <w:szCs w:val="20"/>
          <w:color w:val="auto"/>
        </w:rPr>
      </w:pPr>
    </w:p>
    <w:p>
      <w:pPr>
        <w:spacing w:after="0" w:line="363"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3"/>
          </w:tcPr>
          <w:p>
            <w:pPr>
              <w:jc w:val="right"/>
              <w:ind w:right="698"/>
              <w:spacing w:after="0"/>
              <w:rPr>
                <w:sz w:val="20"/>
                <w:szCs w:val="20"/>
                <w:color w:val="auto"/>
              </w:rPr>
            </w:pPr>
            <w:r>
              <w:rPr>
                <w:rFonts w:ascii="Courier New" w:cs="Courier New" w:eastAsia="Courier New" w:hAnsi="Courier New"/>
                <w:sz w:val="16"/>
                <w:szCs w:val="16"/>
                <w:color w:val="auto"/>
              </w:rPr>
              <w:t>Three Months Ended</w:t>
            </w:r>
          </w:p>
        </w:tc>
        <w:tc>
          <w:tcPr>
            <w:tcW w:w="400" w:type="dxa"/>
            <w:vAlign w:val="bottom"/>
          </w:tcPr>
          <w:p>
            <w:pPr>
              <w:spacing w:after="0"/>
              <w:rPr>
                <w:sz w:val="16"/>
                <w:szCs w:val="16"/>
                <w:color w:val="auto"/>
              </w:rPr>
            </w:pP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Nine Months</w:t>
            </w: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Ended</w:t>
            </w:r>
          </w:p>
        </w:tc>
      </w:tr>
      <w:tr>
        <w:trPr>
          <w:trHeight w:val="190"/>
        </w:trPr>
        <w:tc>
          <w:tcPr>
            <w:tcW w:w="434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1"/>
                <w:szCs w:val="11"/>
                <w:color w:val="auto"/>
                <w:w w:val="75"/>
              </w:rPr>
              <w:t>----------------------------</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6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80" w:type="dxa"/>
            <w:vAlign w:val="bottom"/>
          </w:tcPr>
          <w:p>
            <w:pPr>
              <w:spacing w:after="0"/>
              <w:rPr>
                <w:sz w:val="16"/>
                <w:szCs w:val="16"/>
                <w:color w:val="auto"/>
              </w:rPr>
            </w:pP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August 3,</w:t>
            </w:r>
          </w:p>
        </w:tc>
        <w:tc>
          <w:tcPr>
            <w:tcW w:w="400" w:type="dxa"/>
            <w:vAlign w:val="bottom"/>
          </w:tcPr>
          <w:p>
            <w:pPr>
              <w:spacing w:after="0"/>
              <w:rPr>
                <w:sz w:val="16"/>
                <w:szCs w:val="16"/>
                <w:color w:val="auto"/>
              </w:rPr>
            </w:pP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July 28,</w:t>
            </w:r>
          </w:p>
        </w:tc>
        <w:tc>
          <w:tcPr>
            <w:tcW w:w="400" w:type="dxa"/>
            <w:vAlign w:val="bottom"/>
          </w:tcPr>
          <w:p>
            <w:pPr>
              <w:spacing w:after="0"/>
              <w:rPr>
                <w:sz w:val="16"/>
                <w:szCs w:val="16"/>
                <w:color w:val="auto"/>
              </w:rPr>
            </w:pPr>
          </w:p>
        </w:tc>
        <w:tc>
          <w:tcPr>
            <w:tcW w:w="1340" w:type="dxa"/>
            <w:vAlign w:val="bottom"/>
          </w:tcPr>
          <w:p>
            <w:pPr>
              <w:jc w:val="right"/>
              <w:ind w:right="378"/>
              <w:spacing w:after="0"/>
              <w:rPr>
                <w:sz w:val="20"/>
                <w:szCs w:val="20"/>
                <w:color w:val="auto"/>
              </w:rPr>
            </w:pPr>
            <w:r>
              <w:rPr>
                <w:rFonts w:ascii="Courier New" w:cs="Courier New" w:eastAsia="Courier New" w:hAnsi="Courier New"/>
                <w:sz w:val="16"/>
                <w:szCs w:val="16"/>
                <w:color w:val="auto"/>
                <w:w w:val="99"/>
              </w:rPr>
              <w:t>August 3,</w:t>
            </w:r>
          </w:p>
        </w:tc>
        <w:tc>
          <w:tcPr>
            <w:tcW w:w="1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July 28,</w:t>
            </w:r>
          </w:p>
        </w:tc>
      </w:tr>
      <w:tr>
        <w:trPr>
          <w:trHeight w:val="190"/>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2001</w:t>
            </w:r>
          </w:p>
        </w:tc>
        <w:tc>
          <w:tcPr>
            <w:tcW w:w="400" w:type="dxa"/>
            <w:vAlign w:val="bottom"/>
          </w:tcPr>
          <w:p>
            <w:pPr>
              <w:spacing w:after="0"/>
              <w:rPr>
                <w:sz w:val="16"/>
                <w:szCs w:val="16"/>
                <w:color w:val="auto"/>
              </w:rPr>
            </w:pPr>
          </w:p>
        </w:tc>
        <w:tc>
          <w:tcPr>
            <w:tcW w:w="12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2000</w:t>
            </w:r>
          </w:p>
        </w:tc>
        <w:tc>
          <w:tcPr>
            <w:tcW w:w="400" w:type="dxa"/>
            <w:vAlign w:val="bottom"/>
          </w:tcPr>
          <w:p>
            <w:pPr>
              <w:spacing w:after="0"/>
              <w:rPr>
                <w:sz w:val="16"/>
                <w:szCs w:val="16"/>
                <w:color w:val="auto"/>
              </w:rPr>
            </w:pP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4340" w:type="dxa"/>
            <w:vAlign w:val="bottom"/>
          </w:tcPr>
          <w:p>
            <w:pPr>
              <w:spacing w:after="0"/>
              <w:rPr>
                <w:sz w:val="16"/>
                <w:szCs w:val="16"/>
                <w:color w:val="auto"/>
              </w:rPr>
            </w:pPr>
          </w:p>
        </w:tc>
        <w:tc>
          <w:tcPr>
            <w:tcW w:w="1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340" w:type="dxa"/>
            <w:vAlign w:val="bottom"/>
          </w:tcPr>
          <w:p>
            <w:pPr>
              <w:jc w:val="right"/>
              <w:spacing w:after="0"/>
              <w:rPr>
                <w:sz w:val="20"/>
                <w:szCs w:val="20"/>
                <w:color w:val="auto"/>
              </w:rPr>
            </w:pPr>
            <w:r>
              <w:rPr>
                <w:rFonts w:ascii="Courier New" w:cs="Courier New" w:eastAsia="Courier New" w:hAnsi="Courier New"/>
                <w:sz w:val="16"/>
                <w:szCs w:val="16"/>
                <w:color w:val="auto"/>
              </w:rPr>
              <w:t>Net earnings................................</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16,932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16,442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48,292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44,275</w:t>
            </w:r>
          </w:p>
        </w:tc>
      </w:tr>
      <w:tr>
        <w:trPr>
          <w:trHeight w:val="190"/>
        </w:trPr>
        <w:tc>
          <w:tcPr>
            <w:tcW w:w="4340" w:type="dxa"/>
            <w:vAlign w:val="bottom"/>
          </w:tcPr>
          <w:p>
            <w:pPr>
              <w:spacing w:after="0"/>
              <w:rPr>
                <w:sz w:val="20"/>
                <w:szCs w:val="20"/>
                <w:color w:val="auto"/>
              </w:rPr>
            </w:pPr>
            <w:r>
              <w:rPr>
                <w:rFonts w:ascii="Courier New" w:cs="Courier New" w:eastAsia="Courier New" w:hAnsi="Courier New"/>
                <w:sz w:val="16"/>
                <w:szCs w:val="16"/>
                <w:color w:val="auto"/>
              </w:rPr>
              <w:t>Other comprehensive (loss) income:</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4340" w:type="dxa"/>
            <w:vAlign w:val="bottom"/>
          </w:tcPr>
          <w:p>
            <w:pPr>
              <w:jc w:val="right"/>
              <w:spacing w:after="0"/>
              <w:rPr>
                <w:sz w:val="20"/>
                <w:szCs w:val="20"/>
                <w:color w:val="auto"/>
              </w:rPr>
            </w:pPr>
            <w:r>
              <w:rPr>
                <w:rFonts w:ascii="Courier New" w:cs="Courier New" w:eastAsia="Courier New" w:hAnsi="Courier New"/>
                <w:sz w:val="16"/>
                <w:szCs w:val="16"/>
                <w:color w:val="auto"/>
              </w:rPr>
              <w:t>Foreign currency translation.............</w:t>
            </w:r>
          </w:p>
        </w:tc>
        <w:tc>
          <w:tcPr>
            <w:tcW w:w="180" w:type="dxa"/>
            <w:vAlign w:val="bottom"/>
          </w:tcPr>
          <w:p>
            <w:pPr>
              <w:spacing w:after="0"/>
              <w:rPr>
                <w:sz w:val="16"/>
                <w:szCs w:val="16"/>
                <w:color w:val="auto"/>
              </w:rPr>
            </w:pP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(59)</w:t>
            </w:r>
          </w:p>
        </w:tc>
        <w:tc>
          <w:tcPr>
            <w:tcW w:w="40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282</w:t>
            </w:r>
          </w:p>
        </w:tc>
        <w:tc>
          <w:tcPr>
            <w:tcW w:w="400" w:type="dxa"/>
            <w:vAlign w:val="bottom"/>
          </w:tcPr>
          <w:p>
            <w:pPr>
              <w:spacing w:after="0"/>
              <w:rPr>
                <w:sz w:val="16"/>
                <w:szCs w:val="16"/>
                <w:color w:val="auto"/>
              </w:rPr>
            </w:pPr>
          </w:p>
        </w:tc>
        <w:tc>
          <w:tcPr>
            <w:tcW w:w="13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48</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(1,569)</w:t>
            </w:r>
          </w:p>
        </w:tc>
      </w:tr>
      <w:tr>
        <w:trPr>
          <w:trHeight w:val="190"/>
        </w:trPr>
        <w:tc>
          <w:tcPr>
            <w:tcW w:w="4340" w:type="dxa"/>
            <w:vAlign w:val="bottom"/>
          </w:tcPr>
          <w:p>
            <w:pPr>
              <w:jc w:val="right"/>
              <w:spacing w:after="0"/>
              <w:rPr>
                <w:sz w:val="20"/>
                <w:szCs w:val="20"/>
                <w:color w:val="auto"/>
              </w:rPr>
            </w:pPr>
            <w:r>
              <w:rPr>
                <w:rFonts w:ascii="Courier New" w:cs="Courier New" w:eastAsia="Courier New" w:hAnsi="Courier New"/>
                <w:sz w:val="16"/>
                <w:szCs w:val="16"/>
                <w:color w:val="auto"/>
              </w:rPr>
              <w:t>Derivative instruments...................</w:t>
            </w:r>
          </w:p>
        </w:tc>
        <w:tc>
          <w:tcPr>
            <w:tcW w:w="180" w:type="dxa"/>
            <w:vAlign w:val="bottom"/>
          </w:tcPr>
          <w:p>
            <w:pPr>
              <w:spacing w:after="0"/>
              <w:rPr>
                <w:sz w:val="16"/>
                <w:szCs w:val="16"/>
                <w:color w:val="auto"/>
              </w:rPr>
            </w:pP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(75)</w:t>
            </w:r>
          </w:p>
        </w:tc>
        <w:tc>
          <w:tcPr>
            <w:tcW w:w="40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(73)</w:t>
            </w:r>
          </w:p>
        </w:tc>
        <w:tc>
          <w:tcPr>
            <w:tcW w:w="1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spacing w:after="0"/>
              <w:rPr>
                <w:sz w:val="16"/>
                <w:szCs w:val="16"/>
                <w:color w:val="auto"/>
              </w:rPr>
            </w:pPr>
          </w:p>
        </w:tc>
        <w:tc>
          <w:tcPr>
            <w:tcW w:w="1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40" w:type="dxa"/>
            <w:vAlign w:val="bottom"/>
          </w:tcPr>
          <w:p>
            <w:pPr>
              <w:jc w:val="right"/>
              <w:spacing w:after="0"/>
              <w:rPr>
                <w:sz w:val="20"/>
                <w:szCs w:val="20"/>
                <w:color w:val="auto"/>
              </w:rPr>
            </w:pPr>
            <w:r>
              <w:rPr>
                <w:rFonts w:ascii="Courier New" w:cs="Courier New" w:eastAsia="Courier New" w:hAnsi="Courier New"/>
                <w:sz w:val="16"/>
                <w:szCs w:val="16"/>
                <w:color w:val="auto"/>
              </w:rPr>
              <w:t>Comprehensive income........................</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16,798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16,724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48,267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42,706</w:t>
            </w:r>
          </w:p>
        </w:tc>
      </w:tr>
      <w:tr>
        <w:trPr>
          <w:trHeight w:val="190"/>
        </w:trPr>
        <w:tc>
          <w:tcPr>
            <w:tcW w:w="4340" w:type="dxa"/>
            <w:vAlign w:val="bottom"/>
          </w:tcPr>
          <w:p>
            <w:pPr>
              <w:spacing w:after="0"/>
              <w:rPr>
                <w:sz w:val="16"/>
                <w:szCs w:val="16"/>
                <w:color w:val="auto"/>
              </w:rPr>
            </w:pPr>
          </w:p>
        </w:tc>
        <w:tc>
          <w:tcPr>
            <w:tcW w:w="1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Per Share</w:t>
      </w:r>
    </w:p>
    <w:p>
      <w:pPr>
        <w:spacing w:after="0" w:line="198" w:lineRule="exact"/>
        <w:rPr>
          <w:sz w:val="20"/>
          <w:szCs w:val="20"/>
          <w:color w:val="auto"/>
        </w:rPr>
      </w:pPr>
    </w:p>
    <w:p>
      <w:pPr>
        <w:ind w:right="3140"/>
        <w:spacing w:after="0" w:line="255" w:lineRule="auto"/>
        <w:rPr>
          <w:sz w:val="20"/>
          <w:szCs w:val="20"/>
          <w:color w:val="auto"/>
        </w:rPr>
      </w:pPr>
      <w:r>
        <w:rPr>
          <w:rFonts w:ascii="Courier New" w:cs="Courier New" w:eastAsia="Courier New" w:hAnsi="Courier New"/>
          <w:sz w:val="16"/>
          <w:szCs w:val="16"/>
          <w:color w:val="auto"/>
        </w:rPr>
        <w:t>Reconciliations of basic and dilutive weighted average shares of common stock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304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Three Months Ended</w:t>
            </w:r>
          </w:p>
        </w:tc>
        <w:tc>
          <w:tcPr>
            <w:tcW w:w="27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304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(Shares in thousands)</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August 3,</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July 28,</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August 3,</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July 28,</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2001</w:t>
            </w:r>
          </w:p>
        </w:tc>
        <w:tc>
          <w:tcPr>
            <w:tcW w:w="13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84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of common</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4840" w:type="dxa"/>
            <w:vAlign w:val="bottom"/>
          </w:tcPr>
          <w:p>
            <w:pPr>
              <w:ind w:left="600"/>
              <w:spacing w:after="0"/>
              <w:rPr>
                <w:sz w:val="20"/>
                <w:szCs w:val="20"/>
                <w:color w:val="auto"/>
              </w:rPr>
            </w:pPr>
            <w:r>
              <w:rPr>
                <w:rFonts w:ascii="Courier New" w:cs="Courier New" w:eastAsia="Courier New" w:hAnsi="Courier New"/>
                <w:sz w:val="16"/>
                <w:szCs w:val="16"/>
                <w:color w:val="auto"/>
              </w:rPr>
              <w:t>stock outstanding..........................</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12,644</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12,745</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12,729</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12,716</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Assumed issuance of contingent shares ...........</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83</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of common stock</w:t>
            </w:r>
          </w:p>
        </w:tc>
        <w:tc>
          <w:tcPr>
            <w:tcW w:w="1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4840" w:type="dxa"/>
            <w:vAlign w:val="bottom"/>
          </w:tcPr>
          <w:p>
            <w:pPr>
              <w:ind w:left="600"/>
              <w:spacing w:after="0"/>
              <w:rPr>
                <w:sz w:val="20"/>
                <w:szCs w:val="20"/>
                <w:color w:val="auto"/>
              </w:rPr>
            </w:pPr>
            <w:r>
              <w:rPr>
                <w:rFonts w:ascii="Courier New" w:cs="Courier New" w:eastAsia="Courier New" w:hAnsi="Courier New"/>
                <w:sz w:val="16"/>
                <w:szCs w:val="16"/>
                <w:color w:val="auto"/>
              </w:rPr>
              <w:t>and assumed issuance of contingent shares..</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12,644</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12,745</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12,741</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12,799</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4840" w:type="dxa"/>
            <w:vAlign w:val="bottom"/>
          </w:tcPr>
          <w:p>
            <w:pPr>
              <w:spacing w:after="0"/>
              <w:rPr>
                <w:sz w:val="20"/>
                <w:szCs w:val="20"/>
                <w:color w:val="auto"/>
              </w:rPr>
            </w:pPr>
            <w:r>
              <w:rPr>
                <w:rFonts w:ascii="Courier New" w:cs="Courier New" w:eastAsia="Courier New" w:hAnsi="Courier New"/>
                <w:sz w:val="16"/>
                <w:szCs w:val="16"/>
                <w:color w:val="auto"/>
              </w:rPr>
              <w:t>Dilutive</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(Shares in thousands)</w:t>
            </w:r>
          </w:p>
        </w:tc>
        <w:tc>
          <w:tcPr>
            <w:tcW w:w="1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9"/>
        </w:trPr>
        <w:tc>
          <w:tcPr>
            <w:tcW w:w="484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of common stock</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4840" w:type="dxa"/>
            <w:vAlign w:val="bottom"/>
          </w:tcPr>
          <w:p>
            <w:pPr>
              <w:ind w:left="600"/>
              <w:spacing w:after="0"/>
              <w:rPr>
                <w:sz w:val="20"/>
                <w:szCs w:val="20"/>
                <w:color w:val="auto"/>
              </w:rPr>
            </w:pPr>
            <w:r>
              <w:rPr>
                <w:rFonts w:ascii="Courier New" w:cs="Courier New" w:eastAsia="Courier New" w:hAnsi="Courier New"/>
                <w:sz w:val="16"/>
                <w:szCs w:val="16"/>
                <w:color w:val="auto"/>
              </w:rPr>
              <w:t>and assumed issuance of contingent shares..</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12,644</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12,745</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12,741</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12,799</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Assumed conversion of stock options..............</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365</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326</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367</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280</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shares of common stock,</w:t>
            </w: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4840" w:type="dxa"/>
            <w:vAlign w:val="bottom"/>
          </w:tcPr>
          <w:p>
            <w:pPr>
              <w:ind w:left="600"/>
              <w:spacing w:after="0"/>
              <w:rPr>
                <w:sz w:val="20"/>
                <w:szCs w:val="20"/>
                <w:color w:val="auto"/>
              </w:rPr>
            </w:pPr>
            <w:r>
              <w:rPr>
                <w:rFonts w:ascii="Courier New" w:cs="Courier New" w:eastAsia="Courier New" w:hAnsi="Courier New"/>
                <w:sz w:val="16"/>
                <w:szCs w:val="16"/>
                <w:color w:val="auto"/>
              </w:rPr>
              <w:t>assumed issuance of contingent shares, and</w:t>
            </w:r>
          </w:p>
        </w:tc>
        <w:tc>
          <w:tcPr>
            <w:tcW w:w="1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4840" w:type="dxa"/>
            <w:vAlign w:val="bottom"/>
          </w:tcPr>
          <w:p>
            <w:pPr>
              <w:ind w:left="600"/>
              <w:spacing w:after="0"/>
              <w:rPr>
                <w:sz w:val="20"/>
                <w:szCs w:val="20"/>
                <w:color w:val="auto"/>
              </w:rPr>
            </w:pPr>
            <w:r>
              <w:rPr>
                <w:rFonts w:ascii="Courier New" w:cs="Courier New" w:eastAsia="Courier New" w:hAnsi="Courier New"/>
                <w:sz w:val="16"/>
                <w:szCs w:val="16"/>
                <w:color w:val="auto"/>
              </w:rPr>
              <w:t>assumed conversion of stock options........</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13,009</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13,071</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13,108</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13,079</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40"/>
          </w:cols>
          <w:pgMar w:left="240" w:top="306" w:right="919"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Data</w:t>
      </w:r>
    </w:p>
    <w:p>
      <w:pPr>
        <w:spacing w:after="0" w:line="198" w:lineRule="exact"/>
        <w:rPr>
          <w:sz w:val="20"/>
          <w:szCs w:val="20"/>
          <w:color w:val="auto"/>
        </w:rPr>
      </w:pPr>
    </w:p>
    <w:p>
      <w:pPr>
        <w:ind w:right="4020"/>
        <w:spacing w:after="0" w:line="252" w:lineRule="auto"/>
        <w:rPr>
          <w:sz w:val="20"/>
          <w:szCs w:val="20"/>
          <w:color w:val="auto"/>
        </w:rPr>
      </w:pPr>
      <w:r>
        <w:rPr>
          <w:rFonts w:ascii="Courier New" w:cs="Courier New" w:eastAsia="Courier New" w:hAnsi="Courier New"/>
          <w:sz w:val="16"/>
          <w:szCs w:val="16"/>
          <w:color w:val="auto"/>
        </w:rPr>
        <w:t>As a result of the acquisition of a southwestern-based distribution company, that acquisition has increased revenues to a level that requires the distribution segment to be reported separately. The company will report its domestic distribution companies as a separate segment beginning in the third quarter of fiscal 2001.</w:t>
      </w:r>
    </w:p>
    <w:p>
      <w:pPr>
        <w:spacing w:after="0" w:line="186" w:lineRule="exact"/>
        <w:rPr>
          <w:sz w:val="20"/>
          <w:szCs w:val="20"/>
          <w:color w:val="auto"/>
        </w:rPr>
      </w:pPr>
    </w:p>
    <w:p>
      <w:pPr>
        <w:ind w:right="3740"/>
        <w:spacing w:after="0" w:line="251" w:lineRule="auto"/>
        <w:rPr>
          <w:sz w:val="20"/>
          <w:szCs w:val="20"/>
          <w:color w:val="auto"/>
        </w:rPr>
      </w:pPr>
      <w:r>
        <w:rPr>
          <w:rFonts w:ascii="Courier New" w:cs="Courier New" w:eastAsia="Courier New" w:hAnsi="Courier New"/>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90" w:lineRule="exact"/>
        <w:rPr>
          <w:sz w:val="20"/>
          <w:szCs w:val="20"/>
          <w:color w:val="auto"/>
        </w:rPr>
      </w:pPr>
    </w:p>
    <w:p>
      <w:pPr>
        <w:ind w:right="3920"/>
        <w:spacing w:after="0" w:line="255" w:lineRule="auto"/>
        <w:rPr>
          <w:sz w:val="20"/>
          <w:szCs w:val="20"/>
          <w:color w:val="auto"/>
        </w:rPr>
      </w:pPr>
      <w:r>
        <w:rPr>
          <w:rFonts w:ascii="Courier New" w:cs="Courier New" w:eastAsia="Courier New" w:hAnsi="Courier New"/>
          <w:sz w:val="16"/>
          <w:szCs w:val="16"/>
          <w:color w:val="auto"/>
        </w:rPr>
        <w:t>The following table shows the summarized financial information concerning the company's reportable segments: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(Dollars in thousands)</w:t>
            </w:r>
          </w:p>
        </w:tc>
        <w:tc>
          <w:tcPr>
            <w:tcW w:w="1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1280" w:type="dxa"/>
            <w:vAlign w:val="bottom"/>
          </w:tcPr>
          <w:p>
            <w:pPr>
              <w:spacing w:after="0"/>
              <w:rPr>
                <w:sz w:val="20"/>
                <w:szCs w:val="20"/>
                <w:color w:val="auto"/>
              </w:rPr>
            </w:pPr>
            <w:r>
              <w:rPr>
                <w:rFonts w:ascii="Courier New" w:cs="Courier New" w:eastAsia="Courier New" w:hAnsi="Courier New"/>
                <w:sz w:val="16"/>
                <w:szCs w:val="16"/>
                <w:color w:val="auto"/>
              </w:rPr>
              <w:t>Three months</w:t>
            </w:r>
          </w:p>
        </w:tc>
        <w:tc>
          <w:tcPr>
            <w:tcW w:w="3460" w:type="dxa"/>
            <w:vAlign w:val="bottom"/>
          </w:tcPr>
          <w:p>
            <w:pPr>
              <w:spacing w:after="0"/>
              <w:rPr>
                <w:sz w:val="20"/>
                <w:szCs w:val="20"/>
                <w:color w:val="auto"/>
              </w:rPr>
            </w:pPr>
            <w:r>
              <w:rPr>
                <w:rFonts w:ascii="Courier New" w:cs="Courier New" w:eastAsia="Courier New" w:hAnsi="Courier New"/>
                <w:sz w:val="16"/>
                <w:szCs w:val="16"/>
                <w:color w:val="auto"/>
              </w:rPr>
              <w:t>ended August 3, 2001:</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Professional</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Residential</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Distribution</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Other</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1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$224,992</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$88,052</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$43,452</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$(26,685)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$329,811</w:t>
            </w:r>
          </w:p>
        </w:tc>
      </w:tr>
      <w:tr>
        <w:trPr>
          <w:trHeight w:val="190"/>
        </w:trPr>
        <w:tc>
          <w:tcPr>
            <w:tcW w:w="1280" w:type="dxa"/>
            <w:vAlign w:val="bottom"/>
          </w:tcPr>
          <w:p>
            <w:pPr>
              <w:spacing w:after="0"/>
              <w:rPr>
                <w:sz w:val="20"/>
                <w:szCs w:val="20"/>
                <w:color w:val="auto"/>
              </w:rPr>
            </w:pPr>
            <w:r>
              <w:rPr>
                <w:rFonts w:ascii="Courier New" w:cs="Courier New" w:eastAsia="Courier New" w:hAnsi="Courier New"/>
                <w:sz w:val="16"/>
                <w:szCs w:val="16"/>
                <w:color w:val="auto"/>
              </w:rPr>
              <w:t>Intersegment</w:t>
            </w:r>
          </w:p>
        </w:tc>
        <w:tc>
          <w:tcPr>
            <w:tcW w:w="34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24,736</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1,946</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(26,682)</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Earnings (loss) before income taxes............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37,702</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5,100</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192</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(16,118)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26,876</w:t>
            </w:r>
          </w:p>
        </w:tc>
      </w:tr>
      <w:tr>
        <w:trPr>
          <w:trHeight w:val="379"/>
        </w:trPr>
        <w:tc>
          <w:tcPr>
            <w:tcW w:w="1280" w:type="dxa"/>
            <w:vAlign w:val="bottom"/>
          </w:tcPr>
          <w:p>
            <w:pPr>
              <w:spacing w:after="0"/>
              <w:rPr>
                <w:sz w:val="20"/>
                <w:szCs w:val="20"/>
                <w:color w:val="auto"/>
              </w:rPr>
            </w:pPr>
            <w:r>
              <w:rPr>
                <w:rFonts w:ascii="Courier New" w:cs="Courier New" w:eastAsia="Courier New" w:hAnsi="Courier New"/>
                <w:sz w:val="16"/>
                <w:szCs w:val="16"/>
                <w:color w:val="auto"/>
              </w:rPr>
              <w:t>Three months</w:t>
            </w:r>
          </w:p>
        </w:tc>
        <w:tc>
          <w:tcPr>
            <w:tcW w:w="3460" w:type="dxa"/>
            <w:vAlign w:val="bottom"/>
          </w:tcPr>
          <w:p>
            <w:pPr>
              <w:spacing w:after="0"/>
              <w:rPr>
                <w:sz w:val="20"/>
                <w:szCs w:val="20"/>
                <w:color w:val="auto"/>
              </w:rPr>
            </w:pPr>
            <w:r>
              <w:rPr>
                <w:rFonts w:ascii="Courier New" w:cs="Courier New" w:eastAsia="Courier New" w:hAnsi="Courier New"/>
                <w:sz w:val="16"/>
                <w:szCs w:val="16"/>
                <w:color w:val="auto"/>
              </w:rPr>
              <w:t>ended July 28, 2000:</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9"/>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$235,662</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$94,553</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$41,376</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$(26,425)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$345,166</w:t>
            </w:r>
          </w:p>
        </w:tc>
      </w:tr>
      <w:tr>
        <w:trPr>
          <w:trHeight w:val="190"/>
        </w:trPr>
        <w:tc>
          <w:tcPr>
            <w:tcW w:w="1280" w:type="dxa"/>
            <w:vAlign w:val="bottom"/>
          </w:tcPr>
          <w:p>
            <w:pPr>
              <w:spacing w:after="0"/>
              <w:rPr>
                <w:sz w:val="20"/>
                <w:szCs w:val="20"/>
                <w:color w:val="auto"/>
              </w:rPr>
            </w:pPr>
            <w:r>
              <w:rPr>
                <w:rFonts w:ascii="Courier New" w:cs="Courier New" w:eastAsia="Courier New" w:hAnsi="Courier New"/>
                <w:sz w:val="16"/>
                <w:szCs w:val="16"/>
                <w:color w:val="auto"/>
              </w:rPr>
              <w:t>Intersegment</w:t>
            </w:r>
          </w:p>
        </w:tc>
        <w:tc>
          <w:tcPr>
            <w:tcW w:w="34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23,498</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2,927</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(26,425)</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Earnings (loss) before income taxes............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36,398</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5,400</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2,190</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(17,890)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26,098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2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Nine months ended August 3, 2001:</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Professional</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Residential</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Distribution</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Other</w:t>
            </w:r>
          </w:p>
        </w:tc>
        <w:tc>
          <w:tcPr>
            <w:tcW w:w="11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2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$710,054</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$340,831</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$103,956</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$(78,028)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$1,076,813</w:t>
            </w:r>
          </w:p>
        </w:tc>
      </w:tr>
      <w:tr>
        <w:trPr>
          <w:trHeight w:val="19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Intersegment net sales.........................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69,923</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7,802</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(77,725)</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260" w:type="dxa"/>
            <w:vAlign w:val="bottom"/>
          </w:tcPr>
          <w:p>
            <w:pPr>
              <w:spacing w:after="0"/>
              <w:rPr>
                <w:sz w:val="20"/>
                <w:szCs w:val="20"/>
                <w:color w:val="auto"/>
              </w:rPr>
            </w:pPr>
            <w:r>
              <w:rPr>
                <w:rFonts w:ascii="Courier New" w:cs="Courier New" w:eastAsia="Courier New" w:hAnsi="Courier New"/>
                <w:sz w:val="16"/>
                <w:szCs w:val="16"/>
                <w:color w:val="auto"/>
              </w:rPr>
              <w:t>Earnings (loss) before</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105,259</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29,973</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(1,117)</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(57,461)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76,654</w:t>
            </w:r>
          </w:p>
        </w:tc>
      </w:tr>
      <w:tr>
        <w:trPr>
          <w:trHeight w:val="19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478,447</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129,966</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68,960</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231,355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908,728</w:t>
            </w:r>
          </w:p>
        </w:tc>
      </w:tr>
      <w:tr>
        <w:trPr>
          <w:trHeight w:val="379"/>
        </w:trPr>
        <w:tc>
          <w:tcPr>
            <w:tcW w:w="2260" w:type="dxa"/>
            <w:vAlign w:val="bottom"/>
          </w:tcPr>
          <w:p>
            <w:pPr>
              <w:spacing w:after="0"/>
              <w:rPr>
                <w:sz w:val="20"/>
                <w:szCs w:val="20"/>
                <w:color w:val="auto"/>
              </w:rPr>
            </w:pPr>
            <w:r>
              <w:rPr>
                <w:rFonts w:ascii="Courier New" w:cs="Courier New" w:eastAsia="Courier New" w:hAnsi="Courier New"/>
                <w:sz w:val="16"/>
                <w:szCs w:val="16"/>
                <w:color w:val="auto"/>
              </w:rPr>
              <w:t>Nine months ended July</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28, 2000:</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9"/>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$693,967</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$349,759</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$97,341</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$(73,863)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$1,067,204</w:t>
            </w:r>
          </w:p>
        </w:tc>
      </w:tr>
      <w:tr>
        <w:trPr>
          <w:trHeight w:val="19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Intersegment net sales.........................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61,651</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12,212</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(73,863)</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260" w:type="dxa"/>
            <w:vAlign w:val="bottom"/>
          </w:tcPr>
          <w:p>
            <w:pPr>
              <w:spacing w:after="0"/>
              <w:rPr>
                <w:sz w:val="20"/>
                <w:szCs w:val="20"/>
                <w:color w:val="auto"/>
              </w:rPr>
            </w:pPr>
            <w:r>
              <w:rPr>
                <w:rFonts w:ascii="Courier New" w:cs="Courier New" w:eastAsia="Courier New" w:hAnsi="Courier New"/>
                <w:sz w:val="16"/>
                <w:szCs w:val="16"/>
                <w:color w:val="auto"/>
              </w:rPr>
              <w:t>Earnings (loss) before</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96,735</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26,760</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3,191</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(56,408)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70,278</w:t>
            </w:r>
          </w:p>
        </w:tc>
      </w:tr>
      <w:tr>
        <w:trPr>
          <w:trHeight w:val="19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473,996</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141,100</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52,586</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230,315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897,997</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presents the details of the other segment earnings (loss)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income taxes: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90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Three Months Ended</w:t>
            </w:r>
          </w:p>
        </w:tc>
        <w:tc>
          <w:tcPr>
            <w:tcW w:w="29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4840" w:type="dxa"/>
            <w:vAlign w:val="bottom"/>
          </w:tcPr>
          <w:p>
            <w:pPr>
              <w:spacing w:after="0"/>
              <w:rPr>
                <w:sz w:val="16"/>
                <w:szCs w:val="16"/>
                <w:color w:val="auto"/>
              </w:rPr>
            </w:pPr>
          </w:p>
        </w:tc>
        <w:tc>
          <w:tcPr>
            <w:tcW w:w="290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August 3,</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July 28,</w:t>
            </w:r>
          </w:p>
        </w:tc>
        <w:tc>
          <w:tcPr>
            <w:tcW w:w="16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August 3,</w:t>
            </w:r>
          </w:p>
        </w:tc>
        <w:tc>
          <w:tcPr>
            <w:tcW w:w="12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July 28,</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2000</w:t>
            </w:r>
          </w:p>
        </w:tc>
        <w:tc>
          <w:tcPr>
            <w:tcW w:w="16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840" w:type="dxa"/>
            <w:vAlign w:val="bottom"/>
          </w:tcPr>
          <w:p>
            <w:pPr>
              <w:spacing w:after="0"/>
              <w:rPr>
                <w:sz w:val="20"/>
                <w:szCs w:val="20"/>
                <w:color w:val="auto"/>
              </w:rPr>
            </w:pPr>
            <w:r>
              <w:rPr>
                <w:rFonts w:ascii="Courier New" w:cs="Courier New" w:eastAsia="Courier New" w:hAnsi="Courier New"/>
                <w:sz w:val="16"/>
                <w:szCs w:val="16"/>
                <w:color w:val="auto"/>
              </w:rPr>
              <w:t>Corporate expenses...............................</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$(16,781)</w:t>
            </w:r>
          </w:p>
        </w:tc>
        <w:tc>
          <w:tcPr>
            <w:tcW w:w="12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$(17,565)</w:t>
            </w:r>
          </w:p>
        </w:tc>
        <w:tc>
          <w:tcPr>
            <w:tcW w:w="16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$(53,077)</w:t>
            </w:r>
          </w:p>
        </w:tc>
        <w:tc>
          <w:tcPr>
            <w:tcW w:w="12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$(50,748)</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Finance charge revenue...........................</w:t>
            </w:r>
          </w:p>
        </w:tc>
        <w:tc>
          <w:tcPr>
            <w:tcW w:w="16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1,278</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1,184</w:t>
            </w:r>
          </w:p>
        </w:tc>
        <w:tc>
          <w:tcPr>
            <w:tcW w:w="16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4,287</w:t>
            </w:r>
          </w:p>
        </w:tc>
        <w:tc>
          <w:tcPr>
            <w:tcW w:w="12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3,921</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Elimination of corporate financing expense.......</w:t>
            </w:r>
          </w:p>
        </w:tc>
        <w:tc>
          <w:tcPr>
            <w:tcW w:w="16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4,825</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5,521</w:t>
            </w:r>
          </w:p>
        </w:tc>
        <w:tc>
          <w:tcPr>
            <w:tcW w:w="16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12,055</w:t>
            </w:r>
          </w:p>
        </w:tc>
        <w:tc>
          <w:tcPr>
            <w:tcW w:w="12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13,921</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(6,177)</w:t>
            </w:r>
          </w:p>
        </w:tc>
        <w:tc>
          <w:tcPr>
            <w:tcW w:w="12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(7,651)</w:t>
            </w:r>
          </w:p>
        </w:tc>
        <w:tc>
          <w:tcPr>
            <w:tcW w:w="16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(17,890)</w:t>
            </w:r>
          </w:p>
        </w:tc>
        <w:tc>
          <w:tcPr>
            <w:tcW w:w="12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(21,060)</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737</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621</w:t>
            </w:r>
          </w:p>
        </w:tc>
        <w:tc>
          <w:tcPr>
            <w:tcW w:w="16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(2,836)</w:t>
            </w:r>
          </w:p>
        </w:tc>
        <w:tc>
          <w:tcPr>
            <w:tcW w:w="12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(2,442)</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8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6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$(16,118)</w:t>
            </w:r>
          </w:p>
        </w:tc>
        <w:tc>
          <w:tcPr>
            <w:tcW w:w="12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$(17,890)</w:t>
            </w:r>
          </w:p>
        </w:tc>
        <w:tc>
          <w:tcPr>
            <w:tcW w:w="16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$(57,461)</w:t>
            </w:r>
          </w:p>
        </w:tc>
        <w:tc>
          <w:tcPr>
            <w:tcW w:w="12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$(56,408)</w:t>
            </w:r>
          </w:p>
        </w:tc>
      </w:tr>
      <w:tr>
        <w:trPr>
          <w:trHeight w:val="190"/>
        </w:trPr>
        <w:tc>
          <w:tcPr>
            <w:tcW w:w="4840" w:type="dxa"/>
            <w:vAlign w:val="bottom"/>
          </w:tcPr>
          <w:p>
            <w:pPr>
              <w:spacing w:after="0"/>
              <w:rPr>
                <w:sz w:val="16"/>
                <w:szCs w:val="16"/>
                <w:color w:val="auto"/>
              </w:rPr>
            </w:pPr>
          </w:p>
        </w:tc>
        <w:tc>
          <w:tcPr>
            <w:tcW w:w="16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520"/>
          </w:cols>
          <w:pgMar w:left="240" w:top="306" w:right="139" w:bottom="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 Financial Instruments</w:t>
      </w:r>
    </w:p>
    <w:p>
      <w:pPr>
        <w:spacing w:after="0" w:line="198"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The company uses derivative instruments to manage exposure to foreign currency. Toro uses derivatives only in an attempt to limit underlying exposure to currency fluctuations, and not for trading purposes.</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enters into forward foreign exchange contracts to hedge the risk from forecasted settlement in local currencies of trade sales. These contracts are designated as cash flow hedges with the fair value recorded in accumulated other comprehensive income (loss) and as a hedge asset or liability as applicable. Once the forecasted transaction has been recognized as a sale and a related asset recorded in the balance sheet, the related fair value of the derivative hedge contract is reclassified from accumulated other comprehensive income (loss) into earnings. During the quarter ended August 3, 2001, the amount of adjustments to earnings for such cash flow hedges was immaterial. At August 3, 2001, the amount of such forward contracts outstanding was $8,604,467. The unrecognized after-tax gain portion of the fair value of the contracts recorded in accumulated other comprehensive income (loss) at August 3, 2001 was $89,001.</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enters into forward foreign exchange contracts to hedge the risk from forecasted settlement in local currencies of trade purchases. These contracts are designated as cash flow hedges with the fair value recorded in accumulated other comprehensive income (loss) and as a hedge asset or liability as applicable. Once the forecasted transaction has been recognized as a purchase and a related liability recorded in the balance sheet, the related fair value of the derivative hedge contract is reclassified from accumulated other comprehensive income (loss) into earnings. During the quarter ended August 3, 2001, the amount of adjustments to earnings for such cash flow hedges was immaterial. At August 3, 2001, the amount of such forward contracts outstanding was $14,159,414. The unrecognized after-tax loss portion of the fair value of the contracts recorded in accumulated other comprehensive income (loss) at August 3, 2001 was $162,315.</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enters into forward foreign exchange contracts to hedge the risk from forecasted settlement in local currencies of intercompany sales. These transactions and other forward foreign exchange contracts do not meet the accounting rules established under SFAS 133 of recording the unrecognized after-tax gain or loss portion of the fair value of the contracts in accumulated other comprehensive income (loss). Therefore, the related fair value of the derivative hedge contract is recognized in earnings.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July, 2001, the Financial Accounting Standards Board (FASB) issued Statement of Financial Accounting Standards (SFAS) No. 141, "Business Combinations" and SFAS No. 142, "Goodwill and Other Intangible Assets." SFAS 141 requires that the purchase method of accounting be used for all business combinations initiated after June 30, 2001, and use of the pooling-of-interests method will be prohibited. SFAS No. 141 also provides new criteria to determine whether an acquired intangible asset should be recognized separately from goodwill. SFAS No. 142 will require that goodwill and intangible assets with indefinite useful lives no longer be amortized but instead tested for impairment at least annually at the reporting unit level using a two-step impairment test. The company will adopt SFAS No. 142 on November 1, 2001. The company is currently in the process of determining the impact of these pronouncements on its financial position and results of operations related to valuation of goodwill and other intangible assets. Any impairment resulting from initial application of the statements will be recorded as a cumulative effect of accounting change during the first six months of fiscal 2002. The company has made a preliminary assessment related to the effect of no longer amortizing goodwill. If SFAS No. 142 had been effective as of November 1, 2000, the company's net earnings per dilutive share would have been approximately $1.42 to $1.47 for the third quarter of fiscal 2001 and approximately $4.13 to $4.18 for the first nine months of fiscal 2001.</w:t>
      </w:r>
    </w:p>
    <w:p>
      <w:pPr>
        <w:spacing w:after="0" w:line="190"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The Emerging Issues Task Force (EITF) has issued the final versions of EITF No. 00-10, "Accounting for Shipping and Handling Fees and Costs," EITF No. 00-14, "Accounting for Certain Sales Incentives," and EITF No. 00-25 "Vendor Income Statement Characterization of Consideration Paid to a Reseller of the Vendor's Products."</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EITF No. 00-10 provides guidance regarding shipping and handling costs incurred for selling goods, and the income statement classification of amounts charged to customers for shipping and handling as well as costs incurred related to shipping and handling. EITF No. 00-10 will be effective for the company in the fourth quarter of fiscal 2001. Toro currently reports freight revenue and freight costs related to selling goods as part of net sales. Therefore, the company expects the reclassification of freight costs incurred for shipping and handling goods to customers to increase both net sales and cost of goods sold.</w:t>
      </w:r>
    </w:p>
    <w:p>
      <w:pPr>
        <w:sectPr>
          <w:pgSz w:w="11900" w:h="16838" w:orient="portrait"/>
          <w:cols w:equalWidth="0" w:num="1">
            <w:col w:w="10219"/>
          </w:cols>
          <w:pgMar w:left="240" w:top="306" w:right="1440" w:bottom="422" w:gutter="0" w:footer="0" w:header="0"/>
        </w:sectPr>
      </w:pPr>
    </w:p>
    <w:bookmarkStart w:id="9" w:name="page10"/>
    <w:bookmarkEnd w:id="9"/>
    <w:p>
      <w:pPr>
        <w:ind w:left="2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142"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 (continued)</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EITF No. 00-14 provides guidance regarding accounting for sales incentives offered to customers, and the proper income statement classification. The company plans to adopt EITF No. 00-14 in the fourth quarter of fiscal 2001. The company expects to reclassify costs incurred related to EITF No. 00-14 from selling, general, and administrative expense to net sales, which will reduce both amounts.</w:t>
      </w:r>
    </w:p>
    <w:p>
      <w:pPr>
        <w:spacing w:after="0" w:line="376"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EITF No. 00-25 provides guidance whether consideration from a vendor to a customer is an adjustment of the selling prices and, therefore, should be deducted from revenue in the income statement or a cost incurred for assets or services and, therefore, should be included as a cost or an expense in the income statement. The company plans to adopt EITF No. 00-25 in the fourth quarter of fiscal 2001. The company expects to reclassify certain costs including floor plan interest, currency support, and certain cooperative marketing programs from selling, general, and administrative expense to net sales, which will reduce both amounts.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December 1999, the Securities and Exchange Commission (SEC) staff issued Staff Accounting Bulletin No. 101, "Revenue Recognition in Financial Statements" (SAB 101). SAB 101 summarizes certain SEC staff views in applying accounting principles generally accepted in the United States of America to revenue recognition in financial statements. SAB 101 will be effective for the company in the fourth quarter of fiscal 2001. Toro is currently evaluating the impact of SAB 101 on its financial condition and results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During the third quarter of fiscal 2001, Toro completed two immaterial acquisitions, which included Electronic Industrial Controls, Inc. (EICON), a provider of innovative computer control systems for the irrigation industry, located in Englewood, Colorado and a southwestern-based distribution company.</w:t>
      </w:r>
    </w:p>
    <w:p>
      <w:pPr>
        <w:spacing w:after="0" w:line="200" w:lineRule="exact"/>
        <w:rPr>
          <w:sz w:val="20"/>
          <w:szCs w:val="20"/>
          <w:color w:val="auto"/>
        </w:rPr>
      </w:pPr>
    </w:p>
    <w:p>
      <w:pPr>
        <w:spacing w:after="0" w:line="3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6"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11</w:t>
      </w:r>
    </w:p>
    <w:p>
      <w:pPr>
        <w:spacing w:after="0" w:line="388" w:lineRule="exact"/>
        <w:rPr>
          <w:sz w:val="20"/>
          <w:szCs w:val="20"/>
          <w:color w:val="auto"/>
        </w:rPr>
      </w:pPr>
    </w:p>
    <w:p>
      <w:pPr>
        <w:ind w:left="880" w:right="351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INFORMATION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over the Internet, or otherwise, in the future by or on behalf of the company. When used by or on behalf of the company, the words "expect", "anticipate", "estimate", "believe", "intend", and similar expressions generally identify forward-looking statements.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Forward-looking statements involve risks and uncertainties. These uncertainties include factors that affect all businesses operating in a global market, as well as matters specific to the company and the markets it serves. Particular risks and uncertainties that could affect the company's overall financial position include the continuing slow down in the global and domestic economy; the continued decline in consumer confidence and possibility of a recession; weakness in retail sales; inability to achieve earnings growth in fiscal 2001 of 12 to 15 percent above fiscal 2000; inability to achieve double digit earnings growth in fiscal 2002 (excluding the effect of the change in reporting goodwill) above fiscal 2001; inability to maintain revenue at fiscal 2000 level in fiscal 2001; inability to grow revenue in the single digits in fiscal 2002 above fiscal 2001; inability to achieve gross margin in fiscal 2001 of 37 to 38 percent; inability to keep growth of operating expenses in fiscal 2001 at 5 to 9 percent, in dollars, above fiscal 2000; inability to maintain a tax rate of 37 percent in fiscal 2001; inability to achieve goals of the "5 by Five" profit improvement program, which includes achieving an after tax return on sales of 5 percent by fiscal 2003; rising energy costs;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the degree of success in implementing a distribution initiative designed to develop a new distribution model; increased competition in the company's businesses from competitors that have greater financial resources, including competitive pricing pressures; impact of the Internet and e-commerce on the company's business and distribution channels; changes in distributor ownership; financial viability of some distributors and dealers; unforeseen difficulties in the implementation of strategies to use outside providers for warehousing and transportation services; changes in distributors', dealers', home centers', or mass retailers' purchasing practices, especially elimination of shelf space for Toro's products; the company's ability to cost-effectively expand existing and open new manufacturing facilities; the company's ability to manage costs and capacity constraints at its manufacturing facilities; the company's ability to rationalize its product lines and plant configurations, including closing manufacturing facilities; the ability to retain and hire quality employees; threatened or pending litigation on matters relating to patent infringement and commercial disputes; and the impact of new accounting standards, including possible impairment charges related to intangible assets and elimination of goodwill amortization related to SFAS No. 142.</w:t>
      </w:r>
    </w:p>
    <w:p>
      <w:pPr>
        <w:spacing w:after="0" w:line="38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Particular risks and uncertainties facing the company's professional segment at the present include inflationary pressures and a slow down in both global and domestic economic growth that has been important to the growth of the company's professional businesses, including the golf and landscape contractor markets; product quality problems in the development and production of irrigation products and other product lines, including potential loss of market share; delays in key new irrigation product introductions; the degree of success related to reorganization and management changes in the irrigation and agricultural irrigation areas; increasing oil prices that raise the cost of resin used in irrigation and agricultural irrigation products; a continued slow down in new golf course construction or existing golf course renovations; a decline in the growth rate in the number of new golfers, which slows new golf course construction; a reported decline in rounds of golf, which delays investments by golf courses for new equipment and irrigation systems; a slow down in new home construction; the financial impact of direct-to-dealer distribution changes related to the Sitework Systems product line; and challenges of establishing new dealers for the Sitework Systems product line.</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6" w:right="1440" w:bottom="998"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7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Particular risks and uncertainties facing the company's residential segment at the present include inflationary pressures and slower economic growth; a decline in consumer confidence; a decline in retail sales; market response to new products and potential sales decline of other existing product categories; the successful manufacturing alliance with third parties; changing buying patterns, including but not limited to a trend away from purchases at dealer outlets to price and value sensitive purchases at hardware retailers, home centers, and mass retailers; loss of, or a significant reduction in, sales through a significant distribution channel or customer, particularly as the company's residential segment is more dependent on home center sales; a slowdown in home sales; and the company's expansion into selected home center markets and the potential decline of sales on other product lines and distribution channels.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Particular risks and uncertainties facing the company's international business at the present include weak economic conditions in the European market; socio-economic conditions in some international markets, which include euro conversion affecting 12 countries, internal and external conflicts between foreign countries, and continuing economic crisis in Japan; tax law changes in Mexico; currency fluctuations of the dollar against the euro, Japanese yen, and Australian dollar; the cost of currency support provided to international customers to compensate for weak currencies compared to the U.S. dollar; and competitive implications and price transparencies related to the euro conversion.</w:t>
      </w:r>
    </w:p>
    <w:p>
      <w:pPr>
        <w:spacing w:after="0" w:line="379"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Particular risks and uncertainties facing the company's distribution segment at the present include inflationary pressures and slower economic growth; a decline in consumer confidence; a decline in retail sales; viability of dealers; degree of success related to operation restructuring, including technology and facility investments in the distribution companies; ability to capture national account business; purchasing practices of national accounts; a continued slow down in new golf course construction or existing golf course renovations; successful integration of acquired distribution companies; ability to hire quality service technicians; impact of Toro pricing on some product lines sold through the distribution companies; ability to successfully implement a just-in-time inventory initiative; and the ability to rationalize product lines.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In addition, the company is subject to risks and uncertainties facing its industry in general, including changes in business, financial, and political conditions and the economy in general in both foreign and domestic markets; the uncertainty of the economic affect from terrorists actions; weather conditions affecting demand, including warm winters and wet or cold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employees.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The company wishes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Toro assumes no obligation to update forward-looking statements to reflect actual results or changes in factors or assumptions affecting such forward-looking statements.</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6"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Toro's results for the third quarter of fiscal 2001 were mixed, with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increase of 3.0 percent despite a decline in sales of 4.4 percent.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2001 third quarter net sales were $329.8 million compared to $345.2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the third quarter of fiscal 2000. Year-to-date net sales were</w:t>
      </w:r>
    </w:p>
    <w:p>
      <w:pPr>
        <w:spacing w:after="0" w:line="8" w:lineRule="exact"/>
        <w:rPr>
          <w:sz w:val="20"/>
          <w:szCs w:val="20"/>
          <w:color w:val="auto"/>
        </w:rPr>
      </w:pPr>
    </w:p>
    <w:p>
      <w:pPr>
        <w:ind w:right="3160"/>
        <w:spacing w:after="0" w:line="251" w:lineRule="auto"/>
        <w:rPr>
          <w:sz w:val="20"/>
          <w:szCs w:val="20"/>
          <w:color w:val="auto"/>
        </w:rPr>
      </w:pPr>
      <w:r>
        <w:rPr>
          <w:rFonts w:ascii="Courier New" w:cs="Courier New" w:eastAsia="Courier New" w:hAnsi="Courier New"/>
          <w:sz w:val="16"/>
          <w:szCs w:val="16"/>
          <w:color w:val="auto"/>
        </w:rPr>
        <w:t>$1,076.8 million compared to $1,067.2 million last year, a slight increase of 0.9 percent. Worldwide sales for the professional segment declined 4.5 percent compared to last year's third quarter, but rose 2.3 percent year-to-date. Worldwide sales for the residential segment decreased 6.9 percent compared to last year's third quarter and 2.6 percent for the year. The distribution segment sales were up 5.0 percent for the quarter and 6.8 percent for the year due to the addition of sales from two newly acquired distribution companies. International sales were down 16.2 percent for the quarter and 2.7 percent year-to-date; disregarding currency effects, international sales decreased 13.3 percent for the quarter, but increased slightly by 0.9 percent for the first nine months of fiscal 2001. The weak economy and unfavorable weather conditions have contributed to the sales decline, although the decline was somewhat offset by continued growth in landscape contractor market sales and positive acceptance of new professional and residential segment products.</w:t>
      </w:r>
    </w:p>
    <w:p>
      <w:pPr>
        <w:spacing w:after="0" w:line="190" w:lineRule="exact"/>
        <w:rPr>
          <w:sz w:val="20"/>
          <w:szCs w:val="20"/>
          <w:color w:val="auto"/>
        </w:rPr>
      </w:pPr>
    </w:p>
    <w:p>
      <w:pPr>
        <w:ind w:right="3160"/>
        <w:spacing w:after="0" w:line="251" w:lineRule="auto"/>
        <w:rPr>
          <w:sz w:val="20"/>
          <w:szCs w:val="20"/>
          <w:color w:val="auto"/>
        </w:rPr>
      </w:pPr>
      <w:r>
        <w:rPr>
          <w:rFonts w:ascii="Courier New" w:cs="Courier New" w:eastAsia="Courier New" w:hAnsi="Courier New"/>
          <w:sz w:val="16"/>
          <w:szCs w:val="16"/>
          <w:color w:val="auto"/>
        </w:rPr>
        <w:t>Net earnings increased 3.0 percent to $16.9 million from $16.4 million for the same quarter in fiscal 2000, and dilutive earnings per share for the quarter rose 3.2 percent to $1.30 from $1.26 in fiscal 2000 third quarter. Year-to-date net earnings were $48.3 million compared to $44.3 million last year, an increase of 9.1 percent, and dilutive earnings per share for the year were $3.68 compared to $3.39 last year. Excluding restructuring and other unusual income, year-to-date net earnings would have been $47.9 million and dilutive earnings per share would have been $3.65. Reduced interest expense and higher levels of other income, net were the main contributors to the earnings improvement.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summarizes net sales by segment:</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Three Months Ended</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7200" w:type="dxa"/>
            <w:vAlign w:val="bottom"/>
            <w:gridSpan w:val="8"/>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100" w:type="dxa"/>
            <w:vAlign w:val="bottom"/>
          </w:tcPr>
          <w:p>
            <w:pPr>
              <w:spacing w:after="0"/>
              <w:rPr>
                <w:sz w:val="16"/>
                <w:szCs w:val="16"/>
                <w:color w:val="auto"/>
              </w:rPr>
            </w:pPr>
          </w:p>
        </w:tc>
        <w:tc>
          <w:tcPr>
            <w:tcW w:w="13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9"/>
              </w:rPr>
              <w:t>August 3,</w:t>
            </w:r>
          </w:p>
        </w:tc>
        <w:tc>
          <w:tcPr>
            <w:tcW w:w="400" w:type="dxa"/>
            <w:vAlign w:val="bottom"/>
          </w:tcPr>
          <w:p>
            <w:pPr>
              <w:spacing w:after="0"/>
              <w:rPr>
                <w:sz w:val="16"/>
                <w:szCs w:val="16"/>
                <w:color w:val="auto"/>
              </w:rPr>
            </w:pPr>
          </w:p>
        </w:tc>
        <w:tc>
          <w:tcPr>
            <w:tcW w:w="12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July 28,</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2001</w:t>
            </w:r>
          </w:p>
        </w:tc>
        <w:tc>
          <w:tcPr>
            <w:tcW w:w="400" w:type="dxa"/>
            <w:vAlign w:val="bottom"/>
          </w:tcPr>
          <w:p>
            <w:pPr>
              <w:spacing w:after="0"/>
              <w:rPr>
                <w:sz w:val="16"/>
                <w:szCs w:val="16"/>
                <w:color w:val="auto"/>
              </w:rPr>
            </w:pPr>
          </w:p>
        </w:tc>
        <w:tc>
          <w:tcPr>
            <w:tcW w:w="1280" w:type="dxa"/>
            <w:vAlign w:val="bottom"/>
          </w:tcPr>
          <w:p>
            <w:pPr>
              <w:ind w:left="240"/>
              <w:spacing w:after="0"/>
              <w:rPr>
                <w:sz w:val="20"/>
                <w:szCs w:val="20"/>
                <w:color w:val="auto"/>
              </w:rPr>
            </w:pPr>
            <w:r>
              <w:rPr>
                <w:rFonts w:ascii="Courier New" w:cs="Courier New" w:eastAsia="Courier New" w:hAnsi="Courier New"/>
                <w:sz w:val="16"/>
                <w:szCs w:val="16"/>
                <w:color w:val="auto"/>
              </w:rPr>
              <w:t>2000</w:t>
            </w:r>
          </w:p>
        </w:tc>
        <w:tc>
          <w:tcPr>
            <w:tcW w:w="440" w:type="dxa"/>
            <w:vAlign w:val="bottom"/>
          </w:tcPr>
          <w:p>
            <w:pPr>
              <w:spacing w:after="0"/>
              <w:rPr>
                <w:sz w:val="16"/>
                <w:szCs w:val="16"/>
                <w:color w:val="auto"/>
              </w:rPr>
            </w:pPr>
          </w:p>
        </w:tc>
        <w:tc>
          <w:tcPr>
            <w:tcW w:w="1340" w:type="dxa"/>
            <w:vAlign w:val="bottom"/>
          </w:tcPr>
          <w:p>
            <w:pPr>
              <w:jc w:val="right"/>
              <w:ind w:right="478"/>
              <w:spacing w:after="0"/>
              <w:rPr>
                <w:sz w:val="20"/>
                <w:szCs w:val="20"/>
                <w:color w:val="auto"/>
              </w:rPr>
            </w:pPr>
            <w:r>
              <w:rPr>
                <w:rFonts w:ascii="Courier New" w:cs="Courier New" w:eastAsia="Courier New" w:hAnsi="Courier New"/>
                <w:sz w:val="16"/>
                <w:szCs w:val="16"/>
                <w:color w:val="auto"/>
                <w:w w:val="98"/>
              </w:rPr>
              <w:t>$ Change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Change</w:t>
            </w:r>
          </w:p>
        </w:tc>
      </w:tr>
      <w:tr>
        <w:trPr>
          <w:trHeight w:val="190"/>
        </w:trPr>
        <w:tc>
          <w:tcPr>
            <w:tcW w:w="3840" w:type="dxa"/>
            <w:vAlign w:val="bottom"/>
          </w:tcPr>
          <w:p>
            <w:pPr>
              <w:spacing w:after="0"/>
              <w:rPr>
                <w:sz w:val="16"/>
                <w:szCs w:val="16"/>
                <w:color w:val="auto"/>
              </w:rPr>
            </w:pPr>
          </w:p>
        </w:tc>
        <w:tc>
          <w:tcPr>
            <w:tcW w:w="2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40" w:type="dxa"/>
            <w:vAlign w:val="bottom"/>
          </w:tcPr>
          <w:p>
            <w:pPr>
              <w:spacing w:after="0"/>
              <w:rPr>
                <w:sz w:val="20"/>
                <w:szCs w:val="20"/>
                <w:color w:val="auto"/>
              </w:rPr>
            </w:pPr>
            <w:r>
              <w:rPr>
                <w:rFonts w:ascii="Courier New" w:cs="Courier New" w:eastAsia="Courier New" w:hAnsi="Courier New"/>
                <w:sz w:val="16"/>
                <w:szCs w:val="16"/>
                <w:color w:val="auto"/>
                <w:w w:val="81"/>
              </w:rPr>
              <w:t>Professional.....................................</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224,992</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235,662</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(10,670)</w:t>
            </w:r>
          </w:p>
        </w:tc>
        <w:tc>
          <w:tcPr>
            <w:tcW w:w="380" w:type="dxa"/>
            <w:vAlign w:val="bottom"/>
          </w:tcPr>
          <w:p>
            <w:pPr>
              <w:spacing w:after="0"/>
              <w:rPr>
                <w:sz w:val="24"/>
                <w:szCs w:val="24"/>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(4.5)%</w:t>
            </w:r>
          </w:p>
        </w:tc>
      </w:tr>
      <w:tr>
        <w:trPr>
          <w:trHeight w:val="190"/>
        </w:trPr>
        <w:tc>
          <w:tcPr>
            <w:tcW w:w="4940" w:type="dxa"/>
            <w:vAlign w:val="bottom"/>
            <w:gridSpan w:val="2"/>
          </w:tcPr>
          <w:p>
            <w:pPr>
              <w:spacing w:after="0"/>
              <w:rPr>
                <w:sz w:val="20"/>
                <w:szCs w:val="20"/>
                <w:color w:val="auto"/>
              </w:rPr>
            </w:pPr>
            <w:r>
              <w:rPr>
                <w:rFonts w:ascii="Courier New" w:cs="Courier New" w:eastAsia="Courier New" w:hAnsi="Courier New"/>
                <w:sz w:val="16"/>
                <w:szCs w:val="16"/>
                <w:color w:val="auto"/>
              </w:rPr>
              <w:t>Residential......................................</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88,052</w:t>
            </w:r>
          </w:p>
        </w:tc>
        <w:tc>
          <w:tcPr>
            <w:tcW w:w="400" w:type="dxa"/>
            <w:vAlign w:val="bottom"/>
          </w:tcPr>
          <w:p>
            <w:pPr>
              <w:spacing w:after="0"/>
              <w:rPr>
                <w:sz w:val="16"/>
                <w:szCs w:val="16"/>
                <w:color w:val="auto"/>
              </w:rPr>
            </w:pP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94,553</w:t>
            </w:r>
          </w:p>
        </w:tc>
        <w:tc>
          <w:tcPr>
            <w:tcW w:w="44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(6,501)</w:t>
            </w:r>
          </w:p>
        </w:tc>
        <w:tc>
          <w:tcPr>
            <w:tcW w:w="38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w:t>
            </w:r>
          </w:p>
        </w:tc>
      </w:tr>
      <w:tr>
        <w:trPr>
          <w:trHeight w:val="190"/>
        </w:trPr>
        <w:tc>
          <w:tcPr>
            <w:tcW w:w="4940" w:type="dxa"/>
            <w:vAlign w:val="bottom"/>
            <w:gridSpan w:val="2"/>
          </w:tcPr>
          <w:p>
            <w:pPr>
              <w:spacing w:after="0"/>
              <w:rPr>
                <w:sz w:val="20"/>
                <w:szCs w:val="20"/>
                <w:color w:val="auto"/>
              </w:rPr>
            </w:pPr>
            <w:r>
              <w:rPr>
                <w:rFonts w:ascii="Courier New" w:cs="Courier New" w:eastAsia="Courier New" w:hAnsi="Courier New"/>
                <w:sz w:val="16"/>
                <w:szCs w:val="16"/>
                <w:color w:val="auto"/>
              </w:rPr>
              <w:t>Distribution.....................................</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43,452</w:t>
            </w:r>
          </w:p>
        </w:tc>
        <w:tc>
          <w:tcPr>
            <w:tcW w:w="400" w:type="dxa"/>
            <w:vAlign w:val="bottom"/>
          </w:tcPr>
          <w:p>
            <w:pPr>
              <w:spacing w:after="0"/>
              <w:rPr>
                <w:sz w:val="16"/>
                <w:szCs w:val="16"/>
                <w:color w:val="auto"/>
              </w:rPr>
            </w:pP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41,376</w:t>
            </w:r>
          </w:p>
        </w:tc>
        <w:tc>
          <w:tcPr>
            <w:tcW w:w="440" w:type="dxa"/>
            <w:vAlign w:val="bottom"/>
          </w:tcPr>
          <w:p>
            <w:pPr>
              <w:spacing w:after="0"/>
              <w:rPr>
                <w:sz w:val="16"/>
                <w:szCs w:val="16"/>
                <w:color w:val="auto"/>
              </w:rPr>
            </w:pPr>
          </w:p>
        </w:tc>
        <w:tc>
          <w:tcPr>
            <w:tcW w:w="13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2,076</w:t>
            </w:r>
          </w:p>
        </w:tc>
        <w:tc>
          <w:tcPr>
            <w:tcW w:w="380" w:type="dxa"/>
            <w:vAlign w:val="bottom"/>
          </w:tcPr>
          <w:p>
            <w:pPr>
              <w:spacing w:after="0"/>
              <w:rPr>
                <w:sz w:val="16"/>
                <w:szCs w:val="16"/>
                <w:color w:val="auto"/>
              </w:rPr>
            </w:pP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w:t>
            </w:r>
          </w:p>
        </w:tc>
      </w:tr>
      <w:tr>
        <w:trPr>
          <w:trHeight w:val="190"/>
        </w:trPr>
        <w:tc>
          <w:tcPr>
            <w:tcW w:w="494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(26,685)</w:t>
            </w:r>
          </w:p>
        </w:tc>
        <w:tc>
          <w:tcPr>
            <w:tcW w:w="400" w:type="dxa"/>
            <w:vAlign w:val="bottom"/>
          </w:tcPr>
          <w:p>
            <w:pPr>
              <w:spacing w:after="0"/>
              <w:rPr>
                <w:sz w:val="16"/>
                <w:szCs w:val="16"/>
                <w:color w:val="auto"/>
              </w:rPr>
            </w:pP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(26,425)</w:t>
            </w:r>
          </w:p>
        </w:tc>
        <w:tc>
          <w:tcPr>
            <w:tcW w:w="44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(260)</w:t>
            </w:r>
          </w:p>
        </w:tc>
        <w:tc>
          <w:tcPr>
            <w:tcW w:w="38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w:t>
            </w:r>
          </w:p>
        </w:tc>
      </w:tr>
      <w:tr>
        <w:trPr>
          <w:trHeight w:val="190"/>
        </w:trPr>
        <w:tc>
          <w:tcPr>
            <w:tcW w:w="3840" w:type="dxa"/>
            <w:vAlign w:val="bottom"/>
          </w:tcPr>
          <w:p>
            <w:pPr>
              <w:spacing w:after="0"/>
              <w:rPr>
                <w:sz w:val="16"/>
                <w:szCs w:val="16"/>
                <w:color w:val="auto"/>
              </w:rPr>
            </w:pPr>
          </w:p>
        </w:tc>
        <w:tc>
          <w:tcPr>
            <w:tcW w:w="2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tcPr>
          <w:p>
            <w:pPr>
              <w:ind w:left="400"/>
              <w:spacing w:after="0"/>
              <w:rPr>
                <w:sz w:val="20"/>
                <w:szCs w:val="20"/>
                <w:color w:val="auto"/>
              </w:rPr>
            </w:pPr>
            <w:r>
              <w:rPr>
                <w:rFonts w:ascii="Courier New" w:cs="Courier New" w:eastAsia="Courier New" w:hAnsi="Courier New"/>
                <w:sz w:val="16"/>
                <w:szCs w:val="16"/>
                <w:color w:val="auto"/>
                <w:w w:val="79"/>
              </w:rPr>
              <w:t>Total *......................................</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329,811</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345,166</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(15,355)</w:t>
            </w:r>
          </w:p>
        </w:tc>
        <w:tc>
          <w:tcPr>
            <w:tcW w:w="38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w:t>
            </w:r>
          </w:p>
        </w:tc>
      </w:tr>
      <w:tr>
        <w:trPr>
          <w:trHeight w:val="190"/>
        </w:trPr>
        <w:tc>
          <w:tcPr>
            <w:tcW w:w="3840" w:type="dxa"/>
            <w:vAlign w:val="bottom"/>
          </w:tcPr>
          <w:p>
            <w:pPr>
              <w:spacing w:after="0"/>
              <w:rPr>
                <w:sz w:val="16"/>
                <w:szCs w:val="16"/>
                <w:color w:val="auto"/>
              </w:rPr>
            </w:pPr>
          </w:p>
        </w:tc>
        <w:tc>
          <w:tcPr>
            <w:tcW w:w="2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40" w:type="dxa"/>
            <w:vAlign w:val="bottom"/>
          </w:tcPr>
          <w:p>
            <w:pPr>
              <w:spacing w:after="0"/>
              <w:rPr>
                <w:sz w:val="20"/>
                <w:szCs w:val="20"/>
                <w:color w:val="auto"/>
              </w:rPr>
            </w:pPr>
            <w:r>
              <w:rPr>
                <w:rFonts w:ascii="Courier New" w:cs="Courier New" w:eastAsia="Courier New" w:hAnsi="Courier New"/>
                <w:sz w:val="16"/>
                <w:szCs w:val="16"/>
                <w:color w:val="auto"/>
                <w:w w:val="81"/>
              </w:rPr>
              <w:t>* Includes international sales of................</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54,711</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65,291</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(10,580)</w:t>
            </w:r>
          </w:p>
        </w:tc>
        <w:tc>
          <w:tcPr>
            <w:tcW w:w="380" w:type="dxa"/>
            <w:vAlign w:val="bottom"/>
          </w:tcPr>
          <w:p>
            <w:pPr>
              <w:spacing w:after="0"/>
              <w:rPr>
                <w:sz w:val="24"/>
                <w:szCs w:val="24"/>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(16.2)%</w:t>
            </w:r>
          </w:p>
        </w:tc>
      </w:tr>
      <w:tr>
        <w:trPr>
          <w:trHeight w:val="1138"/>
        </w:trPr>
        <w:tc>
          <w:tcPr>
            <w:tcW w:w="3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6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Nine Months Ended</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3840" w:type="dxa"/>
            <w:vAlign w:val="bottom"/>
          </w:tcPr>
          <w:p>
            <w:pPr>
              <w:spacing w:after="0"/>
              <w:rPr>
                <w:sz w:val="16"/>
                <w:szCs w:val="16"/>
                <w:color w:val="auto"/>
              </w:rPr>
            </w:pPr>
          </w:p>
        </w:tc>
        <w:tc>
          <w:tcPr>
            <w:tcW w:w="7200" w:type="dxa"/>
            <w:vAlign w:val="bottom"/>
            <w:gridSpan w:val="8"/>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100" w:type="dxa"/>
            <w:vAlign w:val="bottom"/>
          </w:tcPr>
          <w:p>
            <w:pPr>
              <w:spacing w:after="0"/>
              <w:rPr>
                <w:sz w:val="16"/>
                <w:szCs w:val="16"/>
                <w:color w:val="auto"/>
              </w:rPr>
            </w:pPr>
          </w:p>
        </w:tc>
        <w:tc>
          <w:tcPr>
            <w:tcW w:w="132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9"/>
              </w:rPr>
              <w:t>August 3,</w:t>
            </w:r>
          </w:p>
        </w:tc>
        <w:tc>
          <w:tcPr>
            <w:tcW w:w="400" w:type="dxa"/>
            <w:vAlign w:val="bottom"/>
          </w:tcPr>
          <w:p>
            <w:pPr>
              <w:spacing w:after="0"/>
              <w:rPr>
                <w:sz w:val="16"/>
                <w:szCs w:val="16"/>
                <w:color w:val="auto"/>
              </w:rPr>
            </w:pPr>
          </w:p>
        </w:tc>
        <w:tc>
          <w:tcPr>
            <w:tcW w:w="12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July 28,</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3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2001</w:t>
            </w:r>
          </w:p>
        </w:tc>
        <w:tc>
          <w:tcPr>
            <w:tcW w:w="400" w:type="dxa"/>
            <w:vAlign w:val="bottom"/>
          </w:tcPr>
          <w:p>
            <w:pPr>
              <w:spacing w:after="0"/>
              <w:rPr>
                <w:sz w:val="16"/>
                <w:szCs w:val="16"/>
                <w:color w:val="auto"/>
              </w:rPr>
            </w:pPr>
          </w:p>
        </w:tc>
        <w:tc>
          <w:tcPr>
            <w:tcW w:w="1280" w:type="dxa"/>
            <w:vAlign w:val="bottom"/>
          </w:tcPr>
          <w:p>
            <w:pPr>
              <w:ind w:left="240"/>
              <w:spacing w:after="0"/>
              <w:rPr>
                <w:sz w:val="20"/>
                <w:szCs w:val="20"/>
                <w:color w:val="auto"/>
              </w:rPr>
            </w:pPr>
            <w:r>
              <w:rPr>
                <w:rFonts w:ascii="Courier New" w:cs="Courier New" w:eastAsia="Courier New" w:hAnsi="Courier New"/>
                <w:sz w:val="16"/>
                <w:szCs w:val="16"/>
                <w:color w:val="auto"/>
              </w:rPr>
              <w:t>2000</w:t>
            </w:r>
          </w:p>
        </w:tc>
        <w:tc>
          <w:tcPr>
            <w:tcW w:w="440" w:type="dxa"/>
            <w:vAlign w:val="bottom"/>
          </w:tcPr>
          <w:p>
            <w:pPr>
              <w:spacing w:after="0"/>
              <w:rPr>
                <w:sz w:val="16"/>
                <w:szCs w:val="16"/>
                <w:color w:val="auto"/>
              </w:rPr>
            </w:pPr>
          </w:p>
        </w:tc>
        <w:tc>
          <w:tcPr>
            <w:tcW w:w="1340" w:type="dxa"/>
            <w:vAlign w:val="bottom"/>
          </w:tcPr>
          <w:p>
            <w:pPr>
              <w:jc w:val="right"/>
              <w:ind w:right="478"/>
              <w:spacing w:after="0"/>
              <w:rPr>
                <w:sz w:val="20"/>
                <w:szCs w:val="20"/>
                <w:color w:val="auto"/>
              </w:rPr>
            </w:pPr>
            <w:r>
              <w:rPr>
                <w:rFonts w:ascii="Courier New" w:cs="Courier New" w:eastAsia="Courier New" w:hAnsi="Courier New"/>
                <w:sz w:val="16"/>
                <w:szCs w:val="16"/>
                <w:color w:val="auto"/>
                <w:w w:val="98"/>
              </w:rPr>
              <w:t>$ Change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Change</w:t>
            </w:r>
          </w:p>
        </w:tc>
      </w:tr>
      <w:tr>
        <w:trPr>
          <w:trHeight w:val="190"/>
        </w:trPr>
        <w:tc>
          <w:tcPr>
            <w:tcW w:w="3840" w:type="dxa"/>
            <w:vAlign w:val="bottom"/>
          </w:tcPr>
          <w:p>
            <w:pPr>
              <w:spacing w:after="0"/>
              <w:rPr>
                <w:sz w:val="16"/>
                <w:szCs w:val="16"/>
                <w:color w:val="auto"/>
              </w:rPr>
            </w:pPr>
          </w:p>
        </w:tc>
        <w:tc>
          <w:tcPr>
            <w:tcW w:w="2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40" w:type="dxa"/>
            <w:vAlign w:val="bottom"/>
          </w:tcPr>
          <w:p>
            <w:pPr>
              <w:spacing w:after="0"/>
              <w:rPr>
                <w:sz w:val="20"/>
                <w:szCs w:val="20"/>
                <w:color w:val="auto"/>
              </w:rPr>
            </w:pPr>
            <w:r>
              <w:rPr>
                <w:rFonts w:ascii="Courier New" w:cs="Courier New" w:eastAsia="Courier New" w:hAnsi="Courier New"/>
                <w:sz w:val="16"/>
                <w:szCs w:val="16"/>
                <w:color w:val="auto"/>
                <w:w w:val="81"/>
              </w:rPr>
              <w:t>Professional.....................................</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710,054</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693,967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16,087</w:t>
            </w:r>
          </w:p>
        </w:tc>
        <w:tc>
          <w:tcPr>
            <w:tcW w:w="380" w:type="dxa"/>
            <w:vAlign w:val="bottom"/>
          </w:tcPr>
          <w:p>
            <w:pPr>
              <w:spacing w:after="0"/>
              <w:rPr>
                <w:sz w:val="24"/>
                <w:szCs w:val="24"/>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w:t>
            </w:r>
          </w:p>
        </w:tc>
      </w:tr>
      <w:tr>
        <w:trPr>
          <w:trHeight w:val="190"/>
        </w:trPr>
        <w:tc>
          <w:tcPr>
            <w:tcW w:w="4940" w:type="dxa"/>
            <w:vAlign w:val="bottom"/>
            <w:gridSpan w:val="2"/>
          </w:tcPr>
          <w:p>
            <w:pPr>
              <w:spacing w:after="0"/>
              <w:rPr>
                <w:sz w:val="20"/>
                <w:szCs w:val="20"/>
                <w:color w:val="auto"/>
              </w:rPr>
            </w:pPr>
            <w:r>
              <w:rPr>
                <w:rFonts w:ascii="Courier New" w:cs="Courier New" w:eastAsia="Courier New" w:hAnsi="Courier New"/>
                <w:sz w:val="16"/>
                <w:szCs w:val="16"/>
                <w:color w:val="auto"/>
              </w:rPr>
              <w:t>Residential......................................</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340,831</w:t>
            </w:r>
          </w:p>
        </w:tc>
        <w:tc>
          <w:tcPr>
            <w:tcW w:w="400" w:type="dxa"/>
            <w:vAlign w:val="bottom"/>
          </w:tcPr>
          <w:p>
            <w:pPr>
              <w:spacing w:after="0"/>
              <w:rPr>
                <w:sz w:val="16"/>
                <w:szCs w:val="16"/>
                <w:color w:val="auto"/>
              </w:rPr>
            </w:pP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349,759</w:t>
            </w:r>
          </w:p>
        </w:tc>
        <w:tc>
          <w:tcPr>
            <w:tcW w:w="440" w:type="dxa"/>
            <w:vAlign w:val="bottom"/>
          </w:tcPr>
          <w:p>
            <w:pPr>
              <w:spacing w:after="0"/>
              <w:rPr>
                <w:sz w:val="16"/>
                <w:szCs w:val="16"/>
                <w:color w:val="auto"/>
              </w:rPr>
            </w:pP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(8,928)</w:t>
            </w:r>
          </w:p>
        </w:tc>
        <w:tc>
          <w:tcPr>
            <w:tcW w:w="38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w:t>
            </w:r>
          </w:p>
        </w:tc>
      </w:tr>
      <w:tr>
        <w:trPr>
          <w:trHeight w:val="190"/>
        </w:trPr>
        <w:tc>
          <w:tcPr>
            <w:tcW w:w="4940" w:type="dxa"/>
            <w:vAlign w:val="bottom"/>
            <w:gridSpan w:val="2"/>
          </w:tcPr>
          <w:p>
            <w:pPr>
              <w:spacing w:after="0"/>
              <w:rPr>
                <w:sz w:val="20"/>
                <w:szCs w:val="20"/>
                <w:color w:val="auto"/>
              </w:rPr>
            </w:pPr>
            <w:r>
              <w:rPr>
                <w:rFonts w:ascii="Courier New" w:cs="Courier New" w:eastAsia="Courier New" w:hAnsi="Courier New"/>
                <w:sz w:val="16"/>
                <w:szCs w:val="16"/>
                <w:color w:val="auto"/>
              </w:rPr>
              <w:t>Distribution.....................................</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103,956</w:t>
            </w:r>
          </w:p>
        </w:tc>
        <w:tc>
          <w:tcPr>
            <w:tcW w:w="400" w:type="dxa"/>
            <w:vAlign w:val="bottom"/>
          </w:tcPr>
          <w:p>
            <w:pPr>
              <w:spacing w:after="0"/>
              <w:rPr>
                <w:sz w:val="16"/>
                <w:szCs w:val="16"/>
                <w:color w:val="auto"/>
              </w:rPr>
            </w:pP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97,341</w:t>
            </w:r>
          </w:p>
        </w:tc>
        <w:tc>
          <w:tcPr>
            <w:tcW w:w="44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6,615</w:t>
            </w:r>
          </w:p>
        </w:tc>
        <w:tc>
          <w:tcPr>
            <w:tcW w:w="38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6.8</w:t>
            </w:r>
          </w:p>
        </w:tc>
      </w:tr>
      <w:tr>
        <w:trPr>
          <w:trHeight w:val="190"/>
        </w:trPr>
        <w:tc>
          <w:tcPr>
            <w:tcW w:w="494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(78,028)</w:t>
            </w:r>
          </w:p>
        </w:tc>
        <w:tc>
          <w:tcPr>
            <w:tcW w:w="400" w:type="dxa"/>
            <w:vAlign w:val="bottom"/>
          </w:tcPr>
          <w:p>
            <w:pPr>
              <w:spacing w:after="0"/>
              <w:rPr>
                <w:sz w:val="16"/>
                <w:szCs w:val="16"/>
                <w:color w:val="auto"/>
              </w:rPr>
            </w:pP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(73,863)</w:t>
            </w:r>
          </w:p>
        </w:tc>
        <w:tc>
          <w:tcPr>
            <w:tcW w:w="440" w:type="dxa"/>
            <w:vAlign w:val="bottom"/>
          </w:tcPr>
          <w:p>
            <w:pPr>
              <w:spacing w:after="0"/>
              <w:rPr>
                <w:sz w:val="16"/>
                <w:szCs w:val="16"/>
                <w:color w:val="auto"/>
              </w:rPr>
            </w:pP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(4,165)</w:t>
            </w:r>
          </w:p>
        </w:tc>
        <w:tc>
          <w:tcPr>
            <w:tcW w:w="38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(5.6)</w:t>
            </w:r>
          </w:p>
        </w:tc>
      </w:tr>
      <w:tr>
        <w:trPr>
          <w:trHeight w:val="190"/>
        </w:trPr>
        <w:tc>
          <w:tcPr>
            <w:tcW w:w="3840" w:type="dxa"/>
            <w:vAlign w:val="bottom"/>
          </w:tcPr>
          <w:p>
            <w:pPr>
              <w:spacing w:after="0"/>
              <w:rPr>
                <w:sz w:val="16"/>
                <w:szCs w:val="16"/>
                <w:color w:val="auto"/>
              </w:rPr>
            </w:pPr>
          </w:p>
        </w:tc>
        <w:tc>
          <w:tcPr>
            <w:tcW w:w="2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tcPr>
          <w:p>
            <w:pPr>
              <w:ind w:left="400"/>
              <w:spacing w:after="0"/>
              <w:rPr>
                <w:sz w:val="20"/>
                <w:szCs w:val="20"/>
                <w:color w:val="auto"/>
              </w:rPr>
            </w:pPr>
            <w:r>
              <w:rPr>
                <w:rFonts w:ascii="Courier New" w:cs="Courier New" w:eastAsia="Courier New" w:hAnsi="Courier New"/>
                <w:sz w:val="16"/>
                <w:szCs w:val="16"/>
                <w:color w:val="auto"/>
                <w:w w:val="79"/>
              </w:rPr>
              <w:t>Total *......................................</w:t>
            </w:r>
          </w:p>
        </w:tc>
        <w:tc>
          <w:tcPr>
            <w:tcW w:w="2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$ 1,076,813</w:t>
            </w:r>
          </w:p>
        </w:tc>
        <w:tc>
          <w:tcPr>
            <w:tcW w:w="16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$ 1,067,204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9,609</w:t>
            </w:r>
          </w:p>
        </w:tc>
        <w:tc>
          <w:tcPr>
            <w:tcW w:w="38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0.9%</w:t>
            </w:r>
          </w:p>
        </w:tc>
      </w:tr>
      <w:tr>
        <w:trPr>
          <w:trHeight w:val="190"/>
        </w:trPr>
        <w:tc>
          <w:tcPr>
            <w:tcW w:w="3840" w:type="dxa"/>
            <w:vAlign w:val="bottom"/>
          </w:tcPr>
          <w:p>
            <w:pPr>
              <w:spacing w:after="0"/>
              <w:rPr>
                <w:sz w:val="16"/>
                <w:szCs w:val="16"/>
                <w:color w:val="auto"/>
              </w:rPr>
            </w:pPr>
          </w:p>
        </w:tc>
        <w:tc>
          <w:tcPr>
            <w:tcW w:w="242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3840" w:type="dxa"/>
            <w:vAlign w:val="bottom"/>
          </w:tcPr>
          <w:p>
            <w:pPr>
              <w:spacing w:after="0"/>
              <w:rPr>
                <w:sz w:val="20"/>
                <w:szCs w:val="20"/>
                <w:color w:val="auto"/>
              </w:rPr>
            </w:pPr>
            <w:r>
              <w:rPr>
                <w:rFonts w:ascii="Courier New" w:cs="Courier New" w:eastAsia="Courier New" w:hAnsi="Courier New"/>
                <w:sz w:val="16"/>
                <w:szCs w:val="16"/>
                <w:color w:val="auto"/>
                <w:w w:val="81"/>
              </w:rPr>
              <w:t>* Includes international sales of................</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215,113</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221,178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(6,065)</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948"/>
        </w:trPr>
        <w:tc>
          <w:tcPr>
            <w:tcW w:w="3840" w:type="dxa"/>
            <w:vAlign w:val="bottom"/>
          </w:tcPr>
          <w:p>
            <w:pPr>
              <w:spacing w:after="0"/>
              <w:rPr>
                <w:sz w:val="24"/>
                <w:szCs w:val="24"/>
                <w:color w:val="auto"/>
              </w:rPr>
            </w:pPr>
          </w:p>
        </w:tc>
        <w:tc>
          <w:tcPr>
            <w:tcW w:w="1100" w:type="dxa"/>
            <w:vAlign w:val="bottom"/>
          </w:tcPr>
          <w:p>
            <w:pPr>
              <w:jc w:val="right"/>
              <w:ind w:right="818"/>
              <w:spacing w:after="0"/>
              <w:rPr>
                <w:sz w:val="20"/>
                <w:szCs w:val="20"/>
                <w:color w:val="auto"/>
              </w:rPr>
            </w:pPr>
            <w:r>
              <w:rPr>
                <w:rFonts w:ascii="Courier New" w:cs="Courier New" w:eastAsia="Courier New" w:hAnsi="Courier New"/>
                <w:sz w:val="16"/>
                <w:szCs w:val="16"/>
                <w:color w:val="auto"/>
                <w:w w:val="93"/>
              </w:rPr>
              <w:t>13</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040"/>
          </w:cols>
          <w:pgMar w:left="240" w:top="306" w:right="619" w:bottom="995"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Professional Segment Net Sales</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Net sales for the worldwide professional segment in the third quarter of fiscal 2001 were $225.0 million compared to $235.7 million in the third quarter of fiscal 2000, a decrease of 4.5 percent. A weaker economy, unfavorable weather conditions, and a slow down in new golf course construction had a negative effect on sales to the golf market worldwide for equipment and irrigation systems. Sales were also lower for residential/commercial irrigation products due to unfavorable weather and economic conditions. International sales, mainly in Europe, were also negatively affected by the weak economy and unfavorable weather conditions. Sitework Systems shipments declined compared to last year's third quarter due to challenges in setting up a new dealer channel. Somewhat offsetting those declines were good volume increases for both Exmark and Toro brands due to the continued growth of the landscape contractor market and acceptance of new products. Shipments of newly introduced commercial equipment also had a positive impact for the quarter.</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for the worldwide professional segment in the first nine months of fiscal 2001 were $710.1 million compared to $694.0 million last year, an increase of 2.3 percent. The worldwide landscape contractor market led this increase with higher sales volumes of mowing equipment for both Exmark and Toro brands. Commercial equipment sales were also up for the year due to the addition of sales from Goossen Industries, Inc. (Goossen) and the introduction of new products, despite a decline in sales for the golf market. Somewhat offsetting those increases were significantly lower sales for golf and residential/commercial irrigation products due to the same reasons noted in the quarter comparison as well as high field inventory levels entering fiscal 2001 for the Irritrol brand. Sitework Systems product line sales were also down for the year due to the same reasons mentioned in the quarter comparison as well as a change to dealer-direct distribution that resulted in returned product from some distributors. Despite this distribution change, retail volume sales have increased compared to last year for the Sitework Systems product line.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Residential Segment Net Sales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for the worldwide residential segment in the third quarter of fiscal 2001 were $88.1 million compared to $94.6 million in the third quarter of fiscal 2000, a decrease of 6.9 percent. Worldwide shipments of walk power mowers led this decrease due to cold and wet spring weather in most markets as well as weak economic conditions and a slow down in consumer spending. International shipments of walk power mowers and riding products were also down due mainly to the weak economy and unfavorable weather conditions in Europe. Offsetting those declines were strong riding product sales, mainly for new products, which include the Toro(R) TimeCutter(TM) Z mower and the Toro Twister(R) utility vehicle. However, other riding product shipments were down due to unfavorable weather conditions and the weak economy as well as a shift of sales away from existing product lines to the new Toro(R) TimeCutter(TM) Z mower. Electric blower sales were up for the quarter due to the introduction of a new product that shipped in the third quarter of fiscal 2001. Do-it-yourself irrigation product sales also increased for the quarter due to dry weather experienced during the third quarter in key markets and the release of watering bans in the Southeast region, somewhat offset by lost placement at some home centers. Snowthrower shipments were significantly up for the quarter due to low field inventory levels and dealer's fulfillment of presold units.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Year-to-date net sales for the worldwide residential segment in fiscal 2001 were $340.8 million compared to $349.8 million last year, a decrease of 2.6 percent. Despite strong initial shipments of new products, sales were down for most product categories. Snowthrower product sales were down due to the comparison to abnormally high sales in the first quarter of fiscal 2000 resulting from a shift in shipments from the fourth quarter of fiscal 1999 to the first quarter of fiscal 2000. Shipments of walk power mowers and riding products were also down due to the same contributing factors mentioned in the quarter comparison. Do-it-yourself irrigation sales declined for the year due mainly to lost placement at some home centers. Offsetting those decreases was an increase of home solutions product sales, mainly electric trimmers, due to placement expansion at some mass retailers. In fiscal 2001, the residential segment experienced a decrease in sales as a result of customers' asset management efforts to reduce field inventory levels and related financing costs.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Field inventory levels were lower than in the comparable quarter of fiscal 2000 for most residential segment product lines, and are expected to be lower at the end of fiscal 2001 as compared to October 31, 2000. The heavy snowfalls during the winter of 2000-2001 throughout the Snow Belt resulted in significantly higher retail sales of snowthrower products, leaving low field inventory levels. Therefore, the company anticipates significantly higher snowthrower sales in the fourth quarter of fiscal 2001 compared to fiscal 2000.</w:t>
      </w:r>
    </w:p>
    <w:p>
      <w:pPr>
        <w:sectPr>
          <w:pgSz w:w="11900" w:h="16838" w:orient="portrait"/>
          <w:cols w:equalWidth="0" w:num="1">
            <w:col w:w="10219"/>
          </w:cols>
          <w:pgMar w:left="240" w:top="306" w:right="1440" w:bottom="611" w:gutter="0" w:footer="0" w:header="0"/>
        </w:sectPr>
      </w:pPr>
    </w:p>
    <w:bookmarkStart w:id="15" w:name="page16"/>
    <w:bookmarkEnd w:id="15"/>
    <w:p>
      <w:pPr>
        <w:ind w:left="2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142"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Segment Net Sales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for the distribution segment in the third quarter of fiscal 2001 were $43.5 million compared to $41.4 million in the third quarter of fiscal 2000, an increase of 5.0 percent. The sales increase was due to the addition of sales for two newly acquired distribution companies in fiscal 2001, which added $8.6 million of incremental net sales for the third quarter of fiscal 2001. Factoring out sales from these two acquisitions, sales for the distribution segment would have been down $6.5 million or 15.6 percent compared to the third quarter of fiscal 2000. This decline was due to lower sales related to the weak economy and unfavorable weather conditions, which has reduced the number of golf course projects.</w:t>
      </w:r>
    </w:p>
    <w:p>
      <w:pPr>
        <w:spacing w:after="0" w:line="379"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Year-to-date net sales for the distribution segment in fiscal 2001 were $104.0 million compared to $97.3 million last year, an increase of 6.8 percent. The sales increase was due to the addition of sales for two newly acquired distribution companies in fiscal 2001, which added $11.2 million of incremental net sales for the first nine months of fiscal 2001. Factoring out sales from these two acquisitions, sales for the distribution segment would have been down $4.5 million or 4.7 percent. This decline was due to the same contributing factors mentioned in the quarter comparison.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Segment Net Sales</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Net sales in this segment include the elimination of sales from the professional and residential segments to the distribution segment. The other segment sales elimination in the third quarter of fiscal 2001 were $(26.7) million compared to $(26.4) million in the third quarter of fiscal 2000.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Year-to-date sales elimination in fiscal 2001 was $(78.0) million compared to</w:t>
      </w:r>
    </w:p>
    <w:p>
      <w:pPr>
        <w:spacing w:after="0" w:line="8"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$(73.9) million last year, an increase of $4.1 million. This increase was due to the addition of two company-owned distributors in fiscal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Third quarter gross profit was $126.2 million compared to $133.3 million last year, a decrease of 5.3 percent. As a percentage of net sales, gross profit for the third quarter of fiscal 2001 was 38.3 percent compared to 38.6 percent for the third quarter of fiscal 2000. This decline was due to the elimination of gross profit previously recorded with respect to sales of Toro products to a southwestern-based distributor, which was acquired in the third quarter of fiscal 2001. The decline was also a result of lower sales of high margin products, somewhat offset by lower levels of tooling amortization expense due to fully amortized tooling.</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Year-to-date gross profit was $397.3 million compared to $395.2 million last year, an increase of 0.5 percent. As a percentage of net sales, gross profit for the first nine months of fiscal 2001 was 36.9 percent compared to 37.0 percent for the first nine months of fiscal 2000. This decline as a percentage of net sales for the year was mainly due to the same contributing factors mentioned in the quarter comparison.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Third quarter selling, general, and administrative expense (SG&amp;A) was $96.2 million compared to $101.9 million last year, a decrease of 5.5 percent. As a percentage of net sales, SG&amp;A decreased slightly to 29.2 percent from 29.5 percent for the same quarter in fiscal 2000. Acquisitions added approximately $1.9 million of incremental SG&amp;A expense for the third quarter of fiscal 2001. SG&amp;A expense was down due to lower warranty expense resulting from favorable claims experience for the residential segment as well as lower special warranty reserves for product modifications when compared to higher expenses in the third quarter of fiscal 2000 for the professional segment. Incentive compensation costs were also down for the third quarter comparison and marketing costs were lower due to expense reduction efforts. Somewhat offsetting these decreases was higher costs for currency support for international sales.</w:t>
      </w:r>
    </w:p>
    <w:p>
      <w:pPr>
        <w:spacing w:after="0" w:line="19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Year-to-date SG&amp;A expense was $308.0 million compared to $304.6 million last year, a slight increase of 1.1 percent. As a percentage of net sales, SG&amp;A expense increased slightly to 28.6 percent from 28.5 percent last year. Acquisitions added approximately $3.8 million of incremental SG&amp;A expense for the first nine months of fiscal 2001. The increase in SG&amp;A costs was due to higher levels of currency support for international sales and higher incentive compensation costs recorded in the first half of fiscal 2001. Offsetting those increases were lower warranty and marketing costs due to the same factors mentioned in the quarter comparison.</w:t>
      </w:r>
    </w:p>
    <w:p>
      <w:pPr>
        <w:sectPr>
          <w:pgSz w:w="11900" w:h="16838" w:orient="portrait"/>
          <w:cols w:equalWidth="0" w:num="1">
            <w:col w:w="10219"/>
          </w:cols>
          <w:pgMar w:left="240" w:top="3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6" w:right="1440" w:bottom="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and Other Unusual Income</w:t>
      </w:r>
    </w:p>
    <w:p>
      <w:pPr>
        <w:spacing w:after="0" w:line="198"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Year-to-date restructuring and other unusual income was $0.7 million, which increased income for the residential segment. This income derived from the reversal of the remaining accrual for closing of the Sardis, Mississippi facility, which was sold during the first quarter of fiscal 2001.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Third quarter interest expense was $6.2 million compared to $7.7 million last year, a decrease of 19.3 percent. This decrease was primarily due to lower levels of short-term debt as a result of improved asset management, the use of earnings from the past 12 months to pay down debt, and lower interest rates.</w:t>
      </w:r>
    </w:p>
    <w:p>
      <w:pPr>
        <w:spacing w:after="0" w:line="187"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Year-to-date interest expense was $17.9 million compared to $21.1 million last year, a decrease of 15.1 percent. This decrease in interest expense for the year was due to the same contributing factors as in the quarter comparison.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Third quarter other income, net, was $3.1 million compared to $2.3 million last year, an increase of $0.8 million. This improvement was due to higher finance charge revenue and an insurance recovery, somewhat offset by lower levels of exchange rate currency gains.</w:t>
      </w:r>
    </w:p>
    <w:p>
      <w:pPr>
        <w:spacing w:after="0" w:line="187"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Year-to-date other income, net, was $4.5 million compared to $0.7 million last year, an increase of $3.8 million. This increase was due to lower levels of exchange rate currency losses compared to the first nine months of last year, increased royalty income, and an insurance recovery, but was somewhat offset by an increase in write-downs of investments.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Earnings (Loss) by Segment</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Professional Segment Operating Earnings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Operating earnings for the worldwide professional segment in the third quarter of fiscal 2001 were $37.7 million compared to $36.4 million in the third quarter of fiscal 2000, an increase of 3.6 percent. As a percentage of net sales, professional segment operating margins increased to 16.8 percent from 15.4 percent for the same quarter in fiscal 2000. This profit improvement was mainly due to lower SG&amp;A costs as a percent of sales, which declined 1.7 percent due primarily to lower marketing costs and warranty expenses. This was somewhat offset by lower levels of currency gains. Gross margins were even with last year at 39.4 percent for the third quarter.</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Year-to-date operating earnings for the worldwide professional segment in fiscal 2001 were $105.3 million compared to $96.7 million last year, an increase of 8.8 percent. As a percentage of net sales, professional segment operating margins increased to 14.8 percent from 13.9 percent last year. This increase was due to higher sales volumes, mainly for landscape contractor equipment. A 1.2 percent reduction in SG&amp;A costs as a percent of sales also contributed to this improvement and was due to the same reasons mentioned in the quarter comparison, but the reduction was somewhat offset by higher costs for currency support. Lower levels of currency losses also contributed to the increase in profits. However, gross margins were lower as a percentage of sales by 0.5 percent.</w:t>
      </w: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6"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Residential Segment Operating Earnings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Operating earnings for the worldwide residential segment in the third quarter of fiscal 2001 were $5.1 million compared to $5.4 million in the third quarter of fiscal 2000, a decrease of 5.6 percent. As a percentage of net sales, residential segment operating margins increased to 5.8 percent from 5.7 percent over the same quarter in fiscal 2000. Gross margin rose 1.1 percent as a percentage of net sales due to increased sales of higher margin products, continued cost reduction efforts, and lower amounts of tooling amortization expense due to fully amortized tooling. SG&amp;A expense as a percentage of net sales was higher by 0.5 percent mainly due to lower sales volumes.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Year-to-date operating earnings for the worldwide residential segment in fiscal 2001 were $30.0 million compared to $26.8 million last year, an increase of 12.0 percent. As a percentage of net sales, residential segment operating margins increased to 8.8 percent from 7.7 percent last year. Gross margin increased 1.0 percent as a percentage of sales due to the same contributing factors mentioned in the quarter comparison. Restructuring and other unusual income of $0.7 million this year also contributed to the improvement in operating earnings. SG&amp;A costs as a percentage of sales were also slightly lower than last year by 0.1 percent.</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Segment Operating Earnings (Losses)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Operating earnings for the distribution segment in the third quarter of fiscal 2001 were $0.2 million compared to $2.2 million in the third quarter of fiscal 2000, a decrease of $2.0 million. This profit decline was attributable to higher SG&amp;A costs, mainly due to the acquisition of two distribution companies that added $1.8 million of incremental SG&amp;A costs and restructuring of these operations. Gross margins were slightly lower by 0.1 percent for the quarter.</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distribution segment fiscal 2001 year-to-date results were $1.1 million of operating losses compared to $3.2 million of operating earnings last year, an unfavorable change of $4.3 million. Gross margin decreased as a percentage of sales by 0.4 percent due to lower sales of high margin product lines. SG&amp;A costs were also higher for the year due to the acquisitions of two distribution companies that added $2.3 million of incremental SG&amp;A costs. SG&amp;A expense was also higher due to investments and operational restructuring in these distribution companies.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Segment Operating Losses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Operating losses for the other segment in the third quarter of fiscal 2001 were $16.1 million compared to a loss of $17.9 million in the third quarter of fiscal 2000, an improvement of $1.8 million. The improvement was due to lower interest costs, reduced corporate expenses, and increased other income, somewhat offset by higher gross profit reversal related to the acquisition of a southwestern-based distribution company mentioned previously.</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Year-to-date operating losses for the other segment in fiscal 2001 were $57.5 million compared to losses of $56.4 million in fiscal 2000, an unfavorable change of $1.1 million. The loss increase was due to higher corporate expenses, mainly for incentive compensation expenses, legal costs, and bad debt expense. In addition, gross profit reversal related to the acquisition of a southwestern-based distribution company also contributed to this loss increase for the year. These negative factors were slightly offset by lower interest costs and higher other income.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Income Taxes</w:t>
      </w:r>
    </w:p>
    <w:p>
      <w:pPr>
        <w:spacing w:after="0" w:line="198"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The effective tax rate for the first nine months of fiscal 2001 and fiscal 2000 was 37.0 percent.</w:t>
      </w: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6"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Position as of August 3, 2001</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August 3, 2001 compared to July 28, 2000</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Total assets at August 3, 2001 were $908.7 million compared to $898.0 million on July 28, 2000, an increase of $10.7 million. Net accounts receivable decreased by $32.4 million. Acquisitions added $8.4 million of incremental net receivables. The decline in accounts receivable was mainly due to lower sales volumes and improved collection efforts. Inventory increased $32.1 million. Acquisitions added $11.4 million of incremental net inventory. This inventory increase was mainly due to the sales shortfall, prebuilding of inventory, and early purchases of work-in-process compared to last year. Net property, plant, and equipment increased $10.0 million due to higher amounts of capital additions in comparison to depreciation expense as well as the addition of property, plant, and equipment related to the acquisitions. Goodwill and other assets decreased $3.9 million primarily as a result of valuation charges for the company's investment in a technology company and a distribution company as well as amortization of goodwill and intangible assets.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current liabilities at August 3, 2001 were $356.4 million compared to</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$371.2 million at July 28, 2000, a decrease of $14.8 million. Short-term debt decreased by $27.4 million due to higher levels of accounts payable, net earnings, and lower amounts of accounts receivable, somewhat offset by higher levels inventory. Accounts payable increased by $12.6 million due to the company's efforts to increase the number of days outstanding in accounts payable by renegotiating payment terms with vendors.</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August 3, 2001 compared to October 31, 2000</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Total assets at August 3, 2001 were $908.7 million compared to $779.4 million at October 31, 2000, an increase of $129.3 million. Net accounts receivable increased $73.2 million from October 31, 2000 due to the normal seasonal increase in accounts receivable. Inventory increased by $50.6 million due to the normal seasonal buildup of inventory, plus prebuilding of inventory and early purchases of work-in-process inventory. In addition, acquisitions added $11.4 million of incremental net inventory. Net property, plant, and equipment increased $5.3 million due to higher amounts of capital additions in comparison to depreciation expense. Goodwill and other assets decreased $2.7 million primarily as a result of valuation charges for the company's investment in a technology company and a distribution company as well as amortization of goodwill and intangible assets during the first nine months of fiscal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current liabilities at August 3, 2001 were $356.4 million compared to</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$260.9 million at October 31, 2000, an increase of $95.5 million. This increase was the result of additional short-term debt of $82.8 million, reflecting the company's strategy of utilizing short-term debt to fund seasonal working capital needs. Accounts payable decreased by $9.2 million due to the timing of payments, somewhat offset by the company's efforts to extend its payment terms as described above. Accrued liabilities increased by $21.6 million due mainly to higher accruals for warranty, income tax, and currency support costs as well as higher accruals for various seasonal sales and marketing programs.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Toro anticipates the weakened economy and unfavorable weather conditions to continue through the remainder of fiscal 2001, and sales are expected to be relatively flat compared to fiscal 2000. In fiscal 2002, the company is estimating revenue to be up in the single digits from fiscal 2001. On a positive note, the company anticipates to achieve earnings growth of 12 to 15 percent in fiscal 2001 above fiscal 2000. In fiscal 2002, Toro is estimating that earnings will grow in the double digits over fiscal 2001, excluding the effect of the change in reporting goodwill. Toro also anticipates gross margin at 37 to 38 percent for fiscal 2001 and growth of operating expenses in fiscal 2001 at 5 to 9 percent, in dollars, above fiscal 2000. The tax rate is expected to remain at 37.0 percent for the remainder of fiscal 2001.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6"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19</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Cash used in operating activities for the first nine months of fiscal 2001 was $9.1 million lower than the first nine months in fiscal 2000 primarily due to a decrease in accounts receivable, higher levels of accounts payable, and an increase in net earnings, somewhat offset by an increase in inventory. Cash used in investing activities increased $4.9 million due to the purchase price, net of cash acquired, for Goossen and EICON, slightly offset by reduced purchases of property, plant, and equipment compared to last year. Cash provided by financing activities was higher by $5.2 million due to a higher increase of short-term debt for the first nine months of fiscal 2001 compared to the first nine months of fiscal 2000 and proceeds from stock option exercises, somewhat offset by higher amounts of common stock repurchases. In addition, cash on hand at October 31, 1999, which was high due to the fiscal year end occurring on a Sunday when cash received on Saturday could not be utilized to pay down short-term debt until fiscal 2000, was used for operating and investing activities in the first quarter of fiscal 2000.</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company's U.S. seasonal working capital requirements are funded with $289.0 million of committed unsecured bank credit lines. In addition, the company's non-U.S. operations maintain unsecured short-term lines of credit of approximately $16.0 million. The company also has banker's acceptance agreements under which an additional $40.0 million of credit lines are available. The company's business is seasonal, with peak borrowing under the working capital lines described above generally occurring between February and May each year.</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Management believes that the combination of funds available through its existing or anticipated financing arrangements, coupled with forecasted cash flows, will provide the necessary capital resources for the company's anticipated working capital, capital additions, acquisitions, and stock repurchases through fiscal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The company is subject to the effects of changing prices. During the first nine months of fiscal 2001, the company continued to experience inflationary pressures for purchases of general commodities. The company is attempting to deal with these inflationary pressures by actively pursuing internal cost reduction efforts and through slight price increases. No significant price increases are planned for fiscal 2001 because of competitive pressures.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 Currency</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European Monetary Union (EMU) is in the last few months of a three-year transition phase during which a common currency (the "euro") was introduced in participating countries. This new currency is being used for financial transactions and on January 1, 2002 will replace the old national currencies, which must be withdrawn by July 2002. During the transition to the euro, companies and public administrations have been changing budgetary, accounting, contractual, and fiscal systems while using parallel currencies and converting legacy data. Uncertainty continues as to what effects the conversion to the euro will have on the marketplace, especially the effects on individual consumers. One anticipated effect will be more transparent price differences on goods in European countries.</w:t>
      </w:r>
    </w:p>
    <w:p>
      <w:pPr>
        <w:spacing w:after="0" w:line="379"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Significant issues for the company arising from the transition are price competition on Toro distributor and Toro direct sales, and the possible need for and cost of currency support for Toro distributors in the European Union. Current concerns include currency swings and instability in the rate of exchange between the euro and the U.S. dollar, and the lack of diversification of currencies in Europe with the introduction of the euro. The company currently invoices international export shipments in U.S. dollars, however, it is analyzing the effects of invoicing in foreign currencies, and the euro would be among those currencies considered.</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One of the company's European subsidiaries commenced using a new Enterprise Resource Planning (ERP) system in May 2001, without any major negative impact on its operations, which is euro compliant. The company's other European subsidiary is converting to the same ERP system. This new system will enable both subsidiaries to report financial transactions and fiscal reports in the euro for fiscal 2002. The cost of converting to these systems has been immaterial compared to the company's overall operating expenses.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Based on evaluation to date, management currently believes that while the company will incur internal and external costs to adjust to the euro indirectly, such costs are not expected to have a significant impact on operations, cash flows, or the financial condition of the company and its subsidiaries taken as a whole in future periods.</w:t>
      </w:r>
    </w:p>
    <w:p>
      <w:pPr>
        <w:spacing w:after="0" w:line="200" w:lineRule="exact"/>
        <w:rPr>
          <w:sz w:val="20"/>
          <w:szCs w:val="20"/>
          <w:color w:val="auto"/>
        </w:rPr>
      </w:pPr>
    </w:p>
    <w:p>
      <w:pPr>
        <w:spacing w:after="0" w:line="36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6" w:right="1440" w:bottom="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Toro is exposed to market risk stemming from changes in foreign exchange rates, interest rates, and commodity prices. Changes in these factors could cause fluctuations in the company's net earnings and cash flows. In the normal course of business, Toro actively manages the exposure of certain market risks by entering into various hedging transactions, authorized under company policies that place controls on these activities. The company's hedging transactions involve the use of a variety of derivative instruments. Toro uses derivatives only in an attempt to limit underlying exposure to currency fluctuations, and not for trading purposes.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Exchange Risk</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Toro is subject to risk from sales and loans to wholly owned subsidiaries as well as sales to, purchases from, and bank lines of credit with, third party customers, suppliers, and creditors, respectively, denominated in foreign currencies. The company manages foreign exchange rate exposure from anticipated sales, accounts receivable, intercompany loans, anticipated purchases, credit obligations through the use of naturally occurring offsetting positions (borrowing in local currency) and forward and swap foreign exchange contracts. Forward foreign exchange contracts to hedge forecasted transactions are designated as cash flow hedges with the fair value recorded in accumulated other comprehensive income (loss) and as a hedge asset or liability as applicable. Once the forecasted transaction has been recognized as a sale or purchase and a related asset or liability recorded on the balance sheet, the related fair value of the derivative hedge contract is reclassified from accumulated other comprehensive income (loss) into earnings. The related amounts payable to, or receivable from, the contract counter parties are included in other accrued liabilities or prepaid expenses and other current assets.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following forward exchange contracts held by the company have maturity dates in fiscal year 2001 and 2002. All items are non-trading and stated in U.S. dollars. Certain derivative instruments the company enters into do not meet the hedging criteria of SFAS 133, therefore, the fair value impact is recorded in other income, net. The average contracted rate, notional amount, pre-tax value of derivative instruments in accumulated other comprehensive loss, and fair value of derivative instruments in other income, net at August 3, 2001 were as follows: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20" w:type="dxa"/>
            <w:vAlign w:val="bottom"/>
          </w:tcPr>
          <w:p>
            <w:pPr>
              <w:ind w:left="440"/>
              <w:spacing w:after="0"/>
              <w:rPr>
                <w:sz w:val="20"/>
                <w:szCs w:val="20"/>
                <w:color w:val="auto"/>
              </w:rPr>
            </w:pPr>
            <w:r>
              <w:rPr>
                <w:rFonts w:ascii="Courier New" w:cs="Courier New" w:eastAsia="Courier New" w:hAnsi="Courier New"/>
                <w:sz w:val="16"/>
                <w:szCs w:val="16"/>
                <w:color w:val="auto"/>
              </w:rPr>
              <w:t>VALUE IN</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3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ACCUMULATED</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3000" w:type="dxa"/>
            <w:vAlign w:val="bottom"/>
          </w:tcPr>
          <w:p>
            <w:pPr>
              <w:spacing w:after="0"/>
              <w:rPr>
                <w:sz w:val="16"/>
                <w:szCs w:val="16"/>
                <w:color w:val="auto"/>
              </w:rPr>
            </w:pPr>
          </w:p>
        </w:tc>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AVERAGE</w:t>
            </w:r>
          </w:p>
        </w:tc>
        <w:tc>
          <w:tcPr>
            <w:tcW w:w="12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OTHER</w:t>
            </w:r>
          </w:p>
        </w:tc>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FAIR</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VALUE</w:t>
            </w:r>
          </w:p>
        </w:tc>
      </w:tr>
      <w:tr>
        <w:trPr>
          <w:trHeight w:val="190"/>
        </w:trPr>
        <w:tc>
          <w:tcPr>
            <w:tcW w:w="3000" w:type="dxa"/>
            <w:vAlign w:val="bottom"/>
          </w:tcPr>
          <w:p>
            <w:pPr>
              <w:spacing w:after="0"/>
              <w:rPr>
                <w:sz w:val="16"/>
                <w:szCs w:val="16"/>
                <w:color w:val="auto"/>
              </w:rPr>
            </w:pPr>
          </w:p>
        </w:tc>
        <w:tc>
          <w:tcPr>
            <w:tcW w:w="2280" w:type="dxa"/>
            <w:vAlign w:val="bottom"/>
          </w:tcPr>
          <w:p>
            <w:pPr>
              <w:jc w:val="center"/>
              <w:ind w:left="698"/>
              <w:spacing w:after="0"/>
              <w:rPr>
                <w:sz w:val="20"/>
                <w:szCs w:val="20"/>
                <w:color w:val="auto"/>
              </w:rPr>
            </w:pPr>
            <w:r>
              <w:rPr>
                <w:rFonts w:ascii="Courier New" w:cs="Courier New" w:eastAsia="Courier New" w:hAnsi="Courier New"/>
                <w:sz w:val="16"/>
                <w:szCs w:val="16"/>
                <w:color w:val="auto"/>
              </w:rPr>
              <w:t>CONTRACTED</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NOTIONAL</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COMPREHENSIVE</w:t>
            </w:r>
          </w:p>
        </w:tc>
        <w:tc>
          <w:tcPr>
            <w:tcW w:w="12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IMPACT</w:t>
            </w:r>
          </w:p>
        </w:tc>
      </w:tr>
      <w:tr>
        <w:trPr>
          <w:trHeight w:val="190"/>
        </w:trPr>
        <w:tc>
          <w:tcPr>
            <w:tcW w:w="300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2280" w:type="dxa"/>
            <w:vAlign w:val="bottom"/>
          </w:tcPr>
          <w:p>
            <w:pPr>
              <w:jc w:val="center"/>
              <w:ind w:left="718"/>
              <w:spacing w:after="0"/>
              <w:rPr>
                <w:sz w:val="20"/>
                <w:szCs w:val="20"/>
                <w:color w:val="auto"/>
              </w:rPr>
            </w:pPr>
            <w:r>
              <w:rPr>
                <w:rFonts w:ascii="Courier New" w:cs="Courier New" w:eastAsia="Courier New" w:hAnsi="Courier New"/>
                <w:sz w:val="16"/>
                <w:szCs w:val="16"/>
                <w:color w:val="auto"/>
              </w:rPr>
              <w:t>RATE</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AMOUNT</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INCOME (LOSS)</w:t>
            </w:r>
          </w:p>
        </w:tc>
        <w:tc>
          <w:tcPr>
            <w:tcW w:w="640" w:type="dxa"/>
            <w:vAlign w:val="bottom"/>
          </w:tcPr>
          <w:p>
            <w:pPr>
              <w:ind w:left="200"/>
              <w:spacing w:after="0"/>
              <w:rPr>
                <w:sz w:val="20"/>
                <w:szCs w:val="20"/>
                <w:color w:val="auto"/>
              </w:rPr>
            </w:pPr>
            <w:r>
              <w:rPr>
                <w:rFonts w:ascii="Courier New" w:cs="Courier New" w:eastAsia="Courier New" w:hAnsi="Courier New"/>
                <w:sz w:val="16"/>
                <w:szCs w:val="16"/>
                <w:color w:val="auto"/>
              </w:rPr>
              <w:t>GAIN</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(LOSS)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pacing w:after="0"/>
        <w:tabs>
          <w:tab w:leader="none" w:pos="4620" w:val="left"/>
          <w:tab w:leader="none" w:pos="5300" w:val="left"/>
          <w:tab w:leader="none" w:pos="5700" w:val="left"/>
          <w:tab w:leader="none" w:pos="6680" w:val="left"/>
          <w:tab w:leader="none" w:pos="7480" w:val="left"/>
          <w:tab w:leader="none" w:pos="8360" w:val="left"/>
          <w:tab w:leader="none" w:pos="9340" w:val="left"/>
        </w:tabs>
        <w:rPr>
          <w:sz w:val="20"/>
          <w:szCs w:val="20"/>
          <w:color w:val="auto"/>
        </w:rPr>
      </w:pPr>
      <w:r>
        <w:rPr>
          <w:rFonts w:ascii="Courier New" w:cs="Courier New" w:eastAsia="Courier New" w:hAnsi="Courier New"/>
          <w:sz w:val="16"/>
          <w:szCs w:val="16"/>
          <w:color w:val="auto"/>
        </w:rPr>
        <w:t>Buy US dollar/Sell Australian dollar</w:t>
      </w:r>
      <w:r>
        <w:rPr>
          <w:sz w:val="20"/>
          <w:szCs w:val="20"/>
          <w:color w:val="auto"/>
        </w:rPr>
        <w:tab/>
      </w:r>
      <w:r>
        <w:rPr>
          <w:rFonts w:ascii="Courier New" w:cs="Courier New" w:eastAsia="Courier New" w:hAnsi="Courier New"/>
          <w:sz w:val="16"/>
          <w:szCs w:val="16"/>
          <w:color w:val="auto"/>
        </w:rPr>
        <w:t>.5182</w:t>
        <w:tab/>
        <w:t>$</w:t>
      </w:r>
      <w:r>
        <w:rPr>
          <w:sz w:val="20"/>
          <w:szCs w:val="20"/>
          <w:color w:val="auto"/>
        </w:rPr>
        <w:tab/>
      </w:r>
      <w:r>
        <w:rPr>
          <w:rFonts w:ascii="Courier New" w:cs="Courier New" w:eastAsia="Courier New" w:hAnsi="Courier New"/>
          <w:sz w:val="16"/>
          <w:szCs w:val="16"/>
          <w:color w:val="auto"/>
        </w:rPr>
        <w:t>15,120.0</w:t>
        <w:tab/>
        <w:t>$</w:t>
      </w:r>
      <w:r>
        <w:rPr>
          <w:sz w:val="20"/>
          <w:szCs w:val="20"/>
          <w:color w:val="auto"/>
        </w:rPr>
        <w:tab/>
      </w:r>
      <w:r>
        <w:rPr>
          <w:rFonts w:ascii="Courier New" w:cs="Courier New" w:eastAsia="Courier New" w:hAnsi="Courier New"/>
          <w:sz w:val="16"/>
          <w:szCs w:val="16"/>
          <w:color w:val="auto"/>
        </w:rPr>
        <w:t>46.4</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54.1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Buy US dollar/Sell Canadian dollar</w:t>
            </w:r>
          </w:p>
        </w:tc>
        <w:tc>
          <w:tcPr>
            <w:tcW w:w="15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1.4543</w:t>
            </w:r>
          </w:p>
        </w:tc>
        <w:tc>
          <w:tcPr>
            <w:tcW w:w="15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2,544.2</w:t>
            </w:r>
          </w:p>
        </w:tc>
        <w:tc>
          <w:tcPr>
            <w:tcW w:w="16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93.2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40.6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620" w:val="left"/>
          <w:tab w:leader="none" w:pos="5700" w:val="left"/>
          <w:tab w:leader="none" w:pos="7680" w:val="left"/>
          <w:tab w:leader="none" w:pos="9340" w:val="left"/>
        </w:tabs>
        <w:rPr>
          <w:sz w:val="20"/>
          <w:szCs w:val="20"/>
          <w:color w:val="auto"/>
        </w:rPr>
      </w:pPr>
      <w:r>
        <w:rPr>
          <w:rFonts w:ascii="Courier New" w:cs="Courier New" w:eastAsia="Courier New" w:hAnsi="Courier New"/>
          <w:sz w:val="16"/>
          <w:szCs w:val="16"/>
          <w:color w:val="auto"/>
        </w:rPr>
        <w:t>Buy Australian dollar/Sell US dollar</w:t>
      </w:r>
      <w:r>
        <w:rPr>
          <w:sz w:val="20"/>
          <w:szCs w:val="20"/>
          <w:color w:val="auto"/>
        </w:rPr>
        <w:tab/>
      </w:r>
      <w:r>
        <w:rPr>
          <w:rFonts w:ascii="Courier New" w:cs="Courier New" w:eastAsia="Courier New" w:hAnsi="Courier New"/>
          <w:sz w:val="16"/>
          <w:szCs w:val="16"/>
          <w:color w:val="auto"/>
        </w:rPr>
        <w:t>.5183</w:t>
      </w:r>
      <w:r>
        <w:rPr>
          <w:sz w:val="20"/>
          <w:szCs w:val="20"/>
          <w:color w:val="auto"/>
        </w:rPr>
        <w:tab/>
      </w:r>
      <w:r>
        <w:rPr>
          <w:rFonts w:ascii="Courier New" w:cs="Courier New" w:eastAsia="Courier New" w:hAnsi="Courier New"/>
          <w:sz w:val="16"/>
          <w:szCs w:val="16"/>
          <w:color w:val="auto"/>
        </w:rPr>
        <w:t>10,966.1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Buy Canadian dollar/Sell US dollar</w:t>
            </w:r>
          </w:p>
        </w:tc>
        <w:tc>
          <w:tcPr>
            <w:tcW w:w="16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1.5478</w:t>
            </w:r>
          </w:p>
        </w:tc>
        <w:tc>
          <w:tcPr>
            <w:tcW w:w="14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355.4</w:t>
            </w:r>
          </w:p>
        </w:tc>
        <w:tc>
          <w:tcPr>
            <w:tcW w:w="162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1.7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Buy British pound/Sell US dollar</w:t>
            </w:r>
          </w:p>
        </w:tc>
        <w:tc>
          <w:tcPr>
            <w:tcW w:w="16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1.3881</w:t>
            </w:r>
          </w:p>
        </w:tc>
        <w:tc>
          <w:tcPr>
            <w:tcW w:w="15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1,492.2</w:t>
            </w:r>
          </w:p>
        </w:tc>
        <w:tc>
          <w:tcPr>
            <w:tcW w:w="168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36.1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20"/>
                <w:szCs w:val="20"/>
                <w:color w:val="auto"/>
              </w:rPr>
            </w:pPr>
            <w:r>
              <w:rPr>
                <w:rFonts w:ascii="Courier New" w:cs="Courier New" w:eastAsia="Courier New" w:hAnsi="Courier New"/>
                <w:sz w:val="16"/>
                <w:szCs w:val="16"/>
                <w:color w:val="auto"/>
              </w:rPr>
              <w:t>Buy Euro/Sell US dollar</w:t>
            </w:r>
          </w:p>
        </w:tc>
        <w:tc>
          <w:tcPr>
            <w:tcW w:w="202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.8731</w:t>
            </w:r>
          </w:p>
        </w:tc>
        <w:tc>
          <w:tcPr>
            <w:tcW w:w="15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7,857.9</w:t>
            </w:r>
          </w:p>
        </w:tc>
        <w:tc>
          <w:tcPr>
            <w:tcW w:w="16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56.5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20"/>
                <w:szCs w:val="20"/>
                <w:color w:val="auto"/>
              </w:rPr>
            </w:pPr>
            <w:r>
              <w:rPr>
                <w:rFonts w:ascii="Courier New" w:cs="Courier New" w:eastAsia="Courier New" w:hAnsi="Courier New"/>
                <w:sz w:val="16"/>
                <w:szCs w:val="16"/>
                <w:color w:val="auto"/>
              </w:rPr>
              <w:t>Buy Japanese yen/Sell US dollar</w:t>
            </w:r>
          </w:p>
        </w:tc>
        <w:tc>
          <w:tcPr>
            <w:tcW w:w="17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117.4345</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10,644.2</w:t>
            </w:r>
          </w:p>
        </w:tc>
        <w:tc>
          <w:tcPr>
            <w:tcW w:w="17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(350.3)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(71.6)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4520" w:val="left"/>
          <w:tab w:leader="none" w:pos="5800" w:val="left"/>
          <w:tab w:leader="none" w:pos="7680" w:val="left"/>
          <w:tab w:leader="none" w:pos="9340" w:val="left"/>
        </w:tabs>
        <w:rPr>
          <w:sz w:val="20"/>
          <w:szCs w:val="20"/>
          <w:color w:val="auto"/>
        </w:rPr>
      </w:pPr>
      <w:r>
        <w:rPr>
          <w:rFonts w:ascii="Courier New" w:cs="Courier New" w:eastAsia="Courier New" w:hAnsi="Courier New"/>
          <w:sz w:val="16"/>
          <w:szCs w:val="16"/>
          <w:color w:val="auto"/>
        </w:rPr>
        <w:t>Buy Mexican peso/Sell US dollar</w:t>
      </w:r>
      <w:r>
        <w:rPr>
          <w:sz w:val="20"/>
          <w:szCs w:val="20"/>
          <w:color w:val="auto"/>
        </w:rPr>
        <w:tab/>
      </w:r>
      <w:r>
        <w:rPr>
          <w:rFonts w:ascii="Courier New" w:cs="Courier New" w:eastAsia="Courier New" w:hAnsi="Courier New"/>
          <w:sz w:val="16"/>
          <w:szCs w:val="16"/>
          <w:color w:val="auto"/>
        </w:rPr>
        <w:t>9.8007</w:t>
      </w:r>
      <w:r>
        <w:rPr>
          <w:sz w:val="20"/>
          <w:szCs w:val="20"/>
          <w:color w:val="auto"/>
        </w:rPr>
        <w:tab/>
      </w:r>
      <w:r>
        <w:rPr>
          <w:rFonts w:ascii="Courier New" w:cs="Courier New" w:eastAsia="Courier New" w:hAnsi="Courier New"/>
          <w:sz w:val="16"/>
          <w:szCs w:val="16"/>
          <w:color w:val="auto"/>
        </w:rPr>
        <w:t>2,066.2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Risk</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is exposed to interest rate risk arising from transactions that are entered into during the normal course of business. The company's short-term debt rates are dependent upon the LIBOR rate plus an additional percentage based on the company's current borrowing level. See the company's most recent annual report filed on Form 10-K (Item 7A). There has been no material change in that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Commodities</w:t>
      </w:r>
    </w:p>
    <w:p>
      <w:pPr>
        <w:spacing w:after="0" w:line="198" w:lineRule="exact"/>
        <w:rPr>
          <w:sz w:val="20"/>
          <w:szCs w:val="20"/>
          <w:color w:val="auto"/>
        </w:rPr>
      </w:pPr>
    </w:p>
    <w:p>
      <w:pPr>
        <w:jc w:val="both"/>
        <w:ind w:right="2619"/>
        <w:spacing w:after="0" w:line="253" w:lineRule="auto"/>
        <w:rPr>
          <w:sz w:val="20"/>
          <w:szCs w:val="20"/>
          <w:color w:val="auto"/>
        </w:rPr>
      </w:pPr>
      <w:r>
        <w:rPr>
          <w:rFonts w:ascii="Courier New" w:cs="Courier New" w:eastAsia="Courier New" w:hAnsi="Courier New"/>
          <w:sz w:val="16"/>
          <w:szCs w:val="16"/>
          <w:color w:val="auto"/>
        </w:rPr>
        <w:t>Certain raw materials used in the company's products are exposed to commodity price changes. Toro manages this risk by using long-term agreements with some vendors. The primary commodity price exposures are with aluminum, steel, and</w:t>
      </w:r>
    </w:p>
    <w:p>
      <w:pPr>
        <w:sectPr>
          <w:pgSz w:w="11900" w:h="16838" w:orient="portrait"/>
          <w:cols w:equalWidth="0" w:num="1">
            <w:col w:w="10219"/>
          </w:cols>
          <w:pgMar w:left="240" w:top="306"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plastic resin.</w:t>
      </w:r>
    </w:p>
    <w:p>
      <w:pPr>
        <w:spacing w:after="0" w:line="200" w:lineRule="exact"/>
        <w:rPr>
          <w:sz w:val="20"/>
          <w:szCs w:val="20"/>
          <w:color w:val="auto"/>
        </w:rPr>
      </w:pPr>
    </w:p>
    <w:p>
      <w:pPr>
        <w:spacing w:after="0" w:line="377"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42"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77"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PART II. OTHER INFORMATION</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200" w:lineRule="exact"/>
        <w:rPr>
          <w:sz w:val="20"/>
          <w:szCs w:val="20"/>
          <w:color w:val="auto"/>
        </w:rPr>
      </w:pPr>
    </w:p>
    <w:p>
      <w:pPr>
        <w:spacing w:after="0" w:line="377" w:lineRule="exact"/>
        <w:rPr>
          <w:sz w:val="20"/>
          <w:szCs w:val="20"/>
          <w:color w:val="auto"/>
        </w:rPr>
      </w:pPr>
    </w:p>
    <w:p>
      <w:pPr>
        <w:jc w:val="both"/>
        <w:ind w:left="2080" w:right="2619" w:hanging="1675"/>
        <w:spacing w:after="0" w:line="253" w:lineRule="auto"/>
        <w:rPr>
          <w:sz w:val="20"/>
          <w:szCs w:val="20"/>
          <w:color w:val="auto"/>
        </w:rPr>
      </w:pPr>
      <w:r>
        <w:rPr>
          <w:rFonts w:ascii="Courier New" w:cs="Courier New" w:eastAsia="Courier New" w:hAnsi="Courier New"/>
          <w:sz w:val="16"/>
          <w:szCs w:val="16"/>
          <w:color w:val="auto"/>
        </w:rPr>
        <w:t>3(i)(a) and 4(a) Certificate of Incorporation of Registrant (incorporated by reference to Exhibit 4.2 to Registrant's Registration Statement on Form S-3, Registration No. 33-16125).</w:t>
      </w:r>
    </w:p>
    <w:p>
      <w:pPr>
        <w:spacing w:after="0" w:line="18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180" w:type="dxa"/>
            <w:vAlign w:val="bottom"/>
          </w:tcPr>
          <w:p>
            <w:pPr>
              <w:spacing w:after="0"/>
              <w:rPr>
                <w:sz w:val="20"/>
                <w:szCs w:val="20"/>
                <w:color w:val="auto"/>
              </w:rPr>
            </w:pPr>
            <w:r>
              <w:rPr>
                <w:rFonts w:ascii="Courier New" w:cs="Courier New" w:eastAsia="Courier New" w:hAnsi="Courier New"/>
                <w:sz w:val="16"/>
                <w:szCs w:val="16"/>
                <w:color w:val="auto"/>
              </w:rPr>
              <w:t>3(i)(b)</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and 4(b) Certificate of Amendment to Certificate of</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Incorporation of Registrant dated December 9, 1986</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(incorporated by reference to Exhibit 3 to Registrant's</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Quarterly Report on Form 10-Q for the quarter ended January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30, 1987, Commission File No. 1-8649).</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3(i)(c)</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and 4(c) Certificate of Designation to Certificate of</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Incorporation of Registrant dated May 28, 1998</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(incorporated by reference to Exhibit (1)(A) to</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Registrant's Current Report on Form 8-K dated May 27,</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1998).</w:t>
            </w:r>
          </w:p>
        </w:tc>
      </w:tr>
      <w:tr>
        <w:trPr>
          <w:trHeight w:val="379"/>
        </w:trPr>
        <w:tc>
          <w:tcPr>
            <w:tcW w:w="7480" w:type="dxa"/>
            <w:vAlign w:val="bottom"/>
            <w:gridSpan w:val="2"/>
          </w:tcPr>
          <w:p>
            <w:pPr>
              <w:spacing w:after="0"/>
              <w:rPr>
                <w:sz w:val="20"/>
                <w:szCs w:val="20"/>
                <w:color w:val="auto"/>
              </w:rPr>
            </w:pPr>
            <w:r>
              <w:rPr>
                <w:rFonts w:ascii="Courier New" w:cs="Courier New" w:eastAsia="Courier New" w:hAnsi="Courier New"/>
                <w:sz w:val="16"/>
                <w:szCs w:val="16"/>
                <w:color w:val="auto"/>
              </w:rPr>
              <w:t>3(ii) and 4(d)   Bylaws of Registrant, as amended.</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4(e)</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Specimen form of Common Stock certificate (incorporated</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by reference to Exhibit 4(c) to Registrant's</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Registration Statement on Form S-8, Registration No.</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2-94417).</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4(f)</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Rights Agreement dated as of May 20, 1998, between</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Registrant and Wells Fargo Bank Minnesota, National</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Association relating to rights to purchase Series B</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Junior Participating Voting Preferred Stock, as amended</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(incorporated by reference to Registrant's Current</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Report on Form 8-K dated May 27, 1998, Commission File</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No. 1-8649).</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4(g)</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Indenture dated as of January 31, 1997, between</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Registrant and First National Trust Association, as</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Trustee, relating to the Registrant's 7.125% Notes due</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June 15, 2007 and its 7.80% Debentures due June 15, 2027</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(incorporated by reference to Exhibit 4(a) to</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Registrant's Current Report on Form 8-K for June 24,</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1997, Commission File No. 1-8649).</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10(a)</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Form of Employment Agreement in effect for executive</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officers of Registrant (incorporated by reference to</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Exhibit 10(a) to Registrant's Quarterly Report on Form</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10-Q for the quarter ended July 30, 1999).*</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10(b)</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The Toro Company Directors Stock Plan (incorporated by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reference to Exhibit 10(b) to Registrant's Quarterly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Report on Form 10-Q for the quarter ended April 28,</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2000).*</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10(c)</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The Toro Company Annual Management Incentive Plan II for</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officers of Registrant (incorporated by reference to</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Exhibit 10(c) to Registrant's Quarterly Report on Form</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10-Q for the quarter ended April 28, 2000).*</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10(d)</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The Toro Company 1989 Stock Option Plan (incorporated by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reference to Exhibit 10(e) to Registrant's Quarterly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Report on Form 10-Q for the quarter ended July 30,</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1999).*</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10(e)</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The Toro Company 1993 Stock Option Plan (incorporated by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reference to Exhibit 10(f) to Registrant's Quarterly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Report on Form 10-Q for the quarter ended July 30,</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1999).*</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10(f)</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The Toro Company Performance Share Plan (incorporated by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reference to Exhibit 10(f) to Registrant's Quarterly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Report on Form 10-Q for the quarter ended July 30,</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1999).*</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10(g)</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The Toro Company 2000 Stock Option Plan (incorporated by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reference to Exhibit 10(g) to Registrant's Quarterly</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Report on Form 10-Q for the quarter ended April 28,</w:t>
            </w:r>
          </w:p>
        </w:tc>
      </w:tr>
      <w:tr>
        <w:trPr>
          <w:trHeight w:val="190"/>
        </w:trPr>
        <w:tc>
          <w:tcPr>
            <w:tcW w:w="1180" w:type="dxa"/>
            <w:vAlign w:val="bottom"/>
          </w:tcPr>
          <w:p>
            <w:pPr>
              <w:spacing w:after="0"/>
              <w:rPr>
                <w:sz w:val="16"/>
                <w:szCs w:val="16"/>
                <w:color w:val="auto"/>
              </w:rPr>
            </w:pP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2000).*</w:t>
            </w:r>
          </w:p>
        </w:tc>
      </w:tr>
      <w:tr>
        <w:trPr>
          <w:trHeight w:val="379"/>
        </w:trPr>
        <w:tc>
          <w:tcPr>
            <w:tcW w:w="1180" w:type="dxa"/>
            <w:vAlign w:val="bottom"/>
          </w:tcPr>
          <w:p>
            <w:pPr>
              <w:spacing w:after="0"/>
              <w:rPr>
                <w:sz w:val="20"/>
                <w:szCs w:val="20"/>
                <w:color w:val="auto"/>
              </w:rPr>
            </w:pPr>
            <w:r>
              <w:rPr>
                <w:rFonts w:ascii="Courier New" w:cs="Courier New" w:eastAsia="Courier New" w:hAnsi="Courier New"/>
                <w:sz w:val="16"/>
                <w:szCs w:val="16"/>
                <w:color w:val="auto"/>
              </w:rPr>
              <w:t>10(h)</w:t>
            </w:r>
          </w:p>
        </w:tc>
        <w:tc>
          <w:tcPr>
            <w:tcW w:w="6300" w:type="dxa"/>
            <w:vAlign w:val="bottom"/>
          </w:tcPr>
          <w:p>
            <w:pPr>
              <w:ind w:left="500"/>
              <w:spacing w:after="0"/>
              <w:rPr>
                <w:sz w:val="20"/>
                <w:szCs w:val="20"/>
                <w:color w:val="auto"/>
              </w:rPr>
            </w:pPr>
            <w:r>
              <w:rPr>
                <w:rFonts w:ascii="Courier New" w:cs="Courier New" w:eastAsia="Courier New" w:hAnsi="Courier New"/>
                <w:sz w:val="16"/>
                <w:szCs w:val="16"/>
                <w:color w:val="auto"/>
              </w:rPr>
              <w:t>The Toro Company Supplemental Management Retirement Plan</w:t>
            </w:r>
          </w:p>
        </w:tc>
      </w:tr>
    </w:tbl>
    <w:p>
      <w:pPr>
        <w:sectPr>
          <w:pgSz w:w="11900" w:h="16838" w:orient="portrait"/>
          <w:cols w:equalWidth="0" w:num="1">
            <w:col w:w="10219"/>
          </w:cols>
          <w:pgMar w:left="240" w:top="306" w:right="1440" w:bottom="0" w:gutter="0" w:footer="0" w:header="0"/>
        </w:sectPr>
      </w:pPr>
    </w:p>
    <w:bookmarkStart w:id="24" w:name="page25"/>
    <w:bookmarkEnd w:id="24"/>
    <w:p>
      <w:pPr>
        <w:ind w:left="880" w:right="3219"/>
        <w:spacing w:after="0" w:line="253" w:lineRule="auto"/>
        <w:rPr>
          <w:sz w:val="20"/>
          <w:szCs w:val="20"/>
          <w:color w:val="auto"/>
        </w:rPr>
      </w:pPr>
      <w:r>
        <w:rPr>
          <w:rFonts w:ascii="Courier New" w:cs="Courier New" w:eastAsia="Courier New" w:hAnsi="Courier New"/>
          <w:sz w:val="16"/>
          <w:szCs w:val="16"/>
          <w:color w:val="auto"/>
        </w:rPr>
        <w:t>(incorporated by reference to Exhibit 10(h) to Registrant's Quarterly Report on Form 10-Q for the quarter ended July 30, 1999).*</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142"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080" w:type="dxa"/>
            <w:vAlign w:val="bottom"/>
          </w:tcPr>
          <w:p>
            <w:pPr>
              <w:spacing w:after="0"/>
              <w:rPr>
                <w:sz w:val="20"/>
                <w:szCs w:val="20"/>
                <w:color w:val="auto"/>
              </w:rPr>
            </w:pPr>
            <w:r>
              <w:rPr>
                <w:rFonts w:ascii="Courier New" w:cs="Courier New" w:eastAsia="Courier New" w:hAnsi="Courier New"/>
                <w:sz w:val="16"/>
                <w:szCs w:val="16"/>
                <w:color w:val="auto"/>
              </w:rPr>
              <w:t>10(i)</w:t>
            </w:r>
          </w:p>
        </w:tc>
        <w:tc>
          <w:tcPr>
            <w:tcW w:w="2220" w:type="dxa"/>
            <w:vAlign w:val="bottom"/>
          </w:tcPr>
          <w:p>
            <w:pPr>
              <w:ind w:left="600"/>
              <w:spacing w:after="0"/>
              <w:rPr>
                <w:sz w:val="20"/>
                <w:szCs w:val="20"/>
                <w:color w:val="auto"/>
              </w:rPr>
            </w:pPr>
            <w:r>
              <w:rPr>
                <w:rFonts w:ascii="Courier New" w:cs="Courier New" w:eastAsia="Courier New" w:hAnsi="Courier New"/>
                <w:sz w:val="16"/>
                <w:szCs w:val="16"/>
                <w:color w:val="auto"/>
              </w:rPr>
              <w:t>The Toro Company</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Supplemental</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Retirement Plan</w:t>
            </w:r>
          </w:p>
        </w:tc>
      </w:tr>
      <w:tr>
        <w:trPr>
          <w:trHeight w:val="190"/>
        </w:trPr>
        <w:tc>
          <w:tcPr>
            <w:tcW w:w="1080" w:type="dxa"/>
            <w:vAlign w:val="bottom"/>
          </w:tcPr>
          <w:p>
            <w:pPr>
              <w:spacing w:after="0"/>
              <w:rPr>
                <w:sz w:val="16"/>
                <w:szCs w:val="16"/>
                <w:color w:val="auto"/>
              </w:rPr>
            </w:pPr>
          </w:p>
        </w:tc>
        <w:tc>
          <w:tcPr>
            <w:tcW w:w="2220" w:type="dxa"/>
            <w:vAlign w:val="bottom"/>
          </w:tcPr>
          <w:p>
            <w:pPr>
              <w:ind w:left="600"/>
              <w:spacing w:after="0"/>
              <w:rPr>
                <w:sz w:val="20"/>
                <w:szCs w:val="20"/>
                <w:color w:val="auto"/>
              </w:rPr>
            </w:pPr>
            <w:r>
              <w:rPr>
                <w:rFonts w:ascii="Courier New" w:cs="Courier New" w:eastAsia="Courier New" w:hAnsi="Courier New"/>
                <w:sz w:val="16"/>
                <w:szCs w:val="16"/>
                <w:color w:val="auto"/>
              </w:rPr>
              <w:t>(incorporated by</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reference to</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Exhibit 10(i) to</w:t>
            </w:r>
          </w:p>
        </w:tc>
      </w:tr>
      <w:tr>
        <w:trPr>
          <w:trHeight w:val="190"/>
        </w:trPr>
        <w:tc>
          <w:tcPr>
            <w:tcW w:w="1080" w:type="dxa"/>
            <w:vAlign w:val="bottom"/>
          </w:tcPr>
          <w:p>
            <w:pPr>
              <w:spacing w:after="0"/>
              <w:rPr>
                <w:sz w:val="16"/>
                <w:szCs w:val="16"/>
                <w:color w:val="auto"/>
              </w:rPr>
            </w:pPr>
          </w:p>
        </w:tc>
        <w:tc>
          <w:tcPr>
            <w:tcW w:w="28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Registrant's Quarterly</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Report</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on Form 10-Q for the</w:t>
            </w:r>
          </w:p>
        </w:tc>
      </w:tr>
      <w:tr>
        <w:trPr>
          <w:trHeight w:val="190"/>
        </w:trPr>
        <w:tc>
          <w:tcPr>
            <w:tcW w:w="1080" w:type="dxa"/>
            <w:vAlign w:val="bottom"/>
          </w:tcPr>
          <w:p>
            <w:pPr>
              <w:spacing w:after="0"/>
              <w:rPr>
                <w:sz w:val="16"/>
                <w:szCs w:val="16"/>
                <w:color w:val="auto"/>
              </w:rPr>
            </w:pPr>
          </w:p>
        </w:tc>
        <w:tc>
          <w:tcPr>
            <w:tcW w:w="28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quarter ended July 30,</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1999).*</w:t>
            </w:r>
          </w:p>
        </w:tc>
        <w:tc>
          <w:tcPr>
            <w:tcW w:w="2580" w:type="dxa"/>
            <w:vAlign w:val="bottom"/>
          </w:tcPr>
          <w:p>
            <w:pPr>
              <w:spacing w:after="0"/>
              <w:rPr>
                <w:sz w:val="16"/>
                <w:szCs w:val="16"/>
                <w:color w:val="auto"/>
              </w:rPr>
            </w:pP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10(j)</w:t>
            </w:r>
          </w:p>
        </w:tc>
        <w:tc>
          <w:tcPr>
            <w:tcW w:w="2220" w:type="dxa"/>
            <w:vAlign w:val="bottom"/>
          </w:tcPr>
          <w:p>
            <w:pPr>
              <w:ind w:left="600"/>
              <w:spacing w:after="0"/>
              <w:rPr>
                <w:sz w:val="20"/>
                <w:szCs w:val="20"/>
                <w:color w:val="auto"/>
              </w:rPr>
            </w:pPr>
            <w:r>
              <w:rPr>
                <w:rFonts w:ascii="Courier New" w:cs="Courier New" w:eastAsia="Courier New" w:hAnsi="Courier New"/>
                <w:sz w:val="16"/>
                <w:szCs w:val="16"/>
                <w:color w:val="auto"/>
              </w:rPr>
              <w:t>The Toro Company</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Chief</w:t>
            </w:r>
          </w:p>
        </w:tc>
        <w:tc>
          <w:tcPr>
            <w:tcW w:w="33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Executive Officer Incentive Award</w:t>
            </w:r>
          </w:p>
        </w:tc>
      </w:tr>
      <w:tr>
        <w:trPr>
          <w:trHeight w:val="190"/>
        </w:trPr>
        <w:tc>
          <w:tcPr>
            <w:tcW w:w="1080" w:type="dxa"/>
            <w:vAlign w:val="bottom"/>
          </w:tcPr>
          <w:p>
            <w:pPr>
              <w:spacing w:after="0"/>
              <w:rPr>
                <w:sz w:val="16"/>
                <w:szCs w:val="16"/>
                <w:color w:val="auto"/>
              </w:rPr>
            </w:pPr>
          </w:p>
        </w:tc>
        <w:tc>
          <w:tcPr>
            <w:tcW w:w="6120" w:type="dxa"/>
            <w:vAlign w:val="bottom"/>
            <w:gridSpan w:val="4"/>
          </w:tcPr>
          <w:p>
            <w:pPr>
              <w:ind w:left="600"/>
              <w:spacing w:after="0"/>
              <w:rPr>
                <w:sz w:val="20"/>
                <w:szCs w:val="20"/>
                <w:color w:val="auto"/>
              </w:rPr>
            </w:pPr>
            <w:r>
              <w:rPr>
                <w:rFonts w:ascii="Courier New" w:cs="Courier New" w:eastAsia="Courier New" w:hAnsi="Courier New"/>
                <w:sz w:val="16"/>
                <w:szCs w:val="16"/>
                <w:color w:val="auto"/>
              </w:rPr>
              <w:t>Agreement (incorporated by reference to Exhibit 10(k) to</w:t>
            </w:r>
          </w:p>
        </w:tc>
      </w:tr>
      <w:tr>
        <w:trPr>
          <w:trHeight w:val="190"/>
        </w:trPr>
        <w:tc>
          <w:tcPr>
            <w:tcW w:w="1080" w:type="dxa"/>
            <w:vAlign w:val="bottom"/>
          </w:tcPr>
          <w:p>
            <w:pPr>
              <w:spacing w:after="0"/>
              <w:rPr>
                <w:sz w:val="16"/>
                <w:szCs w:val="16"/>
                <w:color w:val="auto"/>
              </w:rPr>
            </w:pPr>
          </w:p>
        </w:tc>
        <w:tc>
          <w:tcPr>
            <w:tcW w:w="28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Registrant's Quarterly</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Report</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on Form 10-Q for the</w:t>
            </w:r>
          </w:p>
        </w:tc>
      </w:tr>
      <w:tr>
        <w:trPr>
          <w:trHeight w:val="190"/>
        </w:trPr>
        <w:tc>
          <w:tcPr>
            <w:tcW w:w="1080" w:type="dxa"/>
            <w:vAlign w:val="bottom"/>
          </w:tcPr>
          <w:p>
            <w:pPr>
              <w:spacing w:after="0"/>
              <w:rPr>
                <w:sz w:val="16"/>
                <w:szCs w:val="16"/>
                <w:color w:val="auto"/>
              </w:rPr>
            </w:pPr>
          </w:p>
        </w:tc>
        <w:tc>
          <w:tcPr>
            <w:tcW w:w="6120" w:type="dxa"/>
            <w:vAlign w:val="bottom"/>
            <w:gridSpan w:val="4"/>
          </w:tcPr>
          <w:p>
            <w:pPr>
              <w:ind w:left="600"/>
              <w:spacing w:after="0"/>
              <w:rPr>
                <w:sz w:val="20"/>
                <w:szCs w:val="20"/>
                <w:color w:val="auto"/>
              </w:rPr>
            </w:pPr>
            <w:r>
              <w:rPr>
                <w:rFonts w:ascii="Courier New" w:cs="Courier New" w:eastAsia="Courier New" w:hAnsi="Courier New"/>
                <w:sz w:val="16"/>
                <w:szCs w:val="16"/>
                <w:color w:val="auto"/>
              </w:rPr>
              <w:t>quarter ended April 28, 2000).*</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10(k)</w:t>
            </w:r>
          </w:p>
        </w:tc>
        <w:tc>
          <w:tcPr>
            <w:tcW w:w="2220" w:type="dxa"/>
            <w:vAlign w:val="bottom"/>
          </w:tcPr>
          <w:p>
            <w:pPr>
              <w:ind w:left="600"/>
              <w:spacing w:after="0"/>
              <w:rPr>
                <w:sz w:val="20"/>
                <w:szCs w:val="20"/>
                <w:color w:val="auto"/>
              </w:rPr>
            </w:pPr>
            <w:r>
              <w:rPr>
                <w:rFonts w:ascii="Courier New" w:cs="Courier New" w:eastAsia="Courier New" w:hAnsi="Courier New"/>
                <w:sz w:val="16"/>
                <w:szCs w:val="16"/>
                <w:color w:val="auto"/>
              </w:rPr>
              <w:t>The Toro Company</w:t>
            </w:r>
          </w:p>
        </w:tc>
        <w:tc>
          <w:tcPr>
            <w:tcW w:w="39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Deferred Compensation Plan for Officers</w:t>
            </w:r>
          </w:p>
        </w:tc>
      </w:tr>
      <w:tr>
        <w:trPr>
          <w:trHeight w:val="190"/>
        </w:trPr>
        <w:tc>
          <w:tcPr>
            <w:tcW w:w="1080" w:type="dxa"/>
            <w:vAlign w:val="bottom"/>
          </w:tcPr>
          <w:p>
            <w:pPr>
              <w:spacing w:after="0"/>
              <w:rPr>
                <w:sz w:val="16"/>
                <w:szCs w:val="16"/>
                <w:color w:val="auto"/>
              </w:rPr>
            </w:pPr>
          </w:p>
        </w:tc>
        <w:tc>
          <w:tcPr>
            <w:tcW w:w="2220" w:type="dxa"/>
            <w:vAlign w:val="bottom"/>
          </w:tcPr>
          <w:p>
            <w:pPr>
              <w:ind w:left="600"/>
              <w:spacing w:after="0"/>
              <w:rPr>
                <w:sz w:val="20"/>
                <w:szCs w:val="20"/>
                <w:color w:val="auto"/>
              </w:rPr>
            </w:pPr>
            <w:r>
              <w:rPr>
                <w:rFonts w:ascii="Courier New" w:cs="Courier New" w:eastAsia="Courier New" w:hAnsi="Courier New"/>
                <w:sz w:val="16"/>
                <w:szCs w:val="16"/>
                <w:color w:val="auto"/>
              </w:rPr>
              <w:t>(incorporated by</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reference to</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Exhibit 10(k) to</w:t>
            </w:r>
          </w:p>
        </w:tc>
      </w:tr>
      <w:tr>
        <w:trPr>
          <w:trHeight w:val="190"/>
        </w:trPr>
        <w:tc>
          <w:tcPr>
            <w:tcW w:w="1080" w:type="dxa"/>
            <w:vAlign w:val="bottom"/>
          </w:tcPr>
          <w:p>
            <w:pPr>
              <w:spacing w:after="0"/>
              <w:rPr>
                <w:sz w:val="16"/>
                <w:szCs w:val="16"/>
                <w:color w:val="auto"/>
              </w:rPr>
            </w:pPr>
          </w:p>
        </w:tc>
        <w:tc>
          <w:tcPr>
            <w:tcW w:w="28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Registrant's Quarterly</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Report</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on Form 10-Q for the</w:t>
            </w:r>
          </w:p>
        </w:tc>
      </w:tr>
      <w:tr>
        <w:trPr>
          <w:trHeight w:val="190"/>
        </w:trPr>
        <w:tc>
          <w:tcPr>
            <w:tcW w:w="1080" w:type="dxa"/>
            <w:vAlign w:val="bottom"/>
          </w:tcPr>
          <w:p>
            <w:pPr>
              <w:spacing w:after="0"/>
              <w:rPr>
                <w:sz w:val="16"/>
                <w:szCs w:val="16"/>
                <w:color w:val="auto"/>
              </w:rPr>
            </w:pPr>
          </w:p>
        </w:tc>
        <w:tc>
          <w:tcPr>
            <w:tcW w:w="28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quarter ended July 28,</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2000).*</w:t>
            </w:r>
          </w:p>
        </w:tc>
        <w:tc>
          <w:tcPr>
            <w:tcW w:w="2580" w:type="dxa"/>
            <w:vAlign w:val="bottom"/>
          </w:tcPr>
          <w:p>
            <w:pPr>
              <w:spacing w:after="0"/>
              <w:rPr>
                <w:sz w:val="16"/>
                <w:szCs w:val="16"/>
                <w:color w:val="auto"/>
              </w:rPr>
            </w:pP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10(l)</w:t>
            </w:r>
          </w:p>
        </w:tc>
        <w:tc>
          <w:tcPr>
            <w:tcW w:w="2220" w:type="dxa"/>
            <w:vAlign w:val="bottom"/>
          </w:tcPr>
          <w:p>
            <w:pPr>
              <w:ind w:left="600"/>
              <w:spacing w:after="0"/>
              <w:rPr>
                <w:sz w:val="20"/>
                <w:szCs w:val="20"/>
                <w:color w:val="auto"/>
              </w:rPr>
            </w:pPr>
            <w:r>
              <w:rPr>
                <w:rFonts w:ascii="Courier New" w:cs="Courier New" w:eastAsia="Courier New" w:hAnsi="Courier New"/>
                <w:sz w:val="16"/>
                <w:szCs w:val="16"/>
                <w:color w:val="auto"/>
              </w:rPr>
              <w:t>The Toro Company</w:t>
            </w:r>
          </w:p>
        </w:tc>
        <w:tc>
          <w:tcPr>
            <w:tcW w:w="39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Deferred Compensation Plan for</w:t>
            </w:r>
          </w:p>
        </w:tc>
      </w:tr>
      <w:tr>
        <w:trPr>
          <w:trHeight w:val="190"/>
        </w:trPr>
        <w:tc>
          <w:tcPr>
            <w:tcW w:w="1080" w:type="dxa"/>
            <w:vAlign w:val="bottom"/>
          </w:tcPr>
          <w:p>
            <w:pPr>
              <w:spacing w:after="0"/>
              <w:rPr>
                <w:sz w:val="16"/>
                <w:szCs w:val="16"/>
                <w:color w:val="auto"/>
              </w:rPr>
            </w:pPr>
          </w:p>
        </w:tc>
        <w:tc>
          <w:tcPr>
            <w:tcW w:w="28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Non-Employee Directors</w:t>
            </w:r>
          </w:p>
        </w:tc>
        <w:tc>
          <w:tcPr>
            <w:tcW w:w="33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(incorporated by reference to</w:t>
            </w:r>
          </w:p>
        </w:tc>
      </w:tr>
      <w:tr>
        <w:trPr>
          <w:trHeight w:val="190"/>
        </w:trPr>
        <w:tc>
          <w:tcPr>
            <w:tcW w:w="1080" w:type="dxa"/>
            <w:vAlign w:val="bottom"/>
          </w:tcPr>
          <w:p>
            <w:pPr>
              <w:spacing w:after="0"/>
              <w:rPr>
                <w:sz w:val="16"/>
                <w:szCs w:val="16"/>
                <w:color w:val="auto"/>
              </w:rPr>
            </w:pPr>
          </w:p>
        </w:tc>
        <w:tc>
          <w:tcPr>
            <w:tcW w:w="2220" w:type="dxa"/>
            <w:vAlign w:val="bottom"/>
          </w:tcPr>
          <w:p>
            <w:pPr>
              <w:ind w:left="600"/>
              <w:spacing w:after="0"/>
              <w:rPr>
                <w:sz w:val="20"/>
                <w:szCs w:val="20"/>
                <w:color w:val="auto"/>
              </w:rPr>
            </w:pPr>
            <w:r>
              <w:rPr>
                <w:rFonts w:ascii="Courier New" w:cs="Courier New" w:eastAsia="Courier New" w:hAnsi="Courier New"/>
                <w:sz w:val="16"/>
                <w:szCs w:val="16"/>
                <w:color w:val="auto"/>
              </w:rPr>
              <w:t>Exhibit 10(l) to</w:t>
            </w:r>
          </w:p>
        </w:tc>
        <w:tc>
          <w:tcPr>
            <w:tcW w:w="13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Registrant's</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Quarterly Report on Form</w:t>
            </w:r>
          </w:p>
        </w:tc>
      </w:tr>
      <w:tr>
        <w:trPr>
          <w:trHeight w:val="190"/>
        </w:trPr>
        <w:tc>
          <w:tcPr>
            <w:tcW w:w="1080" w:type="dxa"/>
            <w:vAlign w:val="bottom"/>
          </w:tcPr>
          <w:p>
            <w:pPr>
              <w:spacing w:after="0"/>
              <w:rPr>
                <w:sz w:val="16"/>
                <w:szCs w:val="16"/>
                <w:color w:val="auto"/>
              </w:rPr>
            </w:pPr>
          </w:p>
        </w:tc>
        <w:tc>
          <w:tcPr>
            <w:tcW w:w="6120" w:type="dxa"/>
            <w:vAlign w:val="bottom"/>
            <w:gridSpan w:val="4"/>
          </w:tcPr>
          <w:p>
            <w:pPr>
              <w:ind w:left="600"/>
              <w:spacing w:after="0"/>
              <w:rPr>
                <w:sz w:val="20"/>
                <w:szCs w:val="20"/>
                <w:color w:val="auto"/>
              </w:rPr>
            </w:pPr>
            <w:r>
              <w:rPr>
                <w:rFonts w:ascii="Courier New" w:cs="Courier New" w:eastAsia="Courier New" w:hAnsi="Courier New"/>
                <w:sz w:val="16"/>
                <w:szCs w:val="16"/>
                <w:color w:val="auto"/>
              </w:rPr>
              <w:t>10-Q for the quarter ended July 28, 2000).*</w:t>
            </w:r>
          </w:p>
        </w:tc>
      </w:tr>
      <w:tr>
        <w:trPr>
          <w:trHeight w:val="379"/>
        </w:trPr>
        <w:tc>
          <w:tcPr>
            <w:tcW w:w="1080" w:type="dxa"/>
            <w:vAlign w:val="bottom"/>
          </w:tcPr>
          <w:p>
            <w:pPr>
              <w:spacing w:after="0"/>
              <w:rPr>
                <w:sz w:val="20"/>
                <w:szCs w:val="20"/>
                <w:color w:val="auto"/>
              </w:rPr>
            </w:pPr>
            <w:r>
              <w:rPr>
                <w:rFonts w:ascii="Courier New" w:cs="Courier New" w:eastAsia="Courier New" w:hAnsi="Courier New"/>
                <w:sz w:val="16"/>
                <w:szCs w:val="16"/>
                <w:color w:val="auto"/>
              </w:rPr>
              <w:t>10(m)</w:t>
            </w:r>
          </w:p>
        </w:tc>
        <w:tc>
          <w:tcPr>
            <w:tcW w:w="2220" w:type="dxa"/>
            <w:vAlign w:val="bottom"/>
          </w:tcPr>
          <w:p>
            <w:pPr>
              <w:ind w:left="600"/>
              <w:spacing w:after="0"/>
              <w:rPr>
                <w:sz w:val="20"/>
                <w:szCs w:val="20"/>
                <w:color w:val="auto"/>
              </w:rPr>
            </w:pPr>
            <w:r>
              <w:rPr>
                <w:rFonts w:ascii="Courier New" w:cs="Courier New" w:eastAsia="Courier New" w:hAnsi="Courier New"/>
                <w:sz w:val="16"/>
                <w:szCs w:val="16"/>
                <w:color w:val="auto"/>
              </w:rPr>
              <w:t>The Toro Company</w:t>
            </w:r>
          </w:p>
        </w:tc>
        <w:tc>
          <w:tcPr>
            <w:tcW w:w="39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2000 Directors Stock Plan (incorporated</w:t>
            </w:r>
          </w:p>
        </w:tc>
      </w:tr>
      <w:tr>
        <w:trPr>
          <w:trHeight w:val="190"/>
        </w:trPr>
        <w:tc>
          <w:tcPr>
            <w:tcW w:w="1080" w:type="dxa"/>
            <w:vAlign w:val="bottom"/>
          </w:tcPr>
          <w:p>
            <w:pPr>
              <w:spacing w:after="0"/>
              <w:rPr>
                <w:sz w:val="16"/>
                <w:szCs w:val="16"/>
                <w:color w:val="auto"/>
              </w:rPr>
            </w:pPr>
          </w:p>
        </w:tc>
        <w:tc>
          <w:tcPr>
            <w:tcW w:w="3540" w:type="dxa"/>
            <w:vAlign w:val="bottom"/>
            <w:gridSpan w:val="3"/>
          </w:tcPr>
          <w:p>
            <w:pPr>
              <w:ind w:left="600"/>
              <w:spacing w:after="0"/>
              <w:rPr>
                <w:sz w:val="20"/>
                <w:szCs w:val="20"/>
                <w:color w:val="auto"/>
              </w:rPr>
            </w:pPr>
            <w:r>
              <w:rPr>
                <w:rFonts w:ascii="Courier New" w:cs="Courier New" w:eastAsia="Courier New" w:hAnsi="Courier New"/>
                <w:sz w:val="16"/>
                <w:szCs w:val="16"/>
                <w:color w:val="auto"/>
              </w:rPr>
              <w:t>by reference to Exhibit 10(l)</w:t>
            </w:r>
          </w:p>
        </w:tc>
        <w:tc>
          <w:tcPr>
            <w:tcW w:w="2580" w:type="dxa"/>
            <w:vAlign w:val="bottom"/>
          </w:tcPr>
          <w:p>
            <w:pPr>
              <w:spacing w:after="0"/>
              <w:rPr>
                <w:sz w:val="20"/>
                <w:szCs w:val="20"/>
                <w:color w:val="auto"/>
              </w:rPr>
            </w:pPr>
            <w:r>
              <w:rPr>
                <w:rFonts w:ascii="Courier New" w:cs="Courier New" w:eastAsia="Courier New" w:hAnsi="Courier New"/>
                <w:sz w:val="16"/>
                <w:szCs w:val="16"/>
                <w:color w:val="auto"/>
              </w:rPr>
              <w:t>to Registrant's Quarterly</w:t>
            </w:r>
          </w:p>
        </w:tc>
      </w:tr>
      <w:tr>
        <w:trPr>
          <w:trHeight w:val="190"/>
        </w:trPr>
        <w:tc>
          <w:tcPr>
            <w:tcW w:w="1080" w:type="dxa"/>
            <w:vAlign w:val="bottom"/>
          </w:tcPr>
          <w:p>
            <w:pPr>
              <w:spacing w:after="0"/>
              <w:rPr>
                <w:sz w:val="16"/>
                <w:szCs w:val="16"/>
                <w:color w:val="auto"/>
              </w:rPr>
            </w:pPr>
          </w:p>
        </w:tc>
        <w:tc>
          <w:tcPr>
            <w:tcW w:w="6120" w:type="dxa"/>
            <w:vAlign w:val="bottom"/>
            <w:gridSpan w:val="4"/>
          </w:tcPr>
          <w:p>
            <w:pPr>
              <w:ind w:left="600"/>
              <w:spacing w:after="0"/>
              <w:rPr>
                <w:sz w:val="20"/>
                <w:szCs w:val="20"/>
                <w:color w:val="auto"/>
              </w:rPr>
            </w:pPr>
            <w:r>
              <w:rPr>
                <w:rFonts w:ascii="Courier New" w:cs="Courier New" w:eastAsia="Courier New" w:hAnsi="Courier New"/>
                <w:sz w:val="16"/>
                <w:szCs w:val="16"/>
                <w:color w:val="auto"/>
              </w:rPr>
              <w:t>Report on Form 10-Q for the quarter ended May 4, 2001).*</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500" w:right="2439" w:hanging="499"/>
        <w:spacing w:after="0" w:line="253"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 required to be filed as an exhibit to this Quarterly Report on Form 10-Q pursuant to Item 14(c).</w:t>
      </w:r>
    </w:p>
    <w:p>
      <w:pPr>
        <w:spacing w:after="0" w:line="185" w:lineRule="exact"/>
        <w:rPr>
          <w:sz w:val="20"/>
          <w:szCs w:val="20"/>
          <w:color w:val="auto"/>
        </w:rPr>
      </w:pPr>
    </w:p>
    <w:p>
      <w:pPr>
        <w:ind w:left="500" w:hanging="499"/>
        <w:spacing w:after="0"/>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6"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23</w:t>
      </w:r>
    </w:p>
    <w:p>
      <w:pPr>
        <w:spacing w:after="0" w:line="200" w:lineRule="exact"/>
        <w:rPr>
          <w:sz w:val="20"/>
          <w:szCs w:val="20"/>
          <w:color w:val="auto"/>
        </w:rPr>
      </w:pPr>
    </w:p>
    <w:p>
      <w:pPr>
        <w:spacing w:after="0" w:line="377"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jc w:val="both"/>
        <w:ind w:left="300" w:right="28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p>
      <w:pPr>
        <w:jc w:val="center"/>
        <w:ind w:right="959"/>
        <w:spacing w:after="0"/>
        <w:rPr>
          <w:sz w:val="20"/>
          <w:szCs w:val="20"/>
          <w:color w:val="auto"/>
        </w:rPr>
      </w:pPr>
      <w:r>
        <w:rPr>
          <w:rFonts w:ascii="Courier New" w:cs="Courier New" w:eastAsia="Courier New" w:hAnsi="Courier New"/>
          <w:sz w:val="16"/>
          <w:szCs w:val="16"/>
          <w:color w:val="auto"/>
        </w:rPr>
        <w:t>THE TORO COMPANY</w:t>
      </w:r>
    </w:p>
    <w:p>
      <w:pPr>
        <w:spacing w:after="0" w:line="8" w:lineRule="exact"/>
        <w:rPr>
          <w:sz w:val="20"/>
          <w:szCs w:val="20"/>
          <w:color w:val="auto"/>
        </w:rPr>
      </w:pPr>
    </w:p>
    <w:p>
      <w:pPr>
        <w:jc w:val="center"/>
        <w:ind w:right="959"/>
        <w:spacing w:after="0"/>
        <w:rPr>
          <w:sz w:val="20"/>
          <w:szCs w:val="20"/>
          <w:color w:val="auto"/>
        </w:rPr>
      </w:pPr>
      <w:r>
        <w:rPr>
          <w:rFonts w:ascii="Courier New" w:cs="Courier New" w:eastAsia="Courier New" w:hAnsi="Courier New"/>
          <w:sz w:val="16"/>
          <w:szCs w:val="16"/>
          <w:color w:val="auto"/>
        </w:rPr>
        <w:t>(Registrant)</w:t>
      </w:r>
    </w:p>
    <w:p>
      <w:pPr>
        <w:spacing w:after="0" w:line="19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6"/>
          <w:szCs w:val="16"/>
          <w:color w:val="auto"/>
        </w:rPr>
        <w:t>By /s/ Stephen P. Wolfe</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Stephen P. Wolfe</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Vice President, Finance</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Treasurer and Chief Financial Officer</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6"/>
          <w:szCs w:val="16"/>
          <w:color w:val="auto"/>
        </w:rPr>
        <w:t>Date:</w:t>
        <w:tab/>
        <w:t>September 17, 2001</w:t>
      </w: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6"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EXHIBIT 3(ii) and 4(d)</w:t>
      </w:r>
    </w:p>
    <w:p>
      <w:pPr>
        <w:spacing w:after="0" w:line="38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BYLAWS</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OF</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THE TORO COMPANY</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 Delaware Corporation)</w:t>
      </w:r>
    </w:p>
    <w:p>
      <w:pPr>
        <w:spacing w:after="0" w:line="38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ARTICLE I</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Offices, Corporate Seal, and Records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Section 1.1 The registered office of the Corporation shall be established and maintained in the City of Dover, in the County of Kent, in the State of Delaware, and the Corporation may have other offices, either within or without the State of Delaware, at such place or places as the Board of Directors may from time to time determine. Unless otherwise determined by the Board of Directors, the principal executive office of the Corporation shall be at 8111 Lyndale Avenue South, in the City of Bloomington, County of Hennepin, State of Minnesota.</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Section 1.2 The Corporation may have a corporate seal in such form as determined by the Board of Directors, which may be altered at its pleasure, and the seal may be used by causing it or a facsimile thereof to be impressed or affixed or in any other manner reproduced.</w:t>
      </w:r>
    </w:p>
    <w:p>
      <w:pPr>
        <w:spacing w:after="0" w:line="187"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Section 1.3 The Corporation shall at all times keep at its principal executive office, or at such other place or places as the Board of Directors may determine, a share register giving the names and addresses of the stockholders, the number and classes of shares held by each, and the dates on which the certificates therefor were issued.</w:t>
      </w:r>
    </w:p>
    <w:p>
      <w:pPr>
        <w:spacing w:after="0" w:line="186"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Section 1.4 The Corporation shall at all times keep at its principal executive office the following records:</w:t>
      </w:r>
    </w:p>
    <w:p>
      <w:pPr>
        <w:spacing w:after="0" w:line="184" w:lineRule="exact"/>
        <w:rPr>
          <w:sz w:val="20"/>
          <w:szCs w:val="20"/>
          <w:color w:val="auto"/>
        </w:rPr>
      </w:pPr>
    </w:p>
    <w:p>
      <w:pPr>
        <w:ind w:left="1480" w:right="2819" w:hanging="493"/>
        <w:spacing w:after="0" w:line="252" w:lineRule="auto"/>
        <w:tabs>
          <w:tab w:leader="none" w:pos="1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or copies of records of all proceedings of stockholders and directors, of its Bylaws and all amendments thereto, and of reports made to stockholders or any of them within the next preceding three years;</w:t>
      </w:r>
    </w:p>
    <w:p>
      <w:pPr>
        <w:spacing w:after="0" w:line="186" w:lineRule="exact"/>
        <w:rPr>
          <w:rFonts w:ascii="Courier New" w:cs="Courier New" w:eastAsia="Courier New" w:hAnsi="Courier New"/>
          <w:sz w:val="16"/>
          <w:szCs w:val="16"/>
          <w:color w:val="auto"/>
        </w:rPr>
      </w:pPr>
    </w:p>
    <w:p>
      <w:pPr>
        <w:ind w:left="1480" w:right="3219" w:hanging="493"/>
        <w:spacing w:after="0" w:line="255" w:lineRule="auto"/>
        <w:tabs>
          <w:tab w:leader="none" w:pos="1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of names and usual business addresses of its directors and principal officers;</w:t>
      </w:r>
    </w:p>
    <w:p>
      <w:pPr>
        <w:spacing w:after="0" w:line="183" w:lineRule="exact"/>
        <w:rPr>
          <w:rFonts w:ascii="Courier New" w:cs="Courier New" w:eastAsia="Courier New" w:hAnsi="Courier New"/>
          <w:sz w:val="16"/>
          <w:szCs w:val="16"/>
          <w:color w:val="auto"/>
        </w:rPr>
      </w:pPr>
    </w:p>
    <w:p>
      <w:pPr>
        <w:ind w:left="1480" w:hanging="493"/>
        <w:spacing w:after="0"/>
        <w:tabs>
          <w:tab w:leader="none" w:pos="1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financial statements.</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Section 1.5 Subject to law and any order of the Court of Chancery,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 required financial statements, and the records of the proceedings of the stockholders and directors.</w:t>
      </w:r>
    </w:p>
    <w:p>
      <w:pPr>
        <w:sectPr>
          <w:pgSz w:w="11900" w:h="16838" w:orient="portrait"/>
          <w:cols w:equalWidth="0" w:num="1">
            <w:col w:w="10219"/>
          </w:cols>
          <w:pgMar w:left="240" w:top="142"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II</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Meeting of Stockholders</w:t>
      </w:r>
    </w:p>
    <w:p>
      <w:pPr>
        <w:spacing w:after="0" w:line="388" w:lineRule="exact"/>
        <w:rPr>
          <w:sz w:val="20"/>
          <w:szCs w:val="20"/>
          <w:color w:val="auto"/>
        </w:rPr>
      </w:pPr>
    </w:p>
    <w:p>
      <w:pPr>
        <w:jc w:val="both"/>
        <w:ind w:right="2439"/>
        <w:spacing w:after="0" w:line="253" w:lineRule="auto"/>
        <w:rPr>
          <w:sz w:val="20"/>
          <w:szCs w:val="20"/>
          <w:color w:val="auto"/>
        </w:rPr>
      </w:pPr>
      <w:r>
        <w:rPr>
          <w:rFonts w:ascii="Courier New" w:cs="Courier New" w:eastAsia="Courier New" w:hAnsi="Courier New"/>
          <w:sz w:val="16"/>
          <w:szCs w:val="16"/>
          <w:color w:val="auto"/>
        </w:rPr>
        <w:t>Section 2.1 All meetings of the stockholders shall be held at such place within or without the State of Delaware as may be designated by the Board of Directors in the notice of the meeting.</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2.2 The Regular Meetings of the stockholders, if any, shall be held on the day or date and at the time and place as the Board of Directors may fix from time to time in its discretion, for the election of directors and the transaction of such other business as may come before the meeting; provided, however, that any previously scheduled regular meeting of the stockholders may be postponed by resolution of the Board of Directors upon public notice given prior to the date previously scheduled for such regular meeting of the stockholders; and provided, further, that no business with respect to which special notice is required by law shall be transacted at a regular meeting unless such notice shall have been given.</w:t>
      </w:r>
    </w:p>
    <w:p>
      <w:pPr>
        <w:spacing w:after="0" w:line="379"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2.3 Special meetings of the stockholders for any purpose or purposes may be called only by the Board of Directors, pursuant to a resolution approved by a majority of the entire Board of Directors; provided, however, that any previously scheduled special meeting of the stockholders may be postponed by resolution of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2.4 Notice of each regular and special meeting of stockholders stating the date, time and place thereof, and the general nature of the business to be considered thereat, shall be given at least ten (10) days and not more than sixty (60) days before the date of the meeting to each stockholder entitled to vote thereat. Such notice shall be deemed delivered when deposited in the United States mail with postage thereon prepaid, addressed to the stockholder at his address as it appears on the stock transfer books of the Corporation.</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Section 2.5 Each stockholder who is entitled to vote pursuant to the terms of the Certificate of Incorporation and these Bylaws, or who is entitled to vote pursuant to the laws of the State of Delaware, shall be entitled to vote in person or by proxy, but no proxy shall be voted after three years from its date unless such proxy provides for a longer period. All elections for directors shall be determined by a plurality of the votes of the shares present in person or represented by proxy at the meeting and entitled to vote on the election of directors. All other questions shall be decided by the affirmative vote of a majority of the shares present in person or represented by proxy at the meeting and entitled to vote on such question.</w:t>
      </w:r>
    </w:p>
    <w:p>
      <w:pPr>
        <w:sectPr>
          <w:pgSz w:w="11900" w:h="16838" w:orient="portrait"/>
          <w:cols w:equalWidth="0" w:num="1">
            <w:col w:w="10219"/>
          </w:cols>
          <w:pgMar w:left="240" w:top="306"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 complete list of the stockholders entitled to vote at any meeting of stockholders at which directors are to be elected,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Board of Directors by resolution shall appoint one or more inspectors, which inspector or inspectors may include individuals who serve the Corporation in other capacities, including without limitation as officers, employees, agents of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90"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The Chair of the meeting shall fix and announce at the meeting the date and time of the opening and the closing of the polls for each matter upon which the stockholders will vote at the meeting.</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2.6 Except as otherwise required by law, by the Certificate of Incorporation or by these Bylaws, the presence, in person or by proxy, of stockholders holding a majority of the voting power of the outstanding stock of the Corporation shall constitute a quorum at all meetings of the stockholders. The Chair of any regular or special meeting of the stockholders or a majority in interest of the stockholders entitled to vote thereat shall have the power to adjourn such meeting from time to time, without notice other than announcement at the meeting, whether or not there is such a quorum. No notice of the time and place of adjourned meetings need be given except as required by law; provided, however, that if such adjournment is for more than thirty (30) days, or if after such adjournment a new record date is fixed for the adjourned meeting, a notice of the adjourned meeting shall be given to each stockholder of record entitled to vote at such adjourned meeting. At any such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Section 2.7 of these Bylaws.</w:t>
      </w:r>
    </w:p>
    <w:p>
      <w:pPr>
        <w:sectPr>
          <w:pgSz w:w="11900" w:h="16838" w:orient="portrait"/>
          <w:cols w:equalWidth="0" w:num="1">
            <w:col w:w="10219"/>
          </w:cols>
          <w:pgMar w:left="240" w:top="306"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77"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The stockholders present at a duly organized meeting may continue to transact business until adjournment, notwithstanding the withdrawal of enough stockholders to leave less than a quorum.</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2.7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shall not be less than ten nor more than sixty days before the date of such meeting, nor more than sixty days prior to any other action. A determination of stockholders of record entitled to notice of or to vote at a meeting of stockholders shall apply to any adjournment or adjournments of the meeting; provided, however, that the Board of Directors may fix a new record date for the adjourned meeting.</w:t>
      </w:r>
    </w:p>
    <w:p>
      <w:pPr>
        <w:spacing w:after="0" w:line="379"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Section 2.8 (A) (1) Nominations of persons for election to the Board of Directors of the Corporation and the proposal of business to be considered by the stockholders may be made at a regular meeting of stockholders (a) pursuant to the Corporation's notice of meeting, (b) by or at the direction of the Board of Directors or (c) by any stockholder of the Corporation who was a stockholder of record at the time of giving of notice provided for in this Bylaw, who is entitled to vote at the meeting and who complied with the notice procedures set forth in this Bylaw.</w:t>
      </w:r>
    </w:p>
    <w:p>
      <w:pPr>
        <w:spacing w:after="0" w:line="190" w:lineRule="exact"/>
        <w:rPr>
          <w:sz w:val="20"/>
          <w:szCs w:val="20"/>
          <w:color w:val="auto"/>
        </w:rPr>
      </w:pPr>
    </w:p>
    <w:p>
      <w:pPr>
        <w:ind w:right="2339" w:firstLine="1"/>
        <w:spacing w:after="0" w:line="251" w:lineRule="auto"/>
        <w:tabs>
          <w:tab w:leader="none" w:pos="3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nominations or other business to be properly brought before a regular meeting by a stockholder pursuant to clause (c) of paragraph (A) (1) of this Bylaw, the stockholder must have given timely notice thereof in writing to the Secretary of the Corporation. To be timely, a stockholder's notice shall be delivered to the Secretary at the principal executive offices of the Corporation not less than forty-five (45) days nor more than ninety (90) days prior to the first anniversary of the date on which the Corporation first mailed its proxy materials for the preceding year's regular meeting; provided, however, that in the event that the date of the regular meeting is advanced by more than thirty</w:t>
      </w:r>
    </w:p>
    <w:p>
      <w:pPr>
        <w:ind w:right="2339" w:firstLine="1"/>
        <w:spacing w:after="0" w:line="251" w:lineRule="auto"/>
        <w:tabs>
          <w:tab w:leader="none" w:pos="49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delayed by more than sixty (60) days from the anniversary date of the preceding year's regular meeting, notice by the stockholder to be timely must be so delivered not earlier than the 90th day prior to such rescheduled regular meeting and not later than the close of business on the later of the 60th day prior to such rescheduled regular meeting or the 10th day following the day on which public announcement of the date of such meeting is first made.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w:t>
      </w:r>
    </w:p>
    <w:p>
      <w:pPr>
        <w:sectPr>
          <w:pgSz w:w="11900" w:h="16838" w:orient="portrait"/>
          <w:cols w:equalWidth="0" w:num="1">
            <w:col w:w="10219"/>
          </w:cols>
          <w:pgMar w:left="240" w:top="306"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and (ii) the class and number of shares of the Corporation that are owned beneficially and of record by such stockholder and such beneficial owner.</w:t>
      </w:r>
    </w:p>
    <w:p>
      <w:pPr>
        <w:spacing w:after="0" w:line="190" w:lineRule="exact"/>
        <w:rPr>
          <w:sz w:val="20"/>
          <w:szCs w:val="20"/>
          <w:color w:val="auto"/>
        </w:rPr>
      </w:pPr>
    </w:p>
    <w:p>
      <w:pPr>
        <w:ind w:right="2339" w:firstLine="1"/>
        <w:spacing w:after="0" w:line="251" w:lineRule="auto"/>
        <w:tabs>
          <w:tab w:leader="none" w:pos="39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paragraph (A) (2) of this Bylaw,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seventy (70) days prior to the first anniversary of the preceding year's regular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90" w:lineRule="exact"/>
        <w:rPr>
          <w:sz w:val="20"/>
          <w:szCs w:val="20"/>
          <w:color w:val="auto"/>
        </w:rPr>
      </w:pPr>
    </w:p>
    <w:p>
      <w:pPr>
        <w:ind w:right="2339" w:firstLine="1"/>
        <w:spacing w:after="0" w:line="251" w:lineRule="auto"/>
        <w:tabs>
          <w:tab w:leader="none" w:pos="39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Nominations of persons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 (2) at the principal executive offices of the Corporation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190" w:lineRule="exact"/>
        <w:rPr>
          <w:rFonts w:ascii="Courier New" w:cs="Courier New" w:eastAsia="Courier New" w:hAnsi="Courier New"/>
          <w:sz w:val="16"/>
          <w:szCs w:val="16"/>
          <w:color w:val="auto"/>
        </w:rPr>
      </w:pPr>
    </w:p>
    <w:p>
      <w:pPr>
        <w:ind w:right="2339" w:firstLine="1"/>
        <w:spacing w:after="0" w:line="251" w:lineRule="auto"/>
        <w:tabs>
          <w:tab w:leader="none" w:pos="39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Only such persons who are nominated in accordance with the procedures set forth in this Bylaw shall be eligible to serve as directors and only such business shall be conducted at a regular meeting of stockholders as shall have been brought before the meeting in accordance with the procedures set forth in this Bylaw and, if any proposed nomination or business is not in compliance with this Bylaw, to declare that such defective proposal shall be disregarded. The Chair of the meeting shall have the power and duty to determine whether a nomination or any business proposed to be brought before the meeting was made in accordance with the procedures set forth in this Bylaw and, if any proposed nomination or business is not in compliance with this Bylaw, to declare that such defective proposal shall be disregarded.</w:t>
      </w:r>
    </w:p>
    <w:p>
      <w:pPr>
        <w:sectPr>
          <w:pgSz w:w="11900" w:h="16838" w:orient="portrait"/>
          <w:cols w:equalWidth="0" w:num="1">
            <w:col w:w="10219"/>
          </w:cols>
          <w:pgMar w:left="240" w:top="306"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77" w:lineRule="exact"/>
        <w:rPr>
          <w:sz w:val="20"/>
          <w:szCs w:val="20"/>
          <w:color w:val="auto"/>
        </w:rPr>
      </w:pPr>
    </w:p>
    <w:p>
      <w:pPr>
        <w:ind w:right="2439" w:firstLine="1"/>
        <w:spacing w:after="0" w:line="251" w:lineRule="auto"/>
        <w:tabs>
          <w:tab w:leader="none" w:pos="39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189" w:lineRule="exact"/>
        <w:rPr>
          <w:rFonts w:ascii="Courier New" w:cs="Courier New" w:eastAsia="Courier New" w:hAnsi="Courier New"/>
          <w:sz w:val="16"/>
          <w:szCs w:val="16"/>
          <w:color w:val="auto"/>
        </w:rPr>
      </w:pPr>
    </w:p>
    <w:p>
      <w:pPr>
        <w:ind w:right="2339" w:firstLine="1"/>
        <w:spacing w:after="0" w:line="252" w:lineRule="auto"/>
        <w:tabs>
          <w:tab w:leader="none" w:pos="39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w:t>
      </w:r>
    </w:p>
    <w:p>
      <w:pPr>
        <w:spacing w:after="0" w:line="186"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ARTICLE III</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Directors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3.1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eleven (11) persons. The exact number of directors within the minimum and maximum limitations specified in the preceding sentence shall be fixed from time to time by the Board pursuant to a resolution adopted by a majority of its members. The directors shall be divided into three classes, as nearly equal in number as possible, with the term of office of Class A to expire at the 1984 Annual Meeting of Stockholders, the term of office of Class B to expire at the 1985 Annual Meeting of Stockholders and the term of office of Class C to expire at the 1986 Annual Meeting of Stockholders. At each Annual Meeting of Stockholders following such initial classification and election, directors elected to succeed those directors whose terms expire shall be elected for a term of office to expire at the third succeeding Annual Meeting of Stockholders after their election.</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3.2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Common Stock of the Company.</w:t>
      </w:r>
    </w:p>
    <w:p>
      <w:pPr>
        <w:sectPr>
          <w:pgSz w:w="11900" w:h="16838" w:orient="portrait"/>
          <w:cols w:equalWidth="0" w:num="1">
            <w:col w:w="10219"/>
          </w:cols>
          <w:pgMar w:left="240" w:top="306"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7"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Section 3.3 Regular meetings of the Board shall be held at bi-monthly intervals during each fiscal year, or on such alternate intervals or dates as the Board may fix from time to time in its discretion, and at such time and place as the Chairman of the Board of Directors or, in his absence, the President shall determine, preferably at the principal executive office of the Corporation during the third week of the month. At least three (3) days' notice thereof shall be given by the Secretary to each director, either personally or by telephone, mail, telegram or facsimile transmission.</w:t>
      </w:r>
    </w:p>
    <w:p>
      <w:pPr>
        <w:spacing w:after="0" w:line="190"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Section 3.4 Special meetings of the Board may be called by the Chief Executive Officer or by any two directors, and not less than twenty-four (24) hours' notice thereof shall be given by the Secretary to any director, either personally or by telephone, mail, telegram or facsimile transmission.</w:t>
      </w:r>
    </w:p>
    <w:p>
      <w:pPr>
        <w:spacing w:after="0" w:line="187"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Section 3.5 Any action taken by the Board or any committee thereof at any meeting where all members are present shall be valid whether or not notice of such meeting was in fact given, except as provided by law. Any action which might be taken at a meeting of the Board, or at a meeting of any committee thereof as the case may be, may be taken without meeting as provided by law.</w:t>
      </w:r>
    </w:p>
    <w:p>
      <w:pPr>
        <w:spacing w:after="0" w:line="186"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Section 3.6 At all meetings of the Board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3.7 The Board may unanimously elect from among the directors an Executive Committee, a Compensation Committee, an Audit Committee, and a Nominating Committee, and such other committees as the Board may from time to time determine, to serve at the pleasure of the Board. The members of the Board of Directors and of said Committees shall have the role of monitoring the conduct of the business and affairs of the corporation on behalf of all of the constituencies of the Corporation, including in particular, those who invest in the stock of the Corporation, in an environment of loyal but independent oversight. Each Committee shall maintain independent minutes of action, and with the exception of the Audit Committee, and resolutions of the Compensation Committee relating to matters governed by or within the scope of Section 16 of the Securities and Exchange Act of 1934 or Section 162(m) of the Internal Revenue Code of 1986, or its successor provision, such minutes shall be subject to approval by the Board.</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3.8 The Executive Committee shall consist of two or more of the directors of the Corporation, including the Chairman of the Board of Directors, and one of the members shall be designated by the Board of Directors as its Chair. The Chair of the Executive Committee shall preside at all meetings of the Executive Committee and shall perform such other duties as may be prescribed by the Board of Directors. The</w:t>
      </w:r>
    </w:p>
    <w:p>
      <w:pPr>
        <w:sectPr>
          <w:pgSz w:w="11900" w:h="16838" w:orient="portrait"/>
          <w:cols w:equalWidth="0" w:num="1">
            <w:col w:w="10219"/>
          </w:cols>
          <w:pgMar w:left="240" w:top="306"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77"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underlying purpose of the Executive Committee is to exercise all of the powers and authority of the Board during intervals between meetings of the Board, including the power to declare dividends on the Corporation's common stock. The Committee shall have discretionary authority to undertake additional activities within the scope of its primary functions.</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3.9 The Audit Committee shall consist of a minimum of three directors of the Corporation, none of whom shall be officers or employees of the Corporation, and one of the members shall be designated by the Board of Directors as its Chair. The Chair of the Audit Committee shall preside at all meetings of the Audit Committee and shall perform such other duties as may be prescribed by the Board of Directors. The purpose of the Audit Committee is to assist the Board of Directors in fulfilling the Board's responsibility to oversee the Corporation's financial reports and accounting and reporting practices and to perform its duties and responsibilities as outlined in the Audit Committee Charter. The manager of the Corporation's internal auditing function, when operative, shall have an indirect reporting relationship to the Audit Committee, and shall perform such duties as may be prescribed by the Board of Directors or by the Audit Committee. The Committee shall have discretionary authority to undertake additional activities within the scope of its primary functions.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3.10 The Compensation Committee shall consist of two or more directors of the Corporation, none of whom shall be officers or employees of the Corporation, and one of the members shall be designated by the Board of Directors as its Chair. The Chair of the Compensation Committee shall preside at all meetings of the Compensation Committee and shall perform such other duties as may be prescribed by the Board of Directors. The purposes of the Compensation Committee include: to administer all employee benefit plans heretofore or hereafter established including the granting of stock options and incentive awards authorized under employee benefit plans governed by or within the scope of Section 16 of the Securities and Exchange Act of 1934 or Section 162(m) of the Internal Revenue Code of 1986, or its successor provision; to study and analyze specific and general matters of management compensation; to periodically review management compensation policies and practices; to make recommendations to the Board respecting incentive compensation awards; and to consider and approve officer salary adjustments of elected officers of the Corporation at the level of Vice President and above.</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3.11 The Nominating Committee shall consist of two or more directors of the Corporation who do not have any direct or indirect material economic or personal association with the Corporation, or with any of its affiliates or the employees thereof. One of the members of the Committee shall be designated as its Chair by the Board of Directors. The Chair of the Nominating Committee shall preside at all meetings of the Nominating Committee and shall perform such other duties as may be prescribed by the Board of Directors. The primary functions of the Nominating Committee are to review with the Chief Executive Officer of the Corporation an appropriate size and makeup for the Board of Directors, including individuals having such background and business experience as are consistent with and compatible to the long-range interests</w:t>
      </w:r>
    </w:p>
    <w:p>
      <w:pPr>
        <w:sectPr>
          <w:pgSz w:w="11900" w:h="16838" w:orient="portrait"/>
          <w:cols w:equalWidth="0" w:num="1">
            <w:col w:w="10219"/>
          </w:cols>
          <w:pgMar w:left="240" w:top="306"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and future direction of the Corporation; to consider the qualifications of persons identified as prospective Directors to either fill vacancies on the Board or enlarge its membership; to conduct research to identify and recommend nomination of suitable candidates who are willing to serve as members of the Board of Directors and who will make a substantial contribution to the Corporation based upon a careful review of their experience, background, interests, ability and availability to meet time commitments for board and committee responsibilities; and to determine whether any prospective or seated member of the Board has any economic or familial relationship with the Corporation which may negate his/her suitability for such service. The Committee shall also monitor current members of the Board in light of the same guidelines used to select candidates, shall direct the activities of the Board and management in matters of corporate governance, and shall have general discretionary authority to undertake additional activities within the scope of its primary functions.</w:t>
      </w:r>
    </w:p>
    <w:p>
      <w:pPr>
        <w:spacing w:after="0" w:line="38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3.12 Meetings of each committee shall be held from time to time as the Chair of such committee, the Chairman of the Board of Directors, or any two members of such committee shall determine, preferably at the principal executive office of the Corporation. All members of each committee shall be given written notice of any meeting by the Secretary, such notice to be mailed to each member at least three (3) days prior to the date thereof; provided, however, such written notice shall not be required as to any member who shall receive notice in person at least twenty-four (24) hours prior to the time of the meeting. Any member may in writing, before or after any meeting, waive notice thereof, and any member by his attendance at, and participation in, the action taken at any meeting shall be deemed to have waived notice thereof. A majority of the members of a committee shall constitute a quorum. Any action which might be taken at a meeting of a committee may be taken without meeting if evidenced by a resolution signed by all members. The Chair of each Board committee shall preside at all meetings of such committee and shall perform such other duties as may be prescribed by the Board of Directors or the Chairman thereof.</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3.13 All action taken by the Board committees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w:t>
      </w:r>
    </w:p>
    <w:p>
      <w:pPr>
        <w:spacing w:after="0" w:line="200" w:lineRule="exact"/>
        <w:rPr>
          <w:sz w:val="20"/>
          <w:szCs w:val="20"/>
          <w:color w:val="auto"/>
        </w:rPr>
      </w:pPr>
    </w:p>
    <w:p>
      <w:pPr>
        <w:spacing w:after="0" w:line="369"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ARTICLE IV</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Officers</w:t>
      </w:r>
    </w:p>
    <w:p>
      <w:pPr>
        <w:spacing w:after="0" w:line="38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Section 4.1 The officers of this Corporation shall be elected by the Board from time to time as it deems appropriate, and shall include a Chairman of the Board of Directors, who shall serve as Chief Executive Officer, to be elected by the Board of Directors</w:t>
      </w:r>
    </w:p>
    <w:p>
      <w:pPr>
        <w:sectPr>
          <w:pgSz w:w="11900" w:h="16838" w:orient="portrait"/>
          <w:cols w:equalWidth="0" w:num="1">
            <w:col w:w="10219"/>
          </w:cols>
          <w:pgMar w:left="240" w:top="306"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7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from among its members, a president, and one or more vice presidents one of whom shall perform the duties of the Chief Financial Officer, a secretary, a treasurer, and such other officers and agents as may from time to time be elected by the Board of Directors. Any two offices except those of the President and Vice President may be held by the same person. All officers shall hold office at the pleasure of the Board of Directors and be subject to dismissal by it, with or without cause.</w:t>
      </w:r>
    </w:p>
    <w:p>
      <w:pPr>
        <w:spacing w:after="0" w:line="190"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Section 4.2 The salary and other compensation of the Chairman of the Board, the President and all elected Vice Presidents shall be fixed by the Board of Directors. If any vacancy shall occur among the elected officers, it shall be filled by the Board.</w:t>
      </w:r>
    </w:p>
    <w:p>
      <w:pPr>
        <w:spacing w:after="0" w:line="187"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Section 4.3 The Chairman of the Board of Directors, or in his absence the Chair of the Compensation Committee, shall preside at all meetings of the Board of Directors. The Chairman of the Board has authority to appoint certain officers of the Company, including vice presidents and certain assistant officers whose responsibilities do not warrant election by the Board of Directors, and shall also perform such other duties as may be prescribed by the Board of Directors.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4.4 The President shall be Chief Operating Officer of the Corporation and, as such, shall carry out the plans for the Corporation as approved by the Chairman of the Board and the Board of Directors. In the absence of the Chairman of the Board of Directors, he shall preside at all meetings of the stockholders and otherwise perform the Chief Executive Officer's duties as prescribed by the Board of Directors.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Section 4.5 Each Vice President shall perform such duties as may be prescribed by the Board of Directors. The Vice President of Finance shall be the Chief Financial Officer. In the absence or disability of the Chairman of the Board, the President shall succeed to his powers and duties, and in the absence of the President, the Chief Financial Officer shall succeed to his powers and duties, and in the event all are unable to serve for any reason, the Vice Presidents shall succeed to their power and duties in the order in which elected.</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Section 4.6 The Secretary shall attend all meetings of the Board of Directors, Executive Committee, and of the stockholders, and record all votes and keep minutes of all proceedings. He shall give, or cause to be given, required notices of meetings of the Board of Directors, Executive Committee and of the stockholders. He shall keep in safe custody the seal of the Corporation and, when authorized by the Board, affix the same to any instrument requiring it, and shall perform such other duties as may be prescribed by the Board of Directors.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Section 4.7 The Treasurer shall maintain necessary relationships with banks and other financial institutions and provide for adequate lines of credit; shall plan for and maintain adequate funds in appropriate working and depository accounts to meeting outstanding and planned commitments; and shall be responsible for safe custody and control of all funds and securities of the Corporation. He shall establish policies and procedures in relation to, and supervise management of, the extension of credit, and the collection of receivables. He shall maintain appropriate bond and dividend records, provide for proper signature or endorsement on all financial documents of the Corporation, and shall perform such other duties as may be prescribed by the President.</w:t>
      </w:r>
    </w:p>
    <w:p>
      <w:pPr>
        <w:spacing w:after="0" w:line="379"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Section 4.8 The assistant to any officer shall, in the absence or disability of that officer, perform his duties and shall perform such other duties as may be prescribed by the Board of Directors.</w:t>
      </w: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0"/>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upperLetter"/>
      <w:start w:val="2"/>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2019-12-13T13:51:15Z</dcterms:created>
  <dcterms:modified xsi:type="dcterms:W3CDTF">2019-12-13T13:51:15Z</dcterms:modified>
</cp:coreProperties>
</file>