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April 30, 2004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0" w:gutter="0" w:footer="0" w:header="0"/>
        </w:sectPr>
      </w:pPr>
    </w:p>
    <w:p>
      <w:pPr>
        <w:spacing w:after="0" w:line="2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(I.R.S. Employer Identification Number)</w:t>
      </w:r>
    </w:p>
    <w:p>
      <w:pPr>
        <w:spacing w:after="0" w:line="189" w:lineRule="exact"/>
        <w:rPr>
          <w:sz w:val="20"/>
          <w:szCs w:val="20"/>
          <w:color w:val="auto"/>
        </w:rPr>
      </w:pPr>
    </w:p>
    <w:p>
      <w:pPr>
        <w:sectPr>
          <w:pgSz w:w="11900" w:h="16838" w:orient="portrait"/>
          <w:cols w:equalWidth="0" w:num="3">
            <w:col w:w="3980" w:space="720"/>
            <w:col w:w="2740" w:space="720"/>
            <w:col w:w="3260"/>
          </w:cols>
          <w:pgMar w:left="240" w:top="122"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Telephone number: (952) 888-8801</w:t>
      </w:r>
    </w:p>
    <w:p>
      <w:pPr>
        <w:sectPr>
          <w:pgSz w:w="11900" w:h="16838" w:orient="portrait"/>
          <w:cols w:equalWidth="0" w:num="1">
            <w:col w:w="11420"/>
          </w:cols>
          <w:pgMar w:left="240" w:top="122" w:right="239" w:bottom="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8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24"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368"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outstanding as of May 28, 2004 was 24,299,472.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ind w:right="9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EE"/>
            </w:tcBorders>
            <w:gridSpan w:val="2"/>
            <w:shd w:val="clear" w:color="auto" w:fill="EEEEEE"/>
          </w:tcPr>
          <w:p>
            <w:pPr>
              <w:spacing w:after="0" w:line="176" w:lineRule="exact"/>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PART I.</w:t>
              </w:r>
            </w:hyperlink>
          </w:p>
        </w:tc>
        <w:tc>
          <w:tcPr>
            <w:tcW w:w="800" w:type="dxa"/>
            <w:vAlign w:val="bottom"/>
            <w:tcBorders>
              <w:bottom w:val="single" w:sz="8" w:color="EEEEEE"/>
            </w:tcBorders>
            <w:gridSpan w:val="2"/>
            <w:shd w:val="clear" w:color="auto" w:fill="EEEEEE"/>
          </w:tcPr>
          <w:p>
            <w:pPr>
              <w:spacing w:after="0"/>
              <w:rPr>
                <w:sz w:val="17"/>
                <w:szCs w:val="17"/>
                <w:color w:val="auto"/>
              </w:rPr>
            </w:pPr>
          </w:p>
        </w:tc>
        <w:tc>
          <w:tcPr>
            <w:tcW w:w="2460" w:type="dxa"/>
            <w:vAlign w:val="bottom"/>
            <w:tcBorders>
              <w:bottom w:val="single" w:sz="8" w:color="0000EE"/>
            </w:tcBorders>
            <w:gridSpan w:val="8"/>
            <w:shd w:val="clear" w:color="auto" w:fill="EEEEEE"/>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300" w:type="dxa"/>
            <w:vAlign w:val="bottom"/>
            <w:tcBorders>
              <w:bottom w:val="single" w:sz="8" w:color="EEEEEE"/>
            </w:tcBorders>
            <w:gridSpan w:val="9"/>
            <w:shd w:val="clear" w:color="auto" w:fill="EEEEEE"/>
          </w:tcPr>
          <w:p>
            <w:pPr>
              <w:spacing w:after="0"/>
              <w:rPr>
                <w:sz w:val="17"/>
                <w:szCs w:val="17"/>
                <w:color w:val="auto"/>
              </w:rPr>
            </w:pPr>
          </w:p>
        </w:tc>
        <w:tc>
          <w:tcPr>
            <w:tcW w:w="12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8760" w:type="dxa"/>
            <w:vAlign w:val="bottom"/>
            <w:gridSpan w:val="17"/>
            <w:shd w:val="clear" w:color="auto" w:fill="EEEEEE"/>
          </w:tcPr>
          <w:p>
            <w:pPr>
              <w:ind w:left="140"/>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Earnings (Unaudited) - Three and Six Months Ended April 30, 2004 and</w:t>
              </w:r>
            </w:hyperlink>
          </w:p>
        </w:tc>
        <w:tc>
          <w:tcPr>
            <w:tcW w:w="1220" w:type="dxa"/>
            <w:vAlign w:val="bottom"/>
            <w:shd w:val="clear" w:color="auto" w:fill="EEEEEE"/>
          </w:tcPr>
          <w:p>
            <w:pPr>
              <w:jc w:val="right"/>
              <w:ind w:right="31"/>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60" w:type="dxa"/>
            <w:vAlign w:val="bottom"/>
            <w:tcBorders>
              <w:top w:val="single" w:sz="8" w:color="EEEEEE"/>
            </w:tcBorders>
            <w:shd w:val="clear" w:color="auto" w:fill="EEEEEE"/>
          </w:tcPr>
          <w:p>
            <w:pPr>
              <w:spacing w:after="0"/>
              <w:rPr>
                <w:sz w:val="17"/>
                <w:szCs w:val="17"/>
                <w:color w:val="auto"/>
              </w:rPr>
            </w:pPr>
          </w:p>
        </w:tc>
        <w:tc>
          <w:tcPr>
            <w:tcW w:w="74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0000EE"/>
            </w:tcBorders>
            <w:shd w:val="clear" w:color="auto" w:fill="EEEEEE"/>
          </w:tcPr>
          <w:p>
            <w:pPr>
              <w:spacing w:after="0"/>
              <w:rPr>
                <w:sz w:val="17"/>
                <w:szCs w:val="17"/>
                <w:color w:val="auto"/>
              </w:rPr>
            </w:pPr>
          </w:p>
        </w:tc>
        <w:tc>
          <w:tcPr>
            <w:tcW w:w="7960" w:type="dxa"/>
            <w:vAlign w:val="bottom"/>
            <w:tcBorders>
              <w:top w:val="single" w:sz="8" w:color="0000EE"/>
            </w:tcBorders>
            <w:gridSpan w:val="14"/>
            <w:shd w:val="clear" w:color="auto" w:fill="EEEEEE"/>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May 2, 2003</w:t>
              </w:r>
            </w:hyperlink>
          </w:p>
        </w:tc>
        <w:tc>
          <w:tcPr>
            <w:tcW w:w="540" w:type="dxa"/>
            <w:vAlign w:val="bottom"/>
            <w:tcBorders>
              <w:top w:val="single" w:sz="8" w:color="EEEEEE"/>
            </w:tcBorders>
            <w:shd w:val="clear" w:color="auto" w:fill="EEEEEE"/>
          </w:tcPr>
          <w:p>
            <w:pPr>
              <w:spacing w:after="0"/>
              <w:rPr>
                <w:sz w:val="17"/>
                <w:szCs w:val="17"/>
                <w:color w:val="auto"/>
              </w:rPr>
            </w:pPr>
          </w:p>
        </w:tc>
        <w:tc>
          <w:tcPr>
            <w:tcW w:w="122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760" w:type="dxa"/>
            <w:vAlign w:val="bottom"/>
            <w:gridSpan w:val="17"/>
          </w:tcPr>
          <w:p>
            <w:pPr>
              <w:ind w:left="1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(Unaudited) - April 30, 2004, May 2, 2003, and October 31, 2003</w:t>
              </w:r>
            </w:hyperlink>
          </w:p>
        </w:tc>
        <w:tc>
          <w:tcPr>
            <w:tcW w:w="1220" w:type="dxa"/>
            <w:vAlign w:val="bottom"/>
          </w:tcPr>
          <w:p>
            <w:pPr>
              <w:jc w:val="right"/>
              <w:ind w:right="31"/>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8760" w:type="dxa"/>
            <w:vAlign w:val="bottom"/>
            <w:gridSpan w:val="17"/>
            <w:shd w:val="clear" w:color="auto" w:fill="EEEEEE"/>
          </w:tcPr>
          <w:p>
            <w:pPr>
              <w:ind w:left="140"/>
              <w:spacing w:after="0" w:line="17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(Unaudited) - Six Months Ended April 30, 2004 and May 2,</w:t>
              </w:r>
            </w:hyperlink>
          </w:p>
        </w:tc>
        <w:tc>
          <w:tcPr>
            <w:tcW w:w="1220" w:type="dxa"/>
            <w:vAlign w:val="bottom"/>
            <w:shd w:val="clear" w:color="auto" w:fill="EEEEEE"/>
          </w:tcPr>
          <w:p>
            <w:pPr>
              <w:jc w:val="right"/>
              <w:ind w:right="31"/>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60" w:type="dxa"/>
            <w:vAlign w:val="bottom"/>
            <w:tcBorders>
              <w:top w:val="single" w:sz="8" w:color="EEEEEE"/>
            </w:tcBorders>
            <w:shd w:val="clear" w:color="auto" w:fill="EEEEEE"/>
          </w:tcPr>
          <w:p>
            <w:pPr>
              <w:spacing w:after="0"/>
              <w:rPr>
                <w:sz w:val="17"/>
                <w:szCs w:val="17"/>
                <w:color w:val="auto"/>
              </w:rPr>
            </w:pPr>
          </w:p>
        </w:tc>
        <w:tc>
          <w:tcPr>
            <w:tcW w:w="74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0000EE"/>
            </w:tcBorders>
            <w:shd w:val="clear" w:color="auto" w:fill="EEEEEE"/>
          </w:tcPr>
          <w:p>
            <w:pPr>
              <w:spacing w:after="0"/>
              <w:rPr>
                <w:sz w:val="17"/>
                <w:szCs w:val="17"/>
                <w:color w:val="auto"/>
              </w:rPr>
            </w:pPr>
          </w:p>
        </w:tc>
        <w:tc>
          <w:tcPr>
            <w:tcW w:w="500" w:type="dxa"/>
            <w:vAlign w:val="bottom"/>
            <w:tcBorders>
              <w:top w:val="single" w:sz="8" w:color="0000EE"/>
            </w:tcBorders>
            <w:gridSpan w:val="2"/>
            <w:shd w:val="clear" w:color="auto" w:fill="EEEEEE"/>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2003</w:t>
              </w:r>
            </w:hyperlink>
          </w:p>
        </w:tc>
        <w:tc>
          <w:tcPr>
            <w:tcW w:w="420" w:type="dxa"/>
            <w:vAlign w:val="bottom"/>
            <w:tcBorders>
              <w:top w:val="single" w:sz="8" w:color="0000EE"/>
            </w:tcBorders>
            <w:shd w:val="clear" w:color="auto" w:fill="EEEEEE"/>
          </w:tcPr>
          <w:p>
            <w:pPr>
              <w:spacing w:after="0"/>
              <w:rPr>
                <w:sz w:val="17"/>
                <w:szCs w:val="17"/>
                <w:color w:val="auto"/>
              </w:rPr>
            </w:pPr>
          </w:p>
        </w:tc>
        <w:tc>
          <w:tcPr>
            <w:tcW w:w="580" w:type="dxa"/>
            <w:vAlign w:val="bottom"/>
            <w:tcBorders>
              <w:top w:val="single" w:sz="8" w:color="0000EE"/>
            </w:tcBorders>
            <w:shd w:val="clear" w:color="auto" w:fill="EEEEEE"/>
          </w:tcPr>
          <w:p>
            <w:pPr>
              <w:spacing w:after="0"/>
              <w:rPr>
                <w:sz w:val="17"/>
                <w:szCs w:val="17"/>
                <w:color w:val="auto"/>
              </w:rPr>
            </w:pPr>
          </w:p>
        </w:tc>
        <w:tc>
          <w:tcPr>
            <w:tcW w:w="320" w:type="dxa"/>
            <w:vAlign w:val="bottom"/>
            <w:tcBorders>
              <w:top w:val="single" w:sz="8" w:color="0000EE"/>
            </w:tcBorders>
            <w:shd w:val="clear" w:color="auto" w:fill="EEEEEE"/>
          </w:tcPr>
          <w:p>
            <w:pPr>
              <w:spacing w:after="0"/>
              <w:rPr>
                <w:sz w:val="17"/>
                <w:szCs w:val="17"/>
                <w:color w:val="auto"/>
              </w:rPr>
            </w:pPr>
          </w:p>
        </w:tc>
        <w:tc>
          <w:tcPr>
            <w:tcW w:w="380" w:type="dxa"/>
            <w:vAlign w:val="bottom"/>
            <w:tcBorders>
              <w:top w:val="single" w:sz="8" w:color="0000EE"/>
            </w:tcBorders>
            <w:shd w:val="clear" w:color="auto" w:fill="EEEEEE"/>
          </w:tcPr>
          <w:p>
            <w:pPr>
              <w:spacing w:after="0"/>
              <w:rPr>
                <w:sz w:val="17"/>
                <w:szCs w:val="17"/>
                <w:color w:val="auto"/>
              </w:rPr>
            </w:pPr>
          </w:p>
        </w:tc>
        <w:tc>
          <w:tcPr>
            <w:tcW w:w="40" w:type="dxa"/>
            <w:vAlign w:val="bottom"/>
            <w:tcBorders>
              <w:top w:val="single" w:sz="8" w:color="0000EE"/>
            </w:tcBorders>
            <w:shd w:val="clear" w:color="auto" w:fill="EEEEEE"/>
          </w:tcPr>
          <w:p>
            <w:pPr>
              <w:spacing w:after="0"/>
              <w:rPr>
                <w:sz w:val="17"/>
                <w:szCs w:val="17"/>
                <w:color w:val="auto"/>
              </w:rPr>
            </w:pPr>
          </w:p>
        </w:tc>
        <w:tc>
          <w:tcPr>
            <w:tcW w:w="1260" w:type="dxa"/>
            <w:vAlign w:val="bottom"/>
            <w:tcBorders>
              <w:top w:val="single" w:sz="8" w:color="0000EE"/>
            </w:tcBorders>
            <w:shd w:val="clear" w:color="auto" w:fill="EEEEEE"/>
          </w:tcPr>
          <w:p>
            <w:pPr>
              <w:spacing w:after="0"/>
              <w:rPr>
                <w:sz w:val="17"/>
                <w:szCs w:val="17"/>
                <w:color w:val="auto"/>
              </w:rPr>
            </w:pPr>
          </w:p>
        </w:tc>
        <w:tc>
          <w:tcPr>
            <w:tcW w:w="540" w:type="dxa"/>
            <w:vAlign w:val="bottom"/>
            <w:tcBorders>
              <w:top w:val="single" w:sz="8" w:color="0000EE"/>
            </w:tcBorders>
            <w:shd w:val="clear" w:color="auto" w:fill="EEEEEE"/>
          </w:tcPr>
          <w:p>
            <w:pPr>
              <w:spacing w:after="0"/>
              <w:rPr>
                <w:sz w:val="17"/>
                <w:szCs w:val="17"/>
                <w:color w:val="auto"/>
              </w:rPr>
            </w:pPr>
          </w:p>
        </w:tc>
        <w:tc>
          <w:tcPr>
            <w:tcW w:w="740" w:type="dxa"/>
            <w:vAlign w:val="bottom"/>
            <w:tcBorders>
              <w:top w:val="single" w:sz="8" w:color="0000EE"/>
            </w:tcBorders>
            <w:shd w:val="clear" w:color="auto" w:fill="EEEEEE"/>
          </w:tcPr>
          <w:p>
            <w:pPr>
              <w:spacing w:after="0"/>
              <w:rPr>
                <w:sz w:val="17"/>
                <w:szCs w:val="17"/>
                <w:color w:val="auto"/>
              </w:rPr>
            </w:pPr>
          </w:p>
        </w:tc>
        <w:tc>
          <w:tcPr>
            <w:tcW w:w="780" w:type="dxa"/>
            <w:vAlign w:val="bottom"/>
            <w:tcBorders>
              <w:top w:val="single" w:sz="8" w:color="0000EE"/>
            </w:tcBorders>
            <w:shd w:val="clear" w:color="auto" w:fill="EEEEEE"/>
          </w:tcPr>
          <w:p>
            <w:pPr>
              <w:spacing w:after="0"/>
              <w:rPr>
                <w:sz w:val="17"/>
                <w:szCs w:val="17"/>
                <w:color w:val="auto"/>
              </w:rPr>
            </w:pPr>
          </w:p>
        </w:tc>
        <w:tc>
          <w:tcPr>
            <w:tcW w:w="640" w:type="dxa"/>
            <w:vAlign w:val="bottom"/>
            <w:tcBorders>
              <w:top w:val="single" w:sz="8" w:color="0000EE"/>
            </w:tcBorders>
            <w:shd w:val="clear" w:color="auto" w:fill="EEEEEE"/>
          </w:tcPr>
          <w:p>
            <w:pPr>
              <w:spacing w:after="0"/>
              <w:rPr>
                <w:sz w:val="17"/>
                <w:szCs w:val="17"/>
                <w:color w:val="auto"/>
              </w:rPr>
            </w:pPr>
          </w:p>
        </w:tc>
        <w:tc>
          <w:tcPr>
            <w:tcW w:w="1380" w:type="dxa"/>
            <w:vAlign w:val="bottom"/>
            <w:tcBorders>
              <w:top w:val="single" w:sz="8" w:color="0000EE"/>
            </w:tcBorders>
            <w:shd w:val="clear" w:color="auto" w:fill="EEEEEE"/>
          </w:tcPr>
          <w:p>
            <w:pPr>
              <w:spacing w:after="0"/>
              <w:rPr>
                <w:sz w:val="17"/>
                <w:szCs w:val="17"/>
                <w:color w:val="auto"/>
              </w:rPr>
            </w:pPr>
          </w:p>
        </w:tc>
        <w:tc>
          <w:tcPr>
            <w:tcW w:w="380" w:type="dxa"/>
            <w:vAlign w:val="bottom"/>
            <w:tcBorders>
              <w:top w:val="single" w:sz="8" w:color="0000EE"/>
            </w:tcBorders>
            <w:shd w:val="clear" w:color="auto" w:fill="EEEEEE"/>
          </w:tcPr>
          <w:p>
            <w:pPr>
              <w:spacing w:after="0"/>
              <w:rPr>
                <w:sz w:val="17"/>
                <w:szCs w:val="17"/>
                <w:color w:val="auto"/>
              </w:rPr>
            </w:pPr>
          </w:p>
        </w:tc>
        <w:tc>
          <w:tcPr>
            <w:tcW w:w="540" w:type="dxa"/>
            <w:vAlign w:val="bottom"/>
            <w:tcBorders>
              <w:top w:val="single" w:sz="8" w:color="EEEEEE"/>
            </w:tcBorders>
            <w:shd w:val="clear" w:color="auto" w:fill="EEEEEE"/>
          </w:tcPr>
          <w:p>
            <w:pPr>
              <w:spacing w:after="0"/>
              <w:rPr>
                <w:sz w:val="17"/>
                <w:szCs w:val="17"/>
                <w:color w:val="auto"/>
              </w:rPr>
            </w:pPr>
          </w:p>
        </w:tc>
        <w:tc>
          <w:tcPr>
            <w:tcW w:w="122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760" w:type="dxa"/>
            <w:vAlign w:val="bottom"/>
            <w:gridSpan w:val="17"/>
          </w:tcPr>
          <w:p>
            <w:pPr>
              <w:ind w:left="1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220" w:type="dxa"/>
            <w:vAlign w:val="bottom"/>
          </w:tcPr>
          <w:p>
            <w:pPr>
              <w:jc w:val="right"/>
              <w:ind w:right="31"/>
              <w:spacing w:after="0" w:line="176"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4"/>
            <w:shd w:val="clear" w:color="auto" w:fill="EEEEEE"/>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Item 2.</w:t>
              </w:r>
            </w:hyperlink>
          </w:p>
        </w:tc>
        <w:tc>
          <w:tcPr>
            <w:tcW w:w="8760" w:type="dxa"/>
            <w:vAlign w:val="bottom"/>
            <w:gridSpan w:val="17"/>
            <w:shd w:val="clear" w:color="auto" w:fill="EEEEEE"/>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220" w:type="dxa"/>
            <w:vAlign w:val="bottom"/>
            <w:shd w:val="clear" w:color="auto" w:fill="EEEEEE"/>
          </w:tcPr>
          <w:p>
            <w:pPr>
              <w:jc w:val="right"/>
              <w:ind w:right="31"/>
              <w:spacing w:after="0" w:line="176" w:lineRule="exact"/>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58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60" w:type="dxa"/>
            <w:vAlign w:val="bottom"/>
            <w:tcBorders>
              <w:top w:val="single" w:sz="8" w:color="0000EE"/>
            </w:tcBorders>
            <w:shd w:val="clear" w:color="auto" w:fill="EEEEEE"/>
          </w:tcPr>
          <w:p>
            <w:pPr>
              <w:spacing w:after="0" w:line="20" w:lineRule="exact"/>
              <w:rPr>
                <w:sz w:val="1"/>
                <w:szCs w:val="1"/>
                <w:color w:val="auto"/>
              </w:rPr>
            </w:pPr>
          </w:p>
        </w:tc>
        <w:tc>
          <w:tcPr>
            <w:tcW w:w="5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0000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4"/>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3.</w:t>
              </w:r>
            </w:hyperlink>
          </w:p>
        </w:tc>
        <w:tc>
          <w:tcPr>
            <w:tcW w:w="8760" w:type="dxa"/>
            <w:vAlign w:val="bottom"/>
            <w:gridSpan w:val="17"/>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220" w:type="dxa"/>
            <w:vAlign w:val="bottom"/>
          </w:tcPr>
          <w:p>
            <w:pPr>
              <w:jc w:val="right"/>
              <w:ind w:right="31"/>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4"/>
            <w:shd w:val="clear" w:color="auto" w:fill="EEEEEE"/>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4.</w:t>
              </w:r>
            </w:hyperlink>
          </w:p>
        </w:tc>
        <w:tc>
          <w:tcPr>
            <w:tcW w:w="8760" w:type="dxa"/>
            <w:vAlign w:val="bottom"/>
            <w:gridSpan w:val="17"/>
            <w:shd w:val="clear" w:color="auto" w:fill="EEEEEE"/>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220" w:type="dxa"/>
            <w:vAlign w:val="bottom"/>
            <w:shd w:val="clear" w:color="auto" w:fill="EEEEEE"/>
          </w:tcPr>
          <w:p>
            <w:pPr>
              <w:jc w:val="right"/>
              <w:ind w:right="31"/>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58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4"/>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8760" w:type="dxa"/>
            <w:vAlign w:val="bottom"/>
            <w:gridSpan w:val="17"/>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OTHER INFORMATION:</w:t>
              </w:r>
            </w:hyperlink>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4"/>
            <w:shd w:val="clear" w:color="auto" w:fill="EEEEEE"/>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2.</w:t>
              </w:r>
            </w:hyperlink>
          </w:p>
        </w:tc>
        <w:tc>
          <w:tcPr>
            <w:tcW w:w="8760" w:type="dxa"/>
            <w:vAlign w:val="bottom"/>
            <w:gridSpan w:val="17"/>
            <w:shd w:val="clear" w:color="auto" w:fill="EEEEEE"/>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Change in Securities, Use of Proceeds, and Issuer Purchases of Equity Securities</w:t>
              </w:r>
            </w:hyperlink>
          </w:p>
        </w:tc>
        <w:tc>
          <w:tcPr>
            <w:tcW w:w="1220" w:type="dxa"/>
            <w:vAlign w:val="bottom"/>
            <w:shd w:val="clear" w:color="auto" w:fill="EEEEEE"/>
          </w:tcPr>
          <w:p>
            <w:pPr>
              <w:jc w:val="right"/>
              <w:ind w:right="31"/>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58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60" w:type="dxa"/>
            <w:vAlign w:val="bottom"/>
            <w:tcBorders>
              <w:top w:val="single" w:sz="8" w:color="0000EE"/>
            </w:tcBorders>
            <w:shd w:val="clear" w:color="auto" w:fill="EEEEEE"/>
          </w:tcPr>
          <w:p>
            <w:pPr>
              <w:spacing w:after="0" w:line="20" w:lineRule="exact"/>
              <w:rPr>
                <w:sz w:val="1"/>
                <w:szCs w:val="1"/>
                <w:color w:val="auto"/>
              </w:rPr>
            </w:pPr>
          </w:p>
        </w:tc>
        <w:tc>
          <w:tcPr>
            <w:tcW w:w="5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0000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4"/>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4.</w:t>
              </w:r>
            </w:hyperlink>
          </w:p>
        </w:tc>
        <w:tc>
          <w:tcPr>
            <w:tcW w:w="8760" w:type="dxa"/>
            <w:vAlign w:val="bottom"/>
            <w:gridSpan w:val="17"/>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Submission of Matters to a Vote of Security Holders</w:t>
              </w:r>
            </w:hyperlink>
          </w:p>
        </w:tc>
        <w:tc>
          <w:tcPr>
            <w:tcW w:w="1220" w:type="dxa"/>
            <w:vAlign w:val="bottom"/>
          </w:tcPr>
          <w:p>
            <w:pPr>
              <w:jc w:val="right"/>
              <w:ind w:right="31"/>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gridSpan w:val="4"/>
            <w:shd w:val="clear" w:color="auto" w:fill="EEEEEE"/>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6.</w:t>
              </w:r>
            </w:hyperlink>
          </w:p>
        </w:tc>
        <w:tc>
          <w:tcPr>
            <w:tcW w:w="8760" w:type="dxa"/>
            <w:vAlign w:val="bottom"/>
            <w:gridSpan w:val="17"/>
            <w:shd w:val="clear" w:color="auto" w:fill="EEEEEE"/>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 and Reports on Form 8-K</w:t>
              </w:r>
            </w:hyperlink>
          </w:p>
        </w:tc>
        <w:tc>
          <w:tcPr>
            <w:tcW w:w="1220" w:type="dxa"/>
            <w:vAlign w:val="bottom"/>
            <w:shd w:val="clear" w:color="auto" w:fill="EEEEEE"/>
          </w:tcPr>
          <w:p>
            <w:pPr>
              <w:jc w:val="right"/>
              <w:ind w:right="31"/>
              <w:spacing w:after="0" w:line="176" w:lineRule="exact"/>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740" w:type="dxa"/>
            <w:vAlign w:val="bottom"/>
            <w:tcBorders>
              <w:top w:val="single" w:sz="8" w:color="EEEEEE"/>
            </w:tcBorders>
          </w:tcPr>
          <w:p>
            <w:pPr>
              <w:spacing w:after="0"/>
              <w:rPr>
                <w:sz w:val="15"/>
                <w:szCs w:val="15"/>
                <w:color w:val="auto"/>
              </w:rPr>
            </w:pPr>
          </w:p>
        </w:tc>
        <w:tc>
          <w:tcPr>
            <w:tcW w:w="760" w:type="dxa"/>
            <w:vAlign w:val="bottom"/>
            <w:tcBorders>
              <w:top w:val="single" w:sz="8" w:color="0000EE"/>
              <w:bottom w:val="single" w:sz="8" w:color="0000EE"/>
            </w:tcBorders>
            <w:gridSpan w:val="4"/>
          </w:tcPr>
          <w:p>
            <w:pPr>
              <w:spacing w:after="0" w:line="17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Signatures</w:t>
              </w:r>
            </w:hyperlink>
          </w:p>
        </w:tc>
        <w:tc>
          <w:tcPr>
            <w:tcW w:w="1740" w:type="dxa"/>
            <w:vAlign w:val="bottom"/>
            <w:tcBorders>
              <w:top w:val="single" w:sz="8" w:color="0000EE"/>
            </w:tcBorders>
            <w:gridSpan w:val="5"/>
          </w:tcPr>
          <w:p>
            <w:pPr>
              <w:spacing w:after="0"/>
              <w:rPr>
                <w:sz w:val="15"/>
                <w:szCs w:val="15"/>
                <w:color w:val="auto"/>
              </w:rPr>
            </w:pPr>
          </w:p>
        </w:tc>
        <w:tc>
          <w:tcPr>
            <w:tcW w:w="6260" w:type="dxa"/>
            <w:vAlign w:val="bottom"/>
            <w:tcBorders>
              <w:top w:val="single" w:sz="8" w:color="EEEEEE"/>
            </w:tcBorders>
            <w:gridSpan w:val="8"/>
          </w:tcPr>
          <w:p>
            <w:pPr>
              <w:spacing w:after="0"/>
              <w:rPr>
                <w:sz w:val="15"/>
                <w:szCs w:val="15"/>
                <w:color w:val="auto"/>
              </w:rPr>
            </w:pPr>
          </w:p>
        </w:tc>
        <w:tc>
          <w:tcPr>
            <w:tcW w:w="1220" w:type="dxa"/>
            <w:vAlign w:val="bottom"/>
            <w:tcBorders>
              <w:top w:val="single" w:sz="8" w:color="EEEEEE"/>
            </w:tcBorders>
          </w:tcPr>
          <w:p>
            <w:pPr>
              <w:jc w:val="right"/>
              <w:ind w:right="31"/>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2000 Directors Stock Plan, as amended</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Amendment No. 3 to Multi-Year Credit Agreement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CEO Pursuant to Section 302</w:t>
      </w:r>
    </w:p>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Certification of CFO Pursuant to Section 302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Certification of CEO &amp; CFO Pursuant to Section 906</w:t>
      </w:r>
    </w:p>
    <w:p>
      <w:pPr>
        <w:spacing w:after="0" w:line="17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ITEM 1. FINANCIAL INFORMATION</w:t>
      </w:r>
    </w:p>
    <w:p>
      <w:pPr>
        <w:spacing w:after="0" w:line="19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TORO COMPANY AND SUBSIDIARIES</w:t>
      </w:r>
    </w:p>
    <w:p>
      <w:pPr>
        <w:spacing w:after="0" w:line="18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April 30,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May 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April 30,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2004</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548,027</w:t>
            </w:r>
          </w:p>
        </w:tc>
        <w:tc>
          <w:tcPr>
            <w:tcW w:w="380" w:type="dxa"/>
            <w:vAlign w:val="bottom"/>
            <w:tcBorders>
              <w:lef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6"/>
              </w:rPr>
              <w:t>495,840</w:t>
            </w:r>
          </w:p>
        </w:tc>
        <w:tc>
          <w:tcPr>
            <w:tcW w:w="3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6"/>
              </w:rPr>
              <w:t>861,600</w:t>
            </w:r>
          </w:p>
        </w:tc>
        <w:tc>
          <w:tcPr>
            <w:tcW w:w="3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791,802</w:t>
            </w: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349,148</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320,208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550,111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510,589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left w:val="single" w:sz="8" w:color="808080"/>
            </w:tcBorders>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198,879</w:t>
            </w:r>
          </w:p>
        </w:tc>
        <w:tc>
          <w:tcPr>
            <w:tcW w:w="38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6"/>
              </w:rPr>
              <w:t>175,632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6"/>
              </w:rPr>
              <w:t>311,489</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281,213</w:t>
            </w: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117,211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111,259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213,248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207,610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Restructuring and other income, net</w:t>
            </w: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tcBorders>
              <w:left w:val="single" w:sz="8" w:color="EEEEEE"/>
            </w:tcBorders>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120"/>
              <w:spacing w:after="0"/>
              <w:rPr>
                <w:sz w:val="20"/>
                <w:szCs w:val="20"/>
                <w:color w:val="auto"/>
              </w:rPr>
            </w:pPr>
            <w:r>
              <w:rPr>
                <w:rFonts w:ascii="Arial" w:cs="Arial" w:eastAsia="Arial" w:hAnsi="Arial"/>
                <w:sz w:val="18"/>
                <w:szCs w:val="18"/>
                <w:color w:val="auto"/>
              </w:rPr>
              <w:t>Earnings from operations</w:t>
            </w:r>
          </w:p>
        </w:tc>
        <w:tc>
          <w:tcPr>
            <w:tcW w:w="30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center"/>
              <w:ind w:left="13"/>
              <w:spacing w:after="0"/>
              <w:rPr>
                <w:sz w:val="20"/>
                <w:szCs w:val="20"/>
                <w:color w:val="auto"/>
              </w:rPr>
            </w:pPr>
            <w:r>
              <w:rPr>
                <w:rFonts w:ascii="Arial" w:cs="Arial" w:eastAsia="Arial" w:hAnsi="Arial"/>
                <w:sz w:val="18"/>
                <w:szCs w:val="18"/>
                <w:color w:val="auto"/>
                <w:w w:val="87"/>
              </w:rPr>
              <w:t>81,732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center"/>
              <w:ind w:left="12"/>
              <w:spacing w:after="0"/>
              <w:rPr>
                <w:sz w:val="20"/>
                <w:szCs w:val="20"/>
                <w:color w:val="auto"/>
              </w:rPr>
            </w:pPr>
            <w:r>
              <w:rPr>
                <w:rFonts w:ascii="Arial" w:cs="Arial" w:eastAsia="Arial" w:hAnsi="Arial"/>
                <w:sz w:val="18"/>
                <w:szCs w:val="18"/>
                <w:color w:val="auto"/>
                <w:w w:val="87"/>
              </w:rPr>
              <w:t>64,552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center"/>
              <w:ind w:left="13"/>
              <w:spacing w:after="0"/>
              <w:rPr>
                <w:sz w:val="20"/>
                <w:szCs w:val="20"/>
                <w:color w:val="auto"/>
              </w:rPr>
            </w:pPr>
            <w:r>
              <w:rPr>
                <w:rFonts w:ascii="Arial" w:cs="Arial" w:eastAsia="Arial" w:hAnsi="Arial"/>
                <w:sz w:val="18"/>
                <w:szCs w:val="18"/>
                <w:color w:val="auto"/>
                <w:w w:val="87"/>
              </w:rPr>
              <w:t>98,327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73,782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(3,702)</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(4,320)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(7,584)</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tcBorders>
              <w:left w:val="single" w:sz="8" w:color="EEEEEE"/>
            </w:tcBorders>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2,410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1,774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7,692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left w:val="single" w:sz="8" w:color="808080"/>
            </w:tcBorders>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Earnings before income taxes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78,495</w:t>
            </w:r>
          </w:p>
        </w:tc>
        <w:tc>
          <w:tcPr>
            <w:tcW w:w="38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62,642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92,517</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73,062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26,296</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20,671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30,993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left w:val="single" w:sz="8" w:color="808080"/>
            </w:tcBorders>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52,199</w:t>
            </w:r>
          </w:p>
        </w:tc>
        <w:tc>
          <w:tcPr>
            <w:tcW w:w="380" w:type="dxa"/>
            <w:vAlign w:val="bottom"/>
            <w:tcBorders>
              <w:lef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41,971</w:t>
            </w:r>
          </w:p>
        </w:tc>
        <w:tc>
          <w:tcPr>
            <w:tcW w:w="3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61,524</w:t>
            </w:r>
          </w:p>
        </w:tc>
        <w:tc>
          <w:tcPr>
            <w:tcW w:w="3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62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48,952</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per share of common stock</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vMerge w:val="restart"/>
          </w:tcPr>
          <w:p>
            <w:pPr>
              <w:spacing w:after="0"/>
              <w:rPr>
                <w:sz w:val="5"/>
                <w:szCs w:val="5"/>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vMerge w:val="restart"/>
          </w:tcPr>
          <w:p>
            <w:pPr>
              <w:spacing w:after="0"/>
              <w:rPr>
                <w:sz w:val="5"/>
                <w:szCs w:val="5"/>
                <w:color w:val="auto"/>
              </w:rPr>
            </w:pPr>
          </w:p>
        </w:tc>
        <w:tc>
          <w:tcPr>
            <w:tcW w:w="580" w:type="dxa"/>
            <w:vAlign w:val="bottom"/>
            <w:gridSpan w:val="2"/>
            <w:vMerge w:val="restart"/>
          </w:tcPr>
          <w:p>
            <w:pPr>
              <w:ind w:left="500"/>
              <w:spacing w:after="0"/>
              <w:rPr>
                <w:sz w:val="20"/>
                <w:szCs w:val="20"/>
                <w:color w:val="auto"/>
              </w:rPr>
            </w:pPr>
            <w:r>
              <w:rPr>
                <w:rFonts w:ascii="Arial" w:cs="Arial" w:eastAsia="Arial" w:hAnsi="Arial"/>
                <w:sz w:val="10"/>
                <w:szCs w:val="10"/>
                <w:color w:val="auto"/>
                <w:w w:val="71"/>
              </w:rPr>
              <w:t>$</w:t>
            </w:r>
          </w:p>
        </w:tc>
        <w:tc>
          <w:tcPr>
            <w:tcW w:w="600" w:type="dxa"/>
            <w:vAlign w:val="bottom"/>
            <w:tcBorders>
              <w:lef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552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w:t>
            </w:r>
          </w:p>
        </w:tc>
        <w:tc>
          <w:tcPr>
            <w:tcW w:w="38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36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36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lef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Diluted net earnings per share of common stock</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380" w:type="dxa"/>
            <w:vAlign w:val="bottom"/>
            <w:tcBorders>
              <w:lef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62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1.89</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w w:val="99"/>
              </w:rPr>
              <w:t>Weighted average number of shares of common stock outstanding —</w:t>
            </w:r>
          </w:p>
        </w:tc>
        <w:tc>
          <w:tcPr>
            <w:tcW w:w="300" w:type="dxa"/>
            <w:vAlign w:val="bottom"/>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80" w:type="dxa"/>
            <w:vAlign w:val="bottom"/>
            <w:tcBorders>
              <w:left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left w:val="single" w:sz="8" w:color="808080"/>
            </w:tcBorders>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5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24,800</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25,006</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24,863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24,964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Weighted average number of shares of common stock outstanding —</w:t>
            </w:r>
          </w:p>
        </w:tc>
        <w:tc>
          <w:tcPr>
            <w:tcW w:w="3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80" w:type="dxa"/>
            <w:vAlign w:val="bottom"/>
            <w:tcBorders>
              <w:lef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60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Dilutive</w:t>
            </w:r>
          </w:p>
        </w:tc>
        <w:tc>
          <w:tcPr>
            <w:tcW w:w="300" w:type="dxa"/>
            <w:vAlign w:val="bottom"/>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26,089</w:t>
            </w:r>
          </w:p>
        </w:tc>
        <w:tc>
          <w:tcPr>
            <w:tcW w:w="380" w:type="dxa"/>
            <w:vAlign w:val="bottom"/>
            <w:tcBorders>
              <w:lef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26,021</w:t>
            </w:r>
          </w:p>
        </w:tc>
        <w:tc>
          <w:tcPr>
            <w:tcW w:w="3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26,115</w:t>
            </w:r>
          </w:p>
        </w:tc>
        <w:tc>
          <w:tcPr>
            <w:tcW w:w="3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62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25,910</w:t>
            </w:r>
          </w:p>
        </w:tc>
        <w:tc>
          <w:tcPr>
            <w:tcW w:w="3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31,825</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110,287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Receivables, net</w:t>
            </w: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484,763</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483,615</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280,124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Inventories, net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238,472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259,979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228,909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13,422</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12,003</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12,484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44,256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39,653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42,111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812,738</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795,276</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673,915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479,070</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456,805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469,924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Less accumulated depreciation</w:t>
            </w:r>
          </w:p>
        </w:tc>
        <w:tc>
          <w:tcPr>
            <w:tcW w:w="38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315,973</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294,625</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310,808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163,097</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162,180</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159,116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1,181</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4,196</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19,104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12,984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Goodwill, net</w:t>
            </w: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78,028</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77,929</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78,013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18"/>
                <w:szCs w:val="18"/>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2,515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1,654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2,854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1,076,663</w:t>
            </w:r>
          </w:p>
        </w:tc>
        <w:tc>
          <w:tcPr>
            <w:tcW w:w="38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1,054,219</w:t>
            </w: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927,432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4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740" w:type="dxa"/>
            <w:vAlign w:val="bottom"/>
            <w:tcBorders>
              <w:bottom w:val="single" w:sz="8" w:color="808080"/>
            </w:tcBorders>
            <w:shd w:val="clear" w:color="auto" w:fill="808080"/>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400" w:type="dxa"/>
            <w:vAlign w:val="bottom"/>
            <w:tcBorders>
              <w:right w:val="single" w:sz="8" w:color="808080"/>
            </w:tcBorders>
            <w:shd w:val="clear" w:color="auto" w:fill="EEEEEE"/>
          </w:tcPr>
          <w:p>
            <w:pPr>
              <w:spacing w:after="0"/>
              <w:rPr>
                <w:sz w:val="3"/>
                <w:szCs w:val="3"/>
                <w:color w:val="auto"/>
              </w:rPr>
            </w:pPr>
          </w:p>
        </w:tc>
        <w:tc>
          <w:tcPr>
            <w:tcW w:w="720" w:type="dxa"/>
            <w:vAlign w:val="bottom"/>
            <w:tcBorders>
              <w:bottom w:val="single" w:sz="8" w:color="808080"/>
            </w:tcBorders>
            <w:shd w:val="clear" w:color="auto" w:fill="808080"/>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6660" w:type="dxa"/>
            <w:vAlign w:val="bottom"/>
            <w:gridSpan w:val="2"/>
          </w:tcPr>
          <w:p>
            <w:pPr>
              <w:spacing w:after="0"/>
              <w:rPr>
                <w:sz w:val="20"/>
                <w:szCs w:val="20"/>
                <w:color w:val="auto"/>
              </w:rPr>
            </w:pPr>
            <w:r>
              <w:rPr>
                <w:rFonts w:ascii="Arial" w:cs="Arial" w:eastAsia="Arial" w:hAnsi="Arial"/>
                <w:sz w:val="18"/>
                <w:szCs w:val="18"/>
                <w:color w:val="auto"/>
              </w:rPr>
              <w:t>LIABILITIES AND STOCKHOLDERS’ EQUITY</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Short-term debt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29,991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99,299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96,636</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104,319</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73,976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8"/>
                <w:szCs w:val="18"/>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274,934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244,463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223,192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401,786</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448,145</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303,136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175,069</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178,713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175,091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 and other long-term liabilities</w:t>
            </w: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12,228</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8,508</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12,003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5"/>
              </w:rPr>
              <w:t>Preferred stock, par value $1.00, authorized 1,000,000 voting and 850,000 non-voting</w:t>
            </w:r>
          </w:p>
        </w:tc>
        <w:tc>
          <w:tcPr>
            <w:tcW w:w="3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shares, none issued and outstanding</w:t>
            </w:r>
          </w:p>
        </w:tc>
        <w:tc>
          <w:tcPr>
            <w:tcW w:w="38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20"/>
                <w:szCs w:val="20"/>
                <w:color w:val="auto"/>
              </w:rPr>
            </w:pPr>
          </w:p>
        </w:tc>
        <w:tc>
          <w:tcPr>
            <w:tcW w:w="400" w:type="dxa"/>
            <w:vAlign w:val="bottom"/>
            <w:tcBorders>
              <w:right w:val="single" w:sz="8" w:color="EEEEEE"/>
            </w:tcBorders>
            <w:shd w:val="clear" w:color="auto" w:fill="EEEEEE"/>
          </w:tcPr>
          <w:p>
            <w:pPr>
              <w:spacing w:after="0"/>
              <w:rPr>
                <w:sz w:val="20"/>
                <w:szCs w:val="20"/>
                <w:color w:val="auto"/>
              </w:rPr>
            </w:pPr>
          </w:p>
        </w:tc>
        <w:tc>
          <w:tcPr>
            <w:tcW w:w="11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0"/>
                <w:szCs w:val="20"/>
                <w:color w:val="auto"/>
              </w:rPr>
            </w:pPr>
          </w:p>
        </w:tc>
        <w:tc>
          <w:tcPr>
            <w:tcW w:w="300" w:type="dxa"/>
            <w:vAlign w:val="bottom"/>
            <w:tcBorders>
              <w:right w:val="single" w:sz="8" w:color="EEEEEE"/>
            </w:tcBorders>
            <w:shd w:val="clear" w:color="auto" w:fill="EEEEEE"/>
          </w:tcPr>
          <w:p>
            <w:pPr>
              <w:spacing w:after="0"/>
              <w:rPr>
                <w:sz w:val="20"/>
                <w:szCs w:val="20"/>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w w:val="94"/>
              </w:rPr>
              <w:t>Common stock, par value $1.00, authorized 50,000,000 shares, issued and outstanding</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w w:val="94"/>
              </w:rPr>
              <w:t>24,230,346 shares as of April 30, 2004 (net of 2,785,764 treasury shares), 24,561,682</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w w:val="93"/>
              </w:rPr>
              <w:t>shares as of May 2, 2003 (net of 2,454,428 treasury shares), and 24,388,999 shares as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of October 31, 2003 (net of 2,627,111 treasury shares)</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24,230</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24,562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24,389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18,122</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7,658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474,653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388,313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417,973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(11,303)</w:t>
            </w:r>
          </w:p>
        </w:tc>
        <w:tc>
          <w:tcPr>
            <w:tcW w:w="2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(12,144)</w:t>
            </w: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(12,818)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7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487,580</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418,853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437,202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1,076,663</w:t>
            </w:r>
          </w:p>
        </w:tc>
        <w:tc>
          <w:tcPr>
            <w:tcW w:w="38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1,054,219</w:t>
            </w: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927,432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4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740" w:type="dxa"/>
            <w:vAlign w:val="bottom"/>
            <w:tcBorders>
              <w:top w:val="single" w:sz="8" w:color="808080"/>
            </w:tcBorders>
            <w:shd w:val="clear" w:color="auto" w:fill="808080"/>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400" w:type="dxa"/>
            <w:vAlign w:val="bottom"/>
            <w:tcBorders>
              <w:top w:val="single" w:sz="8" w:color="EEEEEE"/>
              <w:right w:val="single" w:sz="8" w:color="808080"/>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0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Six Months Ended</w:t>
            </w: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7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April 30,</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May 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7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earnings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61,524</w:t>
            </w: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48,952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Non-cash asset recovery</w:t>
            </w: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losses from an investment</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Provision for depreciation and amortization</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15,707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Gain on disposal of property, plant, and equipment</w:t>
            </w:r>
          </w:p>
        </w:tc>
        <w:tc>
          <w:tcPr>
            <w:tcW w:w="5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(219)</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Increase in deferred income taxes</w:t>
            </w: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(2,098)</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Tax benefits related to employee stock option transactions</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Receivables, net</w:t>
            </w:r>
          </w:p>
        </w:tc>
        <w:tc>
          <w:tcPr>
            <w:tcW w:w="5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8"/>
              </w:rPr>
              <w:t>(211,449)</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8"/>
              </w:rPr>
              <w:t>(230,456)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(8,937)</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(30,475)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Accounts payable, accrued expenses, and deferred revenue</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80,129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72,643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(60,195)</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8"/>
              </w:rPr>
              <w:t>(125,594)</w:t>
            </w:r>
          </w:p>
        </w:tc>
        <w:tc>
          <w:tcPr>
            <w:tcW w:w="0" w:type="dxa"/>
            <w:vAlign w:val="bottom"/>
          </w:tcPr>
          <w:p>
            <w:pPr>
              <w:spacing w:after="0"/>
              <w:rPr>
                <w:sz w:val="1"/>
                <w:szCs w:val="1"/>
                <w:color w:val="auto"/>
              </w:rPr>
            </w:pPr>
          </w:p>
        </w:tc>
      </w:tr>
      <w:tr>
        <w:trPr>
          <w:trHeight w:val="237"/>
        </w:trPr>
        <w:tc>
          <w:tcPr>
            <w:tcW w:w="77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Purchases of property, plant, and equipment</w:t>
            </w:r>
          </w:p>
        </w:tc>
        <w:tc>
          <w:tcPr>
            <w:tcW w:w="5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(21,356)</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(Increase) decrease in investment in affiliates</w:t>
            </w:r>
          </w:p>
        </w:tc>
        <w:tc>
          <w:tcPr>
            <w:tcW w:w="5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(1,065)</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Increase in other assets</w:t>
            </w: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Proceeds from sale of business</w:t>
            </w:r>
          </w:p>
        </w:tc>
        <w:tc>
          <w:tcPr>
            <w:tcW w:w="5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1,016</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(21,050)</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(19,605)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Increase in short-term debt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97,890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Repayments of long-term debt</w:t>
            </w:r>
          </w:p>
        </w:tc>
        <w:tc>
          <w:tcPr>
            <w:tcW w:w="5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(3,627)</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Increase (decrease) in other long-term liabilities</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4,039</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Purchases of common stock</w:t>
            </w: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(23,872)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Dividends on common stock</w:t>
            </w:r>
          </w:p>
        </w:tc>
        <w:tc>
          <w:tcPr>
            <w:tcW w:w="5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(2,991)</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82,404</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rates on cash</w:t>
            </w:r>
          </w:p>
        </w:tc>
        <w:tc>
          <w:tcPr>
            <w:tcW w:w="5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(326)</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(78,462)</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110,287</w:t>
            </w: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62,816</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74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31,825</w:t>
            </w:r>
          </w:p>
        </w:tc>
        <w:tc>
          <w:tcPr>
            <w:tcW w:w="1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disclosures of cash flow information:</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Stock issued in connection with stock compensation plans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3,672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Accounts receivable converted to long-term notes receivable</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30,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April 30, 2004 cannot be annualized to determine the expected results for the fiscal year ending October 31, 2004. Certain amounts from prior period’s financial statements have been reclassified to conform to this period’s presentation.</w:t>
      </w:r>
    </w:p>
    <w:p>
      <w:pPr>
        <w:spacing w:after="0" w:line="15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2003. The policies described in that report are used for preparing quarterly reports.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0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preparing the consolidated financial statements in conformity with accounting principles generally accepted in the United States of America, management must make decisions which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gridSpan w:val="5"/>
          </w:tcPr>
          <w:p>
            <w:pPr>
              <w:jc w:val="center"/>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7"/>
                <w:szCs w:val="17"/>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200"/>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2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7"/>
                <w:szCs w:val="17"/>
                <w:color w:val="auto"/>
              </w:rPr>
            </w:pPr>
          </w:p>
        </w:tc>
        <w:tc>
          <w:tcPr>
            <w:tcW w:w="11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7"/>
                <w:szCs w:val="17"/>
                <w:color w:val="auto"/>
              </w:rPr>
            </w:pPr>
          </w:p>
        </w:tc>
        <w:tc>
          <w:tcPr>
            <w:tcW w:w="11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Net earnings</w:t>
            </w:r>
          </w:p>
        </w:tc>
        <w:tc>
          <w:tcPr>
            <w:tcW w:w="22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$52,199</w:t>
            </w:r>
          </w:p>
        </w:tc>
        <w:tc>
          <w:tcPr>
            <w:tcW w:w="2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$41,971</w:t>
            </w:r>
          </w:p>
        </w:tc>
        <w:tc>
          <w:tcPr>
            <w:tcW w:w="30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$61,524</w:t>
            </w:r>
          </w:p>
        </w:tc>
        <w:tc>
          <w:tcPr>
            <w:tcW w:w="2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$48,952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Cumulative translation adjustments</w:t>
            </w:r>
          </w:p>
        </w:tc>
        <w:tc>
          <w:tcPr>
            <w:tcW w:w="2540" w:type="dxa"/>
            <w:vAlign w:val="bottom"/>
            <w:gridSpan w:val="6"/>
            <w:shd w:val="clear" w:color="auto" w:fill="EEEEEE"/>
          </w:tcPr>
          <w:p>
            <w:pPr>
              <w:jc w:val="right"/>
              <w:ind w:right="240"/>
              <w:spacing w:after="0"/>
              <w:rPr>
                <w:sz w:val="20"/>
                <w:szCs w:val="20"/>
                <w:color w:val="auto"/>
              </w:rPr>
            </w:pPr>
            <w:r>
              <w:rPr>
                <w:rFonts w:ascii="Arial" w:cs="Arial" w:eastAsia="Arial" w:hAnsi="Arial"/>
                <w:sz w:val="18"/>
                <w:szCs w:val="18"/>
                <w:color w:val="auto"/>
              </w:rPr>
              <w:t>(1,152)</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634</w:t>
            </w:r>
          </w:p>
        </w:tc>
        <w:tc>
          <w:tcPr>
            <w:tcW w:w="300" w:type="dxa"/>
            <w:vAlign w:val="bottom"/>
            <w:shd w:val="clear" w:color="auto" w:fill="EEEEEE"/>
          </w:tcPr>
          <w:p>
            <w:pPr>
              <w:spacing w:after="0"/>
              <w:rPr>
                <w:sz w:val="18"/>
                <w:szCs w:val="18"/>
                <w:color w:val="auto"/>
              </w:rPr>
            </w:pPr>
          </w:p>
        </w:tc>
        <w:tc>
          <w:tcPr>
            <w:tcW w:w="138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(95)</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1,226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60"/>
              <w:spacing w:after="0"/>
              <w:rPr>
                <w:sz w:val="20"/>
                <w:szCs w:val="20"/>
                <w:color w:val="auto"/>
              </w:rPr>
            </w:pPr>
            <w:r>
              <w:rPr>
                <w:rFonts w:ascii="Arial" w:cs="Arial" w:eastAsia="Arial" w:hAnsi="Arial"/>
                <w:sz w:val="18"/>
                <w:szCs w:val="18"/>
                <w:color w:val="auto"/>
              </w:rPr>
              <w:t>Unrealized gain (loss) on derivative instruments</w:t>
            </w:r>
          </w:p>
        </w:tc>
        <w:tc>
          <w:tcPr>
            <w:tcW w:w="2260" w:type="dxa"/>
            <w:vAlign w:val="bottom"/>
            <w:gridSpan w:val="5"/>
          </w:tcPr>
          <w:p>
            <w:pPr>
              <w:jc w:val="right"/>
              <w:ind w:right="20"/>
              <w:spacing w:after="0"/>
              <w:rPr>
                <w:sz w:val="20"/>
                <w:szCs w:val="20"/>
                <w:color w:val="auto"/>
              </w:rPr>
            </w:pPr>
            <w:r>
              <w:rPr>
                <w:rFonts w:ascii="Arial" w:cs="Arial" w:eastAsia="Arial" w:hAnsi="Arial"/>
                <w:sz w:val="18"/>
                <w:szCs w:val="18"/>
                <w:color w:val="auto"/>
              </w:rPr>
              <w:t>2,344</w:t>
            </w:r>
          </w:p>
        </w:tc>
        <w:tc>
          <w:tcPr>
            <w:tcW w:w="2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1,610</w:t>
            </w:r>
          </w:p>
        </w:tc>
        <w:tc>
          <w:tcPr>
            <w:tcW w:w="28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46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Comprehensive income</w:t>
            </w:r>
          </w:p>
        </w:tc>
        <w:tc>
          <w:tcPr>
            <w:tcW w:w="22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$53,391</w:t>
            </w:r>
          </w:p>
        </w:tc>
        <w:tc>
          <w:tcPr>
            <w:tcW w:w="280" w:type="dxa"/>
            <w:vAlign w:val="bottom"/>
            <w:shd w:val="clear" w:color="auto" w:fill="EEEEEE"/>
          </w:tcPr>
          <w:p>
            <w:pPr>
              <w:spacing w:after="0"/>
              <w:rPr>
                <w:sz w:val="22"/>
                <w:szCs w:val="22"/>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$43,040</w:t>
            </w:r>
          </w:p>
        </w:tc>
        <w:tc>
          <w:tcPr>
            <w:tcW w:w="300" w:type="dxa"/>
            <w:vAlign w:val="bottom"/>
            <w:shd w:val="clear" w:color="auto" w:fill="EEEEEE"/>
          </w:tcPr>
          <w:p>
            <w:pPr>
              <w:spacing w:after="0"/>
              <w:rPr>
                <w:sz w:val="22"/>
                <w:szCs w:val="22"/>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$63,039</w:t>
            </w:r>
          </w:p>
        </w:tc>
        <w:tc>
          <w:tcPr>
            <w:tcW w:w="280" w:type="dxa"/>
            <w:vAlign w:val="bottom"/>
            <w:shd w:val="clear" w:color="auto" w:fill="EEEEEE"/>
          </w:tcPr>
          <w:p>
            <w:pPr>
              <w:spacing w:after="0"/>
              <w:rPr>
                <w:sz w:val="22"/>
                <w:szCs w:val="22"/>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$49,411</w:t>
            </w:r>
          </w:p>
        </w:tc>
        <w:tc>
          <w:tcPr>
            <w:tcW w:w="3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680" w:type="dxa"/>
            <w:vAlign w:val="bottom"/>
            <w:tcBorders>
              <w:top w:val="single" w:sz="8" w:color="EEEEEE"/>
            </w:tcBorders>
          </w:tcPr>
          <w:p>
            <w:pPr>
              <w:spacing w:after="0"/>
              <w:rPr>
                <w:sz w:val="24"/>
                <w:szCs w:val="24"/>
                <w:color w:val="auto"/>
              </w:rPr>
            </w:pPr>
          </w:p>
        </w:tc>
        <w:tc>
          <w:tcPr>
            <w:tcW w:w="1460" w:type="dxa"/>
            <w:vAlign w:val="bottom"/>
            <w:tcBorders>
              <w:top w:val="single" w:sz="8" w:color="EEEEEE"/>
            </w:tcBorders>
          </w:tcPr>
          <w:p>
            <w:pPr>
              <w:jc w:val="right"/>
              <w:ind w:right="313"/>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accounts for stock-based employee compensation plans under the recognition and measurement principles of Accounting Principles Board Opinion No. 25, “Accounting for Stock Issued to Employees,” (APB No. 25), and related Interpretations. The following table illustrates the effect on net earnings and net earnings per share if the company had applied the fair value recognition provisions of Statement of Financial Accounting Standard (SFAS) No. 123, “Accounting for Stock-Based Compensation.”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80" w:type="dxa"/>
            <w:vAlign w:val="bottom"/>
            <w:gridSpan w:val="3"/>
          </w:tcPr>
          <w:p>
            <w:pPr>
              <w:ind w:left="260"/>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200"/>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7"/>
                <w:szCs w:val="17"/>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140" w:type="dxa"/>
            <w:vAlign w:val="bottom"/>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Net earnings, as reported</w:t>
            </w:r>
          </w:p>
        </w:tc>
        <w:tc>
          <w:tcPr>
            <w:tcW w:w="280" w:type="dxa"/>
            <w:vAlign w:val="bottom"/>
            <w:shd w:val="clear" w:color="auto" w:fill="EEEEEE"/>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52,199</w:t>
            </w:r>
          </w:p>
        </w:tc>
        <w:tc>
          <w:tcPr>
            <w:tcW w:w="2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41,971</w:t>
            </w: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54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61,524</w:t>
            </w:r>
          </w:p>
        </w:tc>
        <w:tc>
          <w:tcPr>
            <w:tcW w:w="2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48,952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costs, net of tax, included in net</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2,557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Deduct: Stock-based employee compensation costs, net of tax, if fair value</w:t>
            </w:r>
          </w:p>
        </w:tc>
        <w:tc>
          <w:tcPr>
            <w:tcW w:w="280" w:type="dxa"/>
            <w:vAlign w:val="bottom"/>
            <w:shd w:val="clear" w:color="auto" w:fill="EEEEEE"/>
          </w:tcPr>
          <w:p>
            <w:pPr>
              <w:spacing w:after="0"/>
              <w:rPr>
                <w:sz w:val="17"/>
                <w:szCs w:val="17"/>
                <w:color w:val="auto"/>
              </w:rPr>
            </w:pPr>
          </w:p>
        </w:tc>
        <w:tc>
          <w:tcPr>
            <w:tcW w:w="520" w:type="dxa"/>
            <w:vAlign w:val="bottom"/>
            <w:tcBorders>
              <w:left w:val="single" w:sz="8" w:color="EEEEEE"/>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tcBorders>
              <w:left w:val="single" w:sz="8" w:color="EEEEEE"/>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tcBorders>
              <w:left w:val="single" w:sz="8" w:color="EEEEEE"/>
              <w:righ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tcBorders>
              <w:left w:val="single" w:sz="8" w:color="EEEEEE"/>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method had been applied</w:t>
            </w:r>
          </w:p>
        </w:tc>
        <w:tc>
          <w:tcPr>
            <w:tcW w:w="280" w:type="dxa"/>
            <w:vAlign w:val="bottom"/>
            <w:shd w:val="clear" w:color="auto" w:fill="EEEEEE"/>
          </w:tcPr>
          <w:p>
            <w:pPr>
              <w:spacing w:after="0"/>
              <w:rPr>
                <w:sz w:val="20"/>
                <w:szCs w:val="20"/>
                <w:color w:val="auto"/>
              </w:rPr>
            </w:pPr>
          </w:p>
        </w:tc>
        <w:tc>
          <w:tcPr>
            <w:tcW w:w="800" w:type="dxa"/>
            <w:vAlign w:val="bottom"/>
            <w:tcBorders>
              <w:left w:val="single" w:sz="8" w:color="EEEEEE"/>
            </w:tcBorders>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4"/>
              </w:rPr>
              <w:t>(1,426)</w:t>
            </w:r>
          </w:p>
        </w:tc>
        <w:tc>
          <w:tcPr>
            <w:tcW w:w="3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800" w:type="dxa"/>
            <w:vAlign w:val="bottom"/>
            <w:tcBorders>
              <w:left w:val="single" w:sz="8" w:color="EEEEEE"/>
            </w:tcBorders>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800" w:type="dxa"/>
            <w:vAlign w:val="bottom"/>
            <w:tcBorders>
              <w:left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8"/>
              </w:rPr>
              <w:t>(6,812)</w:t>
            </w:r>
          </w:p>
        </w:tc>
        <w:tc>
          <w:tcPr>
            <w:tcW w:w="3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800" w:type="dxa"/>
            <w:vAlign w:val="bottom"/>
            <w:tcBorders>
              <w:left w:val="single" w:sz="8" w:color="EEEEEE"/>
            </w:tcBorders>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4"/>
              </w:rPr>
              <w:t>(5,224)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Pro forma net earnings</w:t>
            </w:r>
          </w:p>
        </w:tc>
        <w:tc>
          <w:tcPr>
            <w:tcW w:w="280" w:type="dxa"/>
            <w:vAlign w:val="bottom"/>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53,330</w:t>
            </w:r>
          </w:p>
        </w:tc>
        <w:tc>
          <w:tcPr>
            <w:tcW w:w="2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42,314</w:t>
            </w:r>
          </w:p>
        </w:tc>
        <w:tc>
          <w:tcPr>
            <w:tcW w:w="280" w:type="dxa"/>
            <w:vAlign w:val="bottom"/>
          </w:tcPr>
          <w:p>
            <w:pPr>
              <w:spacing w:after="0"/>
              <w:rPr>
                <w:sz w:val="19"/>
                <w:szCs w:val="19"/>
                <w:color w:val="auto"/>
              </w:rPr>
            </w:pPr>
          </w:p>
        </w:tc>
        <w:tc>
          <w:tcPr>
            <w:tcW w:w="580" w:type="dxa"/>
            <w:vAlign w:val="bottom"/>
            <w:gridSpan w:val="2"/>
          </w:tcPr>
          <w:p>
            <w:pPr>
              <w:ind w:left="5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58,392</w:t>
            </w: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45,391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Net earnings per share data:</w:t>
            </w:r>
          </w:p>
        </w:tc>
        <w:tc>
          <w:tcPr>
            <w:tcW w:w="280" w:type="dxa"/>
            <w:vAlign w:val="bottom"/>
            <w:shd w:val="clear" w:color="auto" w:fill="EEEEEE"/>
          </w:tcPr>
          <w:p>
            <w:pPr>
              <w:spacing w:after="0"/>
              <w:rPr>
                <w:sz w:val="19"/>
                <w:szCs w:val="19"/>
                <w:color w:val="auto"/>
              </w:rPr>
            </w:pPr>
          </w:p>
        </w:tc>
        <w:tc>
          <w:tcPr>
            <w:tcW w:w="520" w:type="dxa"/>
            <w:vAlign w:val="bottom"/>
            <w:tcBorders>
              <w:left w:val="single" w:sz="8" w:color="EEEEEE"/>
              <w:right w:val="single" w:sz="8" w:color="EEEEEE"/>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20" w:type="dxa"/>
            <w:vAlign w:val="bottom"/>
            <w:tcBorders>
              <w:left w:val="single" w:sz="8" w:color="EEEEEE"/>
              <w:right w:val="single" w:sz="8" w:color="EEEEEE"/>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tcBorders>
              <w:left w:val="single" w:sz="8" w:color="EEEEEE"/>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20" w:type="dxa"/>
            <w:vAlign w:val="bottom"/>
            <w:tcBorders>
              <w:left w:val="single" w:sz="8" w:color="EEEEEE"/>
              <w:right w:val="single" w:sz="8" w:color="EEEEEE"/>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As reported — Basic</w:t>
            </w:r>
          </w:p>
        </w:tc>
        <w:tc>
          <w:tcPr>
            <w:tcW w:w="280" w:type="dxa"/>
            <w:vAlign w:val="bottom"/>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9"/>
                <w:szCs w:val="19"/>
                <w:color w:val="auto"/>
              </w:rPr>
            </w:pPr>
          </w:p>
        </w:tc>
        <w:tc>
          <w:tcPr>
            <w:tcW w:w="580" w:type="dxa"/>
            <w:vAlign w:val="bottom"/>
            <w:gridSpan w:val="2"/>
          </w:tcPr>
          <w:p>
            <w:pPr>
              <w:ind w:left="5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 forma — Basic</w:t>
            </w:r>
          </w:p>
        </w:tc>
        <w:tc>
          <w:tcPr>
            <w:tcW w:w="280" w:type="dxa"/>
            <w:vAlign w:val="bottom"/>
            <w:shd w:val="clear" w:color="auto" w:fill="EEEEEE"/>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EEEEEE"/>
          </w:tcPr>
          <w:p>
            <w:pPr>
              <w:spacing w:after="0"/>
              <w:rPr>
                <w:sz w:val="19"/>
                <w:szCs w:val="19"/>
                <w:color w:val="auto"/>
              </w:rPr>
            </w:pPr>
          </w:p>
        </w:tc>
        <w:tc>
          <w:tcPr>
            <w:tcW w:w="580" w:type="dxa"/>
            <w:vAlign w:val="bottom"/>
            <w:gridSpan w:val="2"/>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54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140" w:type="dxa"/>
            <w:vAlign w:val="bottom"/>
            <w:vMerge w:val="restart"/>
          </w:tcPr>
          <w:p>
            <w:pPr>
              <w:ind w:left="260"/>
              <w:spacing w:after="0"/>
              <w:rPr>
                <w:sz w:val="20"/>
                <w:szCs w:val="20"/>
                <w:color w:val="auto"/>
              </w:rPr>
            </w:pPr>
            <w:r>
              <w:rPr>
                <w:rFonts w:ascii="Arial" w:cs="Arial" w:eastAsia="Arial" w:hAnsi="Arial"/>
                <w:sz w:val="18"/>
                <w:szCs w:val="18"/>
                <w:color w:val="auto"/>
              </w:rPr>
              <w:t>As reported — Diluted</w:t>
            </w:r>
          </w:p>
        </w:tc>
        <w:tc>
          <w:tcPr>
            <w:tcW w:w="280" w:type="dxa"/>
            <w:vAlign w:val="bottom"/>
            <w:vMerge w:val="restart"/>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gridSpan w:val="2"/>
            <w:vMerge w:val="restart"/>
          </w:tcPr>
          <w:p>
            <w:pPr>
              <w:ind w:left="500"/>
              <w:spacing w:after="0"/>
              <w:rPr>
                <w:sz w:val="20"/>
                <w:szCs w:val="20"/>
                <w:color w:val="auto"/>
              </w:rPr>
            </w:pPr>
            <w:r>
              <w:rPr>
                <w:rFonts w:ascii="Arial" w:cs="Arial" w:eastAsia="Arial" w:hAnsi="Arial"/>
                <w:sz w:val="10"/>
                <w:szCs w:val="10"/>
                <w:color w:val="auto"/>
                <w:w w:val="71"/>
              </w:rPr>
              <w:t>$</w:t>
            </w: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 forma — Diluted</w:t>
            </w:r>
          </w:p>
        </w:tc>
        <w:tc>
          <w:tcPr>
            <w:tcW w:w="280" w:type="dxa"/>
            <w:vAlign w:val="bottom"/>
            <w:shd w:val="clear" w:color="auto" w:fill="EEEEEE"/>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EEEEEE"/>
          </w:tcPr>
          <w:p>
            <w:pPr>
              <w:spacing w:after="0"/>
              <w:rPr>
                <w:sz w:val="19"/>
                <w:szCs w:val="19"/>
                <w:color w:val="auto"/>
              </w:rPr>
            </w:pPr>
          </w:p>
        </w:tc>
        <w:tc>
          <w:tcPr>
            <w:tcW w:w="580" w:type="dxa"/>
            <w:vAlign w:val="bottom"/>
            <w:gridSpan w:val="2"/>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54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2,</w:t>
            </w:r>
          </w:p>
        </w:tc>
        <w:tc>
          <w:tcPr>
            <w:tcW w:w="500" w:type="dxa"/>
            <w:vAlign w:val="bottom"/>
          </w:tcPr>
          <w:p>
            <w:pPr>
              <w:spacing w:after="0"/>
              <w:rPr>
                <w:sz w:val="14"/>
                <w:szCs w:val="14"/>
                <w:color w:val="auto"/>
              </w:rPr>
            </w:pPr>
          </w:p>
        </w:tc>
        <w:tc>
          <w:tcPr>
            <w:tcW w:w="1500" w:type="dxa"/>
            <w:vAlign w:val="bottom"/>
            <w:gridSpan w:val="3"/>
          </w:tcPr>
          <w:p>
            <w:pPr>
              <w:ind w:left="4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0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Raw materials and work in process</w:t>
            </w:r>
          </w:p>
        </w:tc>
        <w:tc>
          <w:tcPr>
            <w:tcW w:w="2280" w:type="dxa"/>
            <w:vAlign w:val="bottom"/>
            <w:tcBorders>
              <w:right w:val="single" w:sz="8" w:color="EEEEEE"/>
            </w:tcBorders>
            <w:gridSpan w:val="2"/>
            <w:shd w:val="clear" w:color="auto" w:fill="EEEEEE"/>
          </w:tcPr>
          <w:p>
            <w:pPr>
              <w:ind w:left="21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73,840</w:t>
            </w:r>
          </w:p>
        </w:tc>
        <w:tc>
          <w:tcPr>
            <w:tcW w:w="48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2"/>
            <w:shd w:val="clear" w:color="auto" w:fill="EEEEEE"/>
          </w:tcPr>
          <w:p>
            <w:pPr>
              <w:ind w:left="80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72,245</w:t>
            </w:r>
          </w:p>
        </w:tc>
        <w:tc>
          <w:tcPr>
            <w:tcW w:w="48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67,753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1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213,814</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228,670</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208,176</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287,654</w:t>
            </w: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300,915</w:t>
            </w: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275,929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Less: LIFO</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32,151</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26,903</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reserves</w:t>
            </w:r>
          </w:p>
        </w:tc>
        <w:tc>
          <w:tcPr>
            <w:tcW w:w="18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17,031</w:t>
            </w: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14,033</w:t>
            </w: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14,869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tcPr>
          <w:p>
            <w:pPr>
              <w:ind w:left="21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238,472</w:t>
            </w:r>
          </w:p>
        </w:tc>
        <w:tc>
          <w:tcPr>
            <w:tcW w:w="480" w:type="dxa"/>
            <w:vAlign w:val="bottom"/>
          </w:tcPr>
          <w:p>
            <w:pPr>
              <w:spacing w:after="0"/>
              <w:rPr>
                <w:sz w:val="18"/>
                <w:szCs w:val="18"/>
                <w:color w:val="auto"/>
              </w:rPr>
            </w:pPr>
          </w:p>
        </w:tc>
        <w:tc>
          <w:tcPr>
            <w:tcW w:w="90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259,979</w:t>
            </w:r>
          </w:p>
        </w:tc>
        <w:tc>
          <w:tcPr>
            <w:tcW w:w="4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228,909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1880" w:type="dxa"/>
            <w:vAlign w:val="bottom"/>
            <w:vMerge w:val="restart"/>
          </w:tcPr>
          <w:p>
            <w:pPr>
              <w:jc w:val="right"/>
              <w:ind w:right="140"/>
              <w:spacing w:after="0"/>
              <w:rPr>
                <w:sz w:val="20"/>
                <w:szCs w:val="20"/>
                <w:color w:val="auto"/>
              </w:rPr>
            </w:pPr>
            <w:r>
              <w:rPr>
                <w:rFonts w:ascii="Arial" w:cs="Arial" w:eastAsia="Arial" w:hAnsi="Arial"/>
                <w:sz w:val="18"/>
                <w:szCs w:val="18"/>
                <w:color w:val="auto"/>
              </w:rPr>
              <w:t>7</w:t>
            </w:r>
          </w:p>
        </w:tc>
        <w:tc>
          <w:tcPr>
            <w:tcW w:w="4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Activity</w:t>
      </w:r>
    </w:p>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fiscal 2003, the company announced plans to close its two-cycle engine manufacturing facility located in Oxford, Mississippi, which ceased manufacturing operations on April 30, 2004. Approximately 115 job positions and related staff reductions will be lost in connection with closing this facility. As of April 30, 2004, of the 115 job position reductions, 82 had been eliminated. As of the end of the second quarter of fiscal 2004, the restructuring and other expense reserve also included costs that will be incurred until the Madera, California manufacturing facility is sold. Therefore, the company will incur ongoing maintenance related costs after the facilities are closed and until they are sold, which is captioned in “Other” below.</w:t>
      </w:r>
    </w:p>
    <w:p>
      <w:pPr>
        <w:spacing w:after="0" w:line="1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second quarter of fiscal 2003, the company recorded a benefit of $0.2 million for the reversal of the remaining accrual for closing a facility in Australia, which was sold March 28, 2003.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analysis of the company’s restructuring and other income and related reserve accounts: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Severance</w:t>
            </w:r>
          </w:p>
        </w:tc>
        <w:tc>
          <w:tcPr>
            <w:tcW w:w="500" w:type="dxa"/>
            <w:vAlign w:val="bottom"/>
          </w:tcPr>
          <w:p>
            <w:pPr>
              <w:spacing w:after="0"/>
              <w:rPr>
                <w:sz w:val="14"/>
                <w:szCs w:val="14"/>
                <w:color w:val="auto"/>
              </w:rPr>
            </w:pPr>
          </w:p>
        </w:tc>
        <w:tc>
          <w:tcPr>
            <w:tcW w:w="12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Asset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&amp; Benefits</w:t>
            </w: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Impairment</w:t>
            </w:r>
          </w:p>
        </w:tc>
        <w:tc>
          <w:tcPr>
            <w:tcW w:w="30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Balance as of October 31, 2003</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$ 844</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76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$ 229</w:t>
            </w:r>
          </w:p>
        </w:tc>
        <w:tc>
          <w:tcPr>
            <w:tcW w:w="4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1,073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Changes in estimates</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(175)</w:t>
            </w: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Other costs</w:t>
            </w:r>
          </w:p>
        </w:tc>
        <w:tc>
          <w:tcPr>
            <w:tcW w:w="3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Utilization</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(282)</w:t>
            </w:r>
          </w:p>
        </w:tc>
        <w:tc>
          <w:tcPr>
            <w:tcW w:w="1000" w:type="dxa"/>
            <w:vAlign w:val="bottom"/>
            <w:gridSpan w:val="3"/>
          </w:tcPr>
          <w:p>
            <w:pPr>
              <w:jc w:val="center"/>
              <w:ind w:left="696"/>
              <w:spacing w:after="0"/>
              <w:rPr>
                <w:sz w:val="20"/>
                <w:szCs w:val="20"/>
                <w:color w:val="auto"/>
              </w:rPr>
            </w:pPr>
            <w:r>
              <w:rPr>
                <w:rFonts w:ascii="Arial" w:cs="Arial" w:eastAsia="Arial" w:hAnsi="Arial"/>
                <w:sz w:val="18"/>
                <w:szCs w:val="18"/>
                <w:color w:val="auto"/>
                <w:w w:val="89"/>
              </w:rPr>
              <w:t>52</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(191)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Balance as of April 30, 2004</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$ 387</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76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$ 179</w:t>
            </w:r>
          </w:p>
        </w:tc>
        <w:tc>
          <w:tcPr>
            <w:tcW w:w="4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8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34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60" w:type="dxa"/>
            <w:vAlign w:val="bottom"/>
            <w:tcBorders>
              <w:top w:val="single" w:sz="8" w:color="808080"/>
              <w:right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40" w:type="dxa"/>
            <w:vAlign w:val="bottom"/>
            <w:tcBorders>
              <w:top w:val="single" w:sz="8" w:color="808080"/>
            </w:tcBorders>
            <w:shd w:val="clear" w:color="auto" w:fill="808080"/>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20" w:type="dxa"/>
            <w:vAlign w:val="bottom"/>
            <w:tcBorders>
              <w:top w:val="single" w:sz="8" w:color="808080"/>
            </w:tcBorders>
            <w:shd w:val="clear" w:color="auto" w:fill="808080"/>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 majority of the remaining accruals to be utilized by the end of fiscal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dilutive weighted average shares of common stock outstanding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4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April 30,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200"/>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Basic</w:t>
            </w: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24,800</w:t>
            </w:r>
          </w:p>
        </w:tc>
        <w:tc>
          <w:tcPr>
            <w:tcW w:w="3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25,006</w:t>
            </w: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24,841</w:t>
            </w:r>
          </w:p>
        </w:tc>
        <w:tc>
          <w:tcPr>
            <w:tcW w:w="3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24,943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Assumed issuance of contingent shares</w:t>
            </w:r>
          </w:p>
        </w:tc>
        <w:tc>
          <w:tcPr>
            <w:tcW w:w="2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common stock and assumed issuance of</w:t>
            </w:r>
          </w:p>
        </w:tc>
        <w:tc>
          <w:tcPr>
            <w:tcW w:w="20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contingent shares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24,800</w:t>
            </w:r>
          </w:p>
        </w:tc>
        <w:tc>
          <w:tcPr>
            <w:tcW w:w="3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25,006</w:t>
            </w:r>
          </w:p>
        </w:tc>
        <w:tc>
          <w:tcPr>
            <w:tcW w:w="3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24,863</w:t>
            </w:r>
          </w:p>
        </w:tc>
        <w:tc>
          <w:tcPr>
            <w:tcW w:w="3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24,964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Dilutive</w:t>
            </w: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 and assumed issuance of</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contingent shares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24,800</w:t>
            </w:r>
          </w:p>
        </w:tc>
        <w:tc>
          <w:tcPr>
            <w:tcW w:w="3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25,006</w:t>
            </w:r>
          </w:p>
        </w:tc>
        <w:tc>
          <w:tcPr>
            <w:tcW w:w="3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24,863</w:t>
            </w:r>
          </w:p>
        </w:tc>
        <w:tc>
          <w:tcPr>
            <w:tcW w:w="3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24,964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Assumed conversion of stock options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1,289</w:t>
            </w:r>
          </w:p>
        </w:tc>
        <w:tc>
          <w:tcPr>
            <w:tcW w:w="3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1,015</w:t>
            </w: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1,252</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common stock, assumed issuance of</w:t>
            </w:r>
          </w:p>
        </w:tc>
        <w:tc>
          <w:tcPr>
            <w:tcW w:w="20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contingent shares, and assumed conversion of stock options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26,089</w:t>
            </w:r>
          </w:p>
        </w:tc>
        <w:tc>
          <w:tcPr>
            <w:tcW w:w="3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26,021</w:t>
            </w:r>
          </w:p>
        </w:tc>
        <w:tc>
          <w:tcPr>
            <w:tcW w:w="3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26,115</w:t>
            </w:r>
          </w:p>
        </w:tc>
        <w:tc>
          <w:tcPr>
            <w:tcW w:w="3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25,910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6460" w:type="dxa"/>
            <w:vAlign w:val="bottom"/>
            <w:gridSpan w:val="2"/>
            <w:vMerge w:val="restart"/>
          </w:tcPr>
          <w:p>
            <w:pPr>
              <w:jc w:val="right"/>
              <w:ind w:right="61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64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02"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3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Professional</w:t>
            </w:r>
          </w:p>
        </w:tc>
        <w:tc>
          <w:tcPr>
            <w:tcW w:w="240" w:type="dxa"/>
            <w:vAlign w:val="bottom"/>
          </w:tcPr>
          <w:p>
            <w:pPr>
              <w:spacing w:after="0"/>
              <w:rPr>
                <w:sz w:val="14"/>
                <w:szCs w:val="14"/>
                <w:color w:val="auto"/>
              </w:rPr>
            </w:pPr>
          </w:p>
        </w:tc>
        <w:tc>
          <w:tcPr>
            <w:tcW w:w="11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Residential</w:t>
            </w:r>
          </w:p>
        </w:tc>
        <w:tc>
          <w:tcPr>
            <w:tcW w:w="240" w:type="dxa"/>
            <w:vAlign w:val="bottom"/>
          </w:tcPr>
          <w:p>
            <w:pPr>
              <w:spacing w:after="0"/>
              <w:rPr>
                <w:sz w:val="14"/>
                <w:szCs w:val="14"/>
                <w:color w:val="auto"/>
              </w:rPr>
            </w:pPr>
          </w:p>
        </w:tc>
        <w:tc>
          <w:tcPr>
            <w:tcW w:w="11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Distribution</w:t>
            </w:r>
          </w:p>
        </w:tc>
        <w:tc>
          <w:tcPr>
            <w:tcW w:w="260" w:type="dxa"/>
            <w:vAlign w:val="bottom"/>
          </w:tcPr>
          <w:p>
            <w:pPr>
              <w:spacing w:after="0"/>
              <w:rPr>
                <w:sz w:val="14"/>
                <w:szCs w:val="14"/>
                <w:color w:val="auto"/>
              </w:rPr>
            </w:pPr>
          </w:p>
        </w:tc>
        <w:tc>
          <w:tcPr>
            <w:tcW w:w="13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1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 2004</w:t>
            </w: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0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$338,524</w:t>
            </w:r>
          </w:p>
        </w:tc>
        <w:tc>
          <w:tcPr>
            <w:tcW w:w="142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$194,838</w:t>
            </w:r>
          </w:p>
        </w:tc>
        <w:tc>
          <w:tcPr>
            <w:tcW w:w="14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$44,880</w:t>
            </w:r>
          </w:p>
        </w:tc>
        <w:tc>
          <w:tcPr>
            <w:tcW w:w="156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$(30,215)</w:t>
            </w:r>
          </w:p>
        </w:tc>
        <w:tc>
          <w:tcPr>
            <w:tcW w:w="142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$548,027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32,061</w:t>
            </w: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3,254</w:t>
            </w:r>
          </w:p>
        </w:tc>
        <w:tc>
          <w:tcPr>
            <w:tcW w:w="240" w:type="dxa"/>
            <w:vAlign w:val="bottom"/>
          </w:tcPr>
          <w:p>
            <w:pPr>
              <w:spacing w:after="0"/>
              <w:rPr>
                <w:sz w:val="18"/>
                <w:szCs w:val="18"/>
                <w:color w:val="auto"/>
              </w:rPr>
            </w:pPr>
          </w:p>
        </w:tc>
        <w:tc>
          <w:tcPr>
            <w:tcW w:w="11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(35,315)</w:t>
            </w:r>
          </w:p>
        </w:tc>
        <w:tc>
          <w:tcPr>
            <w:tcW w:w="240" w:type="dxa"/>
            <w:vAlign w:val="bottom"/>
          </w:tcPr>
          <w:p>
            <w:pPr>
              <w:spacing w:after="0"/>
              <w:rPr>
                <w:sz w:val="18"/>
                <w:szCs w:val="18"/>
                <w:color w:val="auto"/>
              </w:rPr>
            </w:pPr>
          </w:p>
        </w:tc>
        <w:tc>
          <w:tcPr>
            <w:tcW w:w="118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Earnings (loss) before income taxes</w:t>
            </w:r>
          </w:p>
        </w:tc>
        <w:tc>
          <w:tcPr>
            <w:tcW w:w="16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71,704</w:t>
            </w:r>
          </w:p>
        </w:tc>
        <w:tc>
          <w:tcPr>
            <w:tcW w:w="142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26,719</w:t>
            </w:r>
          </w:p>
        </w:tc>
        <w:tc>
          <w:tcPr>
            <w:tcW w:w="14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1,603</w:t>
            </w:r>
          </w:p>
        </w:tc>
        <w:tc>
          <w:tcPr>
            <w:tcW w:w="156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(21,531)</w:t>
            </w:r>
          </w:p>
        </w:tc>
        <w:tc>
          <w:tcPr>
            <w:tcW w:w="142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78,495</w:t>
            </w:r>
          </w:p>
        </w:tc>
        <w:tc>
          <w:tcPr>
            <w:tcW w:w="0" w:type="dxa"/>
            <w:vAlign w:val="bottom"/>
          </w:tcPr>
          <w:p>
            <w:pPr>
              <w:spacing w:after="0"/>
              <w:rPr>
                <w:sz w:val="1"/>
                <w:szCs w:val="1"/>
                <w:color w:val="auto"/>
              </w:rPr>
            </w:pP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May 2, 2003</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$314,116</w:t>
            </w:r>
          </w:p>
        </w:tc>
        <w:tc>
          <w:tcPr>
            <w:tcW w:w="142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$172,469</w:t>
            </w:r>
          </w:p>
        </w:tc>
        <w:tc>
          <w:tcPr>
            <w:tcW w:w="14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$35,348</w:t>
            </w:r>
          </w:p>
        </w:tc>
        <w:tc>
          <w:tcPr>
            <w:tcW w:w="156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$(26,093)</w:t>
            </w:r>
          </w:p>
        </w:tc>
        <w:tc>
          <w:tcPr>
            <w:tcW w:w="142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$495,840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26,898</w:t>
            </w: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3,616</w:t>
            </w:r>
          </w:p>
        </w:tc>
        <w:tc>
          <w:tcPr>
            <w:tcW w:w="240" w:type="dxa"/>
            <w:vAlign w:val="bottom"/>
          </w:tcPr>
          <w:p>
            <w:pPr>
              <w:spacing w:after="0"/>
              <w:rPr>
                <w:sz w:val="18"/>
                <w:szCs w:val="18"/>
                <w:color w:val="auto"/>
              </w:rPr>
            </w:pPr>
          </w:p>
        </w:tc>
        <w:tc>
          <w:tcPr>
            <w:tcW w:w="11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(30,514)</w:t>
            </w:r>
          </w:p>
        </w:tc>
        <w:tc>
          <w:tcPr>
            <w:tcW w:w="240" w:type="dxa"/>
            <w:vAlign w:val="bottom"/>
          </w:tcPr>
          <w:p>
            <w:pPr>
              <w:spacing w:after="0"/>
              <w:rPr>
                <w:sz w:val="18"/>
                <w:szCs w:val="18"/>
                <w:color w:val="auto"/>
              </w:rPr>
            </w:pPr>
          </w:p>
        </w:tc>
        <w:tc>
          <w:tcPr>
            <w:tcW w:w="118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Earnings (loss) before income taxes</w:t>
            </w:r>
          </w:p>
        </w:tc>
        <w:tc>
          <w:tcPr>
            <w:tcW w:w="16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63,424</w:t>
            </w:r>
          </w:p>
        </w:tc>
        <w:tc>
          <w:tcPr>
            <w:tcW w:w="142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24,349</w:t>
            </w:r>
          </w:p>
        </w:tc>
        <w:tc>
          <w:tcPr>
            <w:tcW w:w="14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608</w:t>
            </w:r>
          </w:p>
        </w:tc>
        <w:tc>
          <w:tcPr>
            <w:tcW w:w="156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(25,739)</w:t>
            </w:r>
          </w:p>
        </w:tc>
        <w:tc>
          <w:tcPr>
            <w:tcW w:w="142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62,642</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April 30, 2004</w:t>
            </w:r>
          </w:p>
        </w:tc>
        <w:tc>
          <w:tcPr>
            <w:tcW w:w="240" w:type="dxa"/>
            <w:vAlign w:val="bottom"/>
          </w:tcPr>
          <w:p>
            <w:pPr>
              <w:spacing w:after="0"/>
              <w:rPr>
                <w:sz w:val="16"/>
                <w:szCs w:val="16"/>
                <w:color w:val="auto"/>
              </w:rPr>
            </w:pP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auto"/>
              </w:rPr>
              <w:t>Professional</w:t>
            </w:r>
          </w:p>
        </w:tc>
        <w:tc>
          <w:tcPr>
            <w:tcW w:w="24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rPr>
              <w:t>Residential</w:t>
            </w:r>
          </w:p>
        </w:tc>
        <w:tc>
          <w:tcPr>
            <w:tcW w:w="240" w:type="dxa"/>
            <w:vAlign w:val="bottom"/>
          </w:tcPr>
          <w:p>
            <w:pPr>
              <w:spacing w:after="0"/>
              <w:rPr>
                <w:sz w:val="16"/>
                <w:szCs w:val="16"/>
                <w:color w:val="auto"/>
              </w:rPr>
            </w:pPr>
          </w:p>
        </w:tc>
        <w:tc>
          <w:tcPr>
            <w:tcW w:w="1120" w:type="dxa"/>
            <w:vAlign w:val="bottom"/>
          </w:tcPr>
          <w:p>
            <w:pPr>
              <w:jc w:val="right"/>
              <w:ind w:right="96"/>
              <w:spacing w:after="0"/>
              <w:rPr>
                <w:sz w:val="20"/>
                <w:szCs w:val="20"/>
                <w:color w:val="auto"/>
              </w:rPr>
            </w:pPr>
            <w:r>
              <w:rPr>
                <w:rFonts w:ascii="Arial" w:cs="Arial" w:eastAsia="Arial" w:hAnsi="Arial"/>
                <w:sz w:val="14"/>
                <w:szCs w:val="14"/>
                <w:b w:val="1"/>
                <w:bCs w:val="1"/>
                <w:color w:val="auto"/>
              </w:rPr>
              <w:t>Distribution</w:t>
            </w:r>
          </w:p>
        </w:tc>
        <w:tc>
          <w:tcPr>
            <w:tcW w:w="240" w:type="dxa"/>
            <w:vAlign w:val="bottom"/>
          </w:tcPr>
          <w:p>
            <w:pPr>
              <w:spacing w:after="0"/>
              <w:rPr>
                <w:sz w:val="16"/>
                <w:szCs w:val="16"/>
                <w:color w:val="auto"/>
              </w:rPr>
            </w:pPr>
          </w:p>
        </w:tc>
        <w:tc>
          <w:tcPr>
            <w:tcW w:w="1260" w:type="dxa"/>
            <w:vAlign w:val="bottom"/>
          </w:tcPr>
          <w:p>
            <w:pPr>
              <w:jc w:val="right"/>
              <w:ind w:right="368"/>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$546,202</w:t>
            </w:r>
          </w:p>
        </w:tc>
        <w:tc>
          <w:tcPr>
            <w:tcW w:w="1400" w:type="dxa"/>
            <w:vAlign w:val="bottom"/>
            <w:gridSpan w:val="2"/>
            <w:shd w:val="clear" w:color="auto" w:fill="EEEEEE"/>
          </w:tcPr>
          <w:p>
            <w:pPr>
              <w:jc w:val="right"/>
              <w:ind w:right="228"/>
              <w:spacing w:after="0"/>
              <w:rPr>
                <w:sz w:val="20"/>
                <w:szCs w:val="20"/>
                <w:color w:val="auto"/>
              </w:rPr>
            </w:pPr>
            <w:r>
              <w:rPr>
                <w:rFonts w:ascii="Arial" w:cs="Arial" w:eastAsia="Arial" w:hAnsi="Arial"/>
                <w:sz w:val="18"/>
                <w:szCs w:val="18"/>
                <w:color w:val="auto"/>
              </w:rPr>
              <w:t>$292,725</w:t>
            </w:r>
          </w:p>
        </w:tc>
        <w:tc>
          <w:tcPr>
            <w:tcW w:w="1360" w:type="dxa"/>
            <w:vAlign w:val="bottom"/>
            <w:gridSpan w:val="2"/>
            <w:shd w:val="clear" w:color="auto" w:fill="EEEEEE"/>
          </w:tcPr>
          <w:p>
            <w:pPr>
              <w:jc w:val="right"/>
              <w:ind w:right="296"/>
              <w:spacing w:after="0"/>
              <w:rPr>
                <w:sz w:val="20"/>
                <w:szCs w:val="20"/>
                <w:color w:val="auto"/>
              </w:rPr>
            </w:pPr>
            <w:r>
              <w:rPr>
                <w:rFonts w:ascii="Arial" w:cs="Arial" w:eastAsia="Arial" w:hAnsi="Arial"/>
                <w:sz w:val="18"/>
                <w:szCs w:val="18"/>
                <w:color w:val="auto"/>
              </w:rPr>
              <w:t>$64,533</w:t>
            </w:r>
          </w:p>
        </w:tc>
        <w:tc>
          <w:tcPr>
            <w:tcW w:w="1500" w:type="dxa"/>
            <w:vAlign w:val="bottom"/>
            <w:gridSpan w:val="2"/>
            <w:shd w:val="clear" w:color="auto" w:fill="EEEEEE"/>
          </w:tcPr>
          <w:p>
            <w:pPr>
              <w:jc w:val="right"/>
              <w:ind w:right="208"/>
              <w:spacing w:after="0"/>
              <w:rPr>
                <w:sz w:val="20"/>
                <w:szCs w:val="20"/>
                <w:color w:val="auto"/>
              </w:rPr>
            </w:pPr>
            <w:r>
              <w:rPr>
                <w:rFonts w:ascii="Arial" w:cs="Arial" w:eastAsia="Arial" w:hAnsi="Arial"/>
                <w:sz w:val="18"/>
                <w:szCs w:val="18"/>
                <w:color w:val="auto"/>
              </w:rPr>
              <w:t>$ (41,860)</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861,600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45,995</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color w:val="auto"/>
              </w:rPr>
              <w:t>4,085</w:t>
            </w:r>
          </w:p>
        </w:tc>
        <w:tc>
          <w:tcPr>
            <w:tcW w:w="240" w:type="dxa"/>
            <w:vAlign w:val="bottom"/>
          </w:tcPr>
          <w:p>
            <w:pPr>
              <w:spacing w:after="0"/>
              <w:rPr>
                <w:sz w:val="18"/>
                <w:szCs w:val="18"/>
                <w:color w:val="auto"/>
              </w:rPr>
            </w:pPr>
          </w:p>
        </w:tc>
        <w:tc>
          <w:tcPr>
            <w:tcW w:w="112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8"/>
              <w:spacing w:after="0"/>
              <w:rPr>
                <w:sz w:val="20"/>
                <w:szCs w:val="20"/>
                <w:color w:val="auto"/>
              </w:rPr>
            </w:pPr>
            <w:r>
              <w:rPr>
                <w:rFonts w:ascii="Arial" w:cs="Arial" w:eastAsia="Arial" w:hAnsi="Arial"/>
                <w:sz w:val="18"/>
                <w:szCs w:val="18"/>
                <w:color w:val="auto"/>
              </w:rPr>
              <w:t>(50,080)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Earnings (loss) before income taxes</w:t>
            </w:r>
          </w:p>
        </w:tc>
        <w:tc>
          <w:tcPr>
            <w:tcW w:w="16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100,153</w:t>
            </w:r>
          </w:p>
        </w:tc>
        <w:tc>
          <w:tcPr>
            <w:tcW w:w="1400" w:type="dxa"/>
            <w:vAlign w:val="bottom"/>
            <w:gridSpan w:val="2"/>
            <w:shd w:val="clear" w:color="auto" w:fill="EEEEEE"/>
          </w:tcPr>
          <w:p>
            <w:pPr>
              <w:jc w:val="right"/>
              <w:ind w:right="228"/>
              <w:spacing w:after="0"/>
              <w:rPr>
                <w:sz w:val="20"/>
                <w:szCs w:val="20"/>
                <w:color w:val="auto"/>
              </w:rPr>
            </w:pPr>
            <w:r>
              <w:rPr>
                <w:rFonts w:ascii="Arial" w:cs="Arial" w:eastAsia="Arial" w:hAnsi="Arial"/>
                <w:sz w:val="18"/>
                <w:szCs w:val="18"/>
                <w:color w:val="auto"/>
              </w:rPr>
              <w:t>35,056</w:t>
            </w:r>
          </w:p>
        </w:tc>
        <w:tc>
          <w:tcPr>
            <w:tcW w:w="136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(570)</w:t>
            </w:r>
          </w:p>
        </w:tc>
        <w:tc>
          <w:tcPr>
            <w:tcW w:w="1500" w:type="dxa"/>
            <w:vAlign w:val="bottom"/>
            <w:gridSpan w:val="2"/>
            <w:shd w:val="clear" w:color="auto" w:fill="EEEEEE"/>
          </w:tcPr>
          <w:p>
            <w:pPr>
              <w:jc w:val="right"/>
              <w:ind w:right="208"/>
              <w:spacing w:after="0"/>
              <w:rPr>
                <w:sz w:val="20"/>
                <w:szCs w:val="20"/>
                <w:color w:val="auto"/>
              </w:rPr>
            </w:pPr>
            <w:r>
              <w:rPr>
                <w:rFonts w:ascii="Arial" w:cs="Arial" w:eastAsia="Arial" w:hAnsi="Arial"/>
                <w:sz w:val="18"/>
                <w:szCs w:val="18"/>
                <w:color w:val="auto"/>
              </w:rPr>
              <w:t>(42,122)</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92,517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489,946</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color w:val="auto"/>
              </w:rPr>
              <w:t>249,088</w:t>
            </w:r>
          </w:p>
        </w:tc>
        <w:tc>
          <w:tcPr>
            <w:tcW w:w="1360" w:type="dxa"/>
            <w:vAlign w:val="bottom"/>
            <w:gridSpan w:val="2"/>
          </w:tcPr>
          <w:p>
            <w:pPr>
              <w:jc w:val="right"/>
              <w:ind w:right="296"/>
              <w:spacing w:after="0"/>
              <w:rPr>
                <w:sz w:val="20"/>
                <w:szCs w:val="20"/>
                <w:color w:val="auto"/>
              </w:rPr>
            </w:pPr>
            <w:r>
              <w:rPr>
                <w:rFonts w:ascii="Arial" w:cs="Arial" w:eastAsia="Arial" w:hAnsi="Arial"/>
                <w:sz w:val="18"/>
                <w:szCs w:val="18"/>
                <w:color w:val="auto"/>
              </w:rPr>
              <w:t>60,250</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277,379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color w:val="auto"/>
                <w:w w:val="87"/>
              </w:rPr>
              <w:t>1,076,663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Six months ended May 2, 2003</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$507,560</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color w:val="auto"/>
              </w:rPr>
              <w:t>$267,134</w:t>
            </w:r>
          </w:p>
        </w:tc>
        <w:tc>
          <w:tcPr>
            <w:tcW w:w="1360" w:type="dxa"/>
            <w:vAlign w:val="bottom"/>
            <w:gridSpan w:val="2"/>
          </w:tcPr>
          <w:p>
            <w:pPr>
              <w:jc w:val="right"/>
              <w:ind w:right="296"/>
              <w:spacing w:after="0"/>
              <w:rPr>
                <w:sz w:val="20"/>
                <w:szCs w:val="20"/>
                <w:color w:val="auto"/>
              </w:rPr>
            </w:pPr>
            <w:r>
              <w:rPr>
                <w:rFonts w:ascii="Arial" w:cs="Arial" w:eastAsia="Arial" w:hAnsi="Arial"/>
                <w:sz w:val="18"/>
                <w:szCs w:val="18"/>
                <w:color w:val="auto"/>
              </w:rPr>
              <w:t>$53,948</w:t>
            </w:r>
          </w:p>
        </w:tc>
        <w:tc>
          <w:tcPr>
            <w:tcW w:w="1500" w:type="dxa"/>
            <w:vAlign w:val="bottom"/>
            <w:gridSpan w:val="2"/>
          </w:tcPr>
          <w:p>
            <w:pPr>
              <w:jc w:val="right"/>
              <w:ind w:right="208"/>
              <w:spacing w:after="0"/>
              <w:rPr>
                <w:sz w:val="20"/>
                <w:szCs w:val="20"/>
                <w:color w:val="auto"/>
              </w:rPr>
            </w:pPr>
            <w:r>
              <w:rPr>
                <w:rFonts w:ascii="Arial" w:cs="Arial" w:eastAsia="Arial" w:hAnsi="Arial"/>
                <w:sz w:val="18"/>
                <w:szCs w:val="18"/>
                <w:color w:val="auto"/>
              </w:rPr>
              <w:t>$ (36,840)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791,802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Intersegment gross sales</w:t>
            </w:r>
          </w:p>
        </w:tc>
        <w:tc>
          <w:tcPr>
            <w:tcW w:w="16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38,942</w:t>
            </w:r>
          </w:p>
        </w:tc>
        <w:tc>
          <w:tcPr>
            <w:tcW w:w="1400" w:type="dxa"/>
            <w:vAlign w:val="bottom"/>
            <w:gridSpan w:val="2"/>
            <w:shd w:val="clear" w:color="auto" w:fill="EEEEEE"/>
          </w:tcPr>
          <w:p>
            <w:pPr>
              <w:jc w:val="right"/>
              <w:ind w:right="228"/>
              <w:spacing w:after="0"/>
              <w:rPr>
                <w:sz w:val="20"/>
                <w:szCs w:val="20"/>
                <w:color w:val="auto"/>
              </w:rPr>
            </w:pPr>
            <w:r>
              <w:rPr>
                <w:rFonts w:ascii="Arial" w:cs="Arial" w:eastAsia="Arial" w:hAnsi="Arial"/>
                <w:sz w:val="18"/>
                <w:szCs w:val="18"/>
                <w:color w:val="auto"/>
              </w:rPr>
              <w:t>4,459</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8"/>
              <w:spacing w:after="0"/>
              <w:rPr>
                <w:sz w:val="20"/>
                <w:szCs w:val="20"/>
                <w:color w:val="auto"/>
              </w:rPr>
            </w:pPr>
            <w:r>
              <w:rPr>
                <w:rFonts w:ascii="Arial" w:cs="Arial" w:eastAsia="Arial" w:hAnsi="Arial"/>
                <w:sz w:val="18"/>
                <w:szCs w:val="18"/>
                <w:color w:val="auto"/>
              </w:rPr>
              <w:t>(43,401)</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91,180</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color w:val="auto"/>
              </w:rPr>
              <w:t>33,010</w:t>
            </w:r>
          </w:p>
        </w:tc>
        <w:tc>
          <w:tcPr>
            <w:tcW w:w="1360" w:type="dxa"/>
            <w:vAlign w:val="bottom"/>
            <w:gridSpan w:val="2"/>
          </w:tcPr>
          <w:p>
            <w:pPr>
              <w:jc w:val="right"/>
              <w:ind w:right="236"/>
              <w:spacing w:after="0"/>
              <w:rPr>
                <w:sz w:val="20"/>
                <w:szCs w:val="20"/>
                <w:color w:val="auto"/>
              </w:rPr>
            </w:pPr>
            <w:r>
              <w:rPr>
                <w:rFonts w:ascii="Arial" w:cs="Arial" w:eastAsia="Arial" w:hAnsi="Arial"/>
                <w:sz w:val="18"/>
                <w:szCs w:val="18"/>
                <w:color w:val="auto"/>
              </w:rPr>
              <w:t>(2,750)</w:t>
            </w:r>
          </w:p>
        </w:tc>
        <w:tc>
          <w:tcPr>
            <w:tcW w:w="1500" w:type="dxa"/>
            <w:vAlign w:val="bottom"/>
            <w:gridSpan w:val="2"/>
          </w:tcPr>
          <w:p>
            <w:pPr>
              <w:jc w:val="right"/>
              <w:ind w:right="208"/>
              <w:spacing w:after="0"/>
              <w:rPr>
                <w:sz w:val="20"/>
                <w:szCs w:val="20"/>
                <w:color w:val="auto"/>
              </w:rPr>
            </w:pPr>
            <w:r>
              <w:rPr>
                <w:rFonts w:ascii="Arial" w:cs="Arial" w:eastAsia="Arial" w:hAnsi="Arial"/>
                <w:sz w:val="18"/>
                <w:szCs w:val="18"/>
                <w:color w:val="auto"/>
              </w:rPr>
              <w:t>(48,378)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73,062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489,959</w:t>
            </w:r>
          </w:p>
        </w:tc>
        <w:tc>
          <w:tcPr>
            <w:tcW w:w="1400" w:type="dxa"/>
            <w:vAlign w:val="bottom"/>
            <w:gridSpan w:val="2"/>
            <w:shd w:val="clear" w:color="auto" w:fill="EEEEEE"/>
          </w:tcPr>
          <w:p>
            <w:pPr>
              <w:jc w:val="right"/>
              <w:ind w:right="228"/>
              <w:spacing w:after="0"/>
              <w:rPr>
                <w:sz w:val="20"/>
                <w:szCs w:val="20"/>
                <w:color w:val="auto"/>
              </w:rPr>
            </w:pPr>
            <w:r>
              <w:rPr>
                <w:rFonts w:ascii="Arial" w:cs="Arial" w:eastAsia="Arial" w:hAnsi="Arial"/>
                <w:sz w:val="18"/>
                <w:szCs w:val="18"/>
                <w:color w:val="auto"/>
              </w:rPr>
              <w:t>241,795</w:t>
            </w:r>
          </w:p>
        </w:tc>
        <w:tc>
          <w:tcPr>
            <w:tcW w:w="1360" w:type="dxa"/>
            <w:vAlign w:val="bottom"/>
            <w:gridSpan w:val="2"/>
            <w:shd w:val="clear" w:color="auto" w:fill="EEEEEE"/>
          </w:tcPr>
          <w:p>
            <w:pPr>
              <w:jc w:val="right"/>
              <w:ind w:right="296"/>
              <w:spacing w:after="0"/>
              <w:rPr>
                <w:sz w:val="20"/>
                <w:szCs w:val="20"/>
                <w:color w:val="auto"/>
              </w:rPr>
            </w:pPr>
            <w:r>
              <w:rPr>
                <w:rFonts w:ascii="Arial" w:cs="Arial" w:eastAsia="Arial" w:hAnsi="Arial"/>
                <w:sz w:val="18"/>
                <w:szCs w:val="18"/>
                <w:color w:val="auto"/>
              </w:rPr>
              <w:t>62,195</w:t>
            </w:r>
          </w:p>
        </w:tc>
        <w:tc>
          <w:tcPr>
            <w:tcW w:w="150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260,270</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w w:val="87"/>
              </w:rPr>
              <w:t>1,054,219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earnings (loss) before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April 30,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200"/>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7"/>
                <w:szCs w:val="17"/>
                <w:color w:val="auto"/>
              </w:rPr>
            </w:pPr>
          </w:p>
        </w:tc>
        <w:tc>
          <w:tcPr>
            <w:tcW w:w="12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7"/>
                <w:szCs w:val="17"/>
                <w:color w:val="auto"/>
              </w:rPr>
            </w:pPr>
          </w:p>
        </w:tc>
        <w:tc>
          <w:tcPr>
            <w:tcW w:w="12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7"/>
                <w:szCs w:val="17"/>
                <w:color w:val="auto"/>
              </w:rPr>
            </w:pPr>
          </w:p>
        </w:tc>
        <w:tc>
          <w:tcPr>
            <w:tcW w:w="12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Corporate expenses</w:t>
            </w:r>
          </w:p>
        </w:tc>
        <w:tc>
          <w:tcPr>
            <w:tcW w:w="13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$(25,040)</w:t>
            </w:r>
          </w:p>
        </w:tc>
        <w:tc>
          <w:tcPr>
            <w:tcW w:w="160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$(25,430)</w:t>
            </w:r>
          </w:p>
        </w:tc>
        <w:tc>
          <w:tcPr>
            <w:tcW w:w="16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$(45,516)</w:t>
            </w:r>
          </w:p>
        </w:tc>
        <w:tc>
          <w:tcPr>
            <w:tcW w:w="160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$(49,675)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Finance charge 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1,017</w:t>
            </w:r>
          </w:p>
        </w:tc>
        <w:tc>
          <w:tcPr>
            <w:tcW w:w="3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1,711</w:t>
            </w: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1,864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Elimination of corporate financing expense</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4,912</w:t>
            </w:r>
          </w:p>
        </w:tc>
        <w:tc>
          <w:tcPr>
            <w:tcW w:w="3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4,562</w:t>
            </w:r>
          </w:p>
        </w:tc>
        <w:tc>
          <w:tcPr>
            <w:tcW w:w="38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7,441</w:t>
            </w:r>
          </w:p>
        </w:tc>
        <w:tc>
          <w:tcPr>
            <w:tcW w:w="3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6,894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(3,702)</w:t>
            </w: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(4,320)</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(7,584)</w:t>
            </w: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1,052</w:t>
            </w:r>
          </w:p>
        </w:tc>
        <w:tc>
          <w:tcPr>
            <w:tcW w:w="3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(1,568)</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1,826</w:t>
            </w:r>
          </w:p>
        </w:tc>
        <w:tc>
          <w:tcPr>
            <w:tcW w:w="3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$(21,531)</w:t>
            </w: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$(25,739)</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$(42,122)</w:t>
            </w: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$(48,378)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six months of fiscal 2004 were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Professional</w:t>
            </w:r>
          </w:p>
        </w:tc>
        <w:tc>
          <w:tcPr>
            <w:tcW w:w="5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Residential</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52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300" w:type="dxa"/>
            <w:vAlign w:val="bottom"/>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Balance as of October 31, 2003</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$68,985</w:t>
            </w:r>
          </w:p>
        </w:tc>
        <w:tc>
          <w:tcPr>
            <w:tcW w:w="56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$9,028</w:t>
            </w:r>
          </w:p>
        </w:tc>
        <w:tc>
          <w:tcPr>
            <w:tcW w:w="4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$78,013</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Translation adjustment</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Balance as of April 30, 2004</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$68,989</w:t>
            </w:r>
          </w:p>
        </w:tc>
        <w:tc>
          <w:tcPr>
            <w:tcW w:w="560" w:type="dxa"/>
            <w:vAlign w:val="bottom"/>
            <w:tcBorders>
              <w:left w:val="single" w:sz="8" w:color="EEEEEE"/>
            </w:tcBorders>
            <w:shd w:val="clear" w:color="auto" w:fill="EEEEEE"/>
          </w:tcPr>
          <w:p>
            <w:pPr>
              <w:spacing w:after="0"/>
              <w:rPr>
                <w:sz w:val="19"/>
                <w:szCs w:val="19"/>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$9,039</w:t>
            </w:r>
          </w:p>
        </w:tc>
        <w:tc>
          <w:tcPr>
            <w:tcW w:w="420" w:type="dxa"/>
            <w:vAlign w:val="bottom"/>
            <w:shd w:val="clear" w:color="auto" w:fill="EEEEEE"/>
          </w:tcPr>
          <w:p>
            <w:pPr>
              <w:spacing w:after="0"/>
              <w:rPr>
                <w:sz w:val="19"/>
                <w:szCs w:val="19"/>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$78,028</w:t>
            </w:r>
          </w:p>
        </w:tc>
        <w:tc>
          <w:tcPr>
            <w:tcW w:w="52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60" w:type="dxa"/>
            <w:vAlign w:val="bottom"/>
            <w:tcBorders>
              <w:left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April 30, 2004</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October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7"/>
                <w:szCs w:val="17"/>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280" w:type="dxa"/>
            <w:vAlign w:val="bottom"/>
          </w:tcPr>
          <w:p>
            <w:pPr>
              <w:spacing w:after="0"/>
              <w:rPr>
                <w:sz w:val="17"/>
                <w:szCs w:val="17"/>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7"/>
                <w:szCs w:val="17"/>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7"/>
                <w:szCs w:val="17"/>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80" w:type="dxa"/>
            <w:vAlign w:val="bottom"/>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Patents</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$6,553</w:t>
            </w:r>
          </w:p>
        </w:tc>
        <w:tc>
          <w:tcPr>
            <w:tcW w:w="420" w:type="dxa"/>
            <w:vAlign w:val="bottom"/>
            <w:tcBorders>
              <w:left w:val="single" w:sz="8" w:color="EEEEEE"/>
            </w:tcBorders>
            <w:shd w:val="clear" w:color="auto" w:fill="EEEEEE"/>
          </w:tcPr>
          <w:p>
            <w:pPr>
              <w:spacing w:after="0"/>
              <w:rPr>
                <w:sz w:val="18"/>
                <w:szCs w:val="18"/>
                <w:color w:val="auto"/>
              </w:rPr>
            </w:pPr>
          </w:p>
        </w:tc>
        <w:tc>
          <w:tcPr>
            <w:tcW w:w="180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rPr>
              <w:t>$(5,103)</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$6,553</w:t>
            </w:r>
          </w:p>
        </w:tc>
        <w:tc>
          <w:tcPr>
            <w:tcW w:w="42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Non-compete agreements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800" w:type="dxa"/>
            <w:vAlign w:val="bottom"/>
            <w:gridSpan w:val="4"/>
          </w:tcPr>
          <w:p>
            <w:pPr>
              <w:jc w:val="right"/>
              <w:ind w:right="480"/>
              <w:spacing w:after="0"/>
              <w:rPr>
                <w:sz w:val="20"/>
                <w:szCs w:val="20"/>
                <w:color w:val="auto"/>
              </w:rPr>
            </w:pPr>
            <w:r>
              <w:rPr>
                <w:rFonts w:ascii="Arial" w:cs="Arial" w:eastAsia="Arial" w:hAnsi="Arial"/>
                <w:sz w:val="18"/>
                <w:szCs w:val="18"/>
                <w:color w:val="auto"/>
              </w:rPr>
              <w:t>(670)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1,700</w:t>
            </w:r>
          </w:p>
        </w:tc>
        <w:tc>
          <w:tcPr>
            <w:tcW w:w="420" w:type="dxa"/>
            <w:vAlign w:val="bottom"/>
            <w:tcBorders>
              <w:lef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spacing w:after="0"/>
              <w:rPr>
                <w:sz w:val="18"/>
                <w:szCs w:val="18"/>
                <w:color w:val="auto"/>
              </w:rPr>
            </w:pPr>
          </w:p>
        </w:tc>
        <w:tc>
          <w:tcPr>
            <w:tcW w:w="10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(965)</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1,700</w:t>
            </w:r>
          </w:p>
        </w:tc>
        <w:tc>
          <w:tcPr>
            <w:tcW w:w="42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$9,253</w:t>
            </w:r>
          </w:p>
        </w:tc>
        <w:tc>
          <w:tcPr>
            <w:tcW w:w="420" w:type="dxa"/>
            <w:vAlign w:val="bottom"/>
          </w:tcPr>
          <w:p>
            <w:pPr>
              <w:spacing w:after="0"/>
              <w:rPr>
                <w:sz w:val="20"/>
                <w:szCs w:val="20"/>
                <w:color w:val="auto"/>
              </w:rPr>
            </w:pPr>
          </w:p>
        </w:tc>
        <w:tc>
          <w:tcPr>
            <w:tcW w:w="1800" w:type="dxa"/>
            <w:vAlign w:val="bottom"/>
            <w:gridSpan w:val="4"/>
          </w:tcPr>
          <w:p>
            <w:pPr>
              <w:jc w:val="right"/>
              <w:ind w:right="480"/>
              <w:spacing w:after="0"/>
              <w:rPr>
                <w:sz w:val="20"/>
                <w:szCs w:val="20"/>
                <w:color w:val="auto"/>
              </w:rPr>
            </w:pPr>
            <w:r>
              <w:rPr>
                <w:rFonts w:ascii="Arial" w:cs="Arial" w:eastAsia="Arial" w:hAnsi="Arial"/>
                <w:sz w:val="18"/>
                <w:szCs w:val="18"/>
                <w:color w:val="auto"/>
              </w:rPr>
              <w:t>$(6,738)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$9,253</w:t>
            </w:r>
          </w:p>
        </w:tc>
        <w:tc>
          <w:tcPr>
            <w:tcW w:w="420" w:type="dxa"/>
            <w:vAlign w:val="bottom"/>
          </w:tcPr>
          <w:p>
            <w:pPr>
              <w:spacing w:after="0"/>
              <w:rPr>
                <w:sz w:val="20"/>
                <w:szCs w:val="20"/>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Total other intangible assets, net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$2,515</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$2,854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08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left w:val="single" w:sz="8" w:color="808080"/>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Amortization expense for intangible assets during the first six months of fiscal 2004 was $339,000. Estimated amortization expense for the remainder of fiscal 2004 and succeeding fiscal years is as follows: 2004 (remainder), $309,000; 2005, $628,000; 2006, $601,000; 2007, $407,000; 2008, $281,000; 2009, $121,000 and after 2009, $168,000.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products are warranted to the end-user to ensure end-user confidence in design, workmanship, and overall quality. Warranty lengths vary by product line, ranging from a period of six months to seven years, and coverage includes parts, labor, and other expenses for non-maintenance repairs provided operator abuse, improper use, or negligence did not necessitate the repair. An authorized distributor or dealer must perform warranty work and submit claims for warranty reimbursement, which the company pays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factors. Special warranty reserves are also accrued for major rework campaigns. The company also sells additional warranty coverage on select products when the factory warranty period expires.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six-month periods ended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Beginning</w:t>
            </w:r>
          </w:p>
        </w:tc>
        <w:tc>
          <w:tcPr>
            <w:tcW w:w="46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Warranty</w:t>
            </w:r>
          </w:p>
        </w:tc>
        <w:tc>
          <w:tcPr>
            <w:tcW w:w="460" w:type="dxa"/>
            <w:vAlign w:val="bottom"/>
          </w:tcPr>
          <w:p>
            <w:pPr>
              <w:spacing w:after="0"/>
              <w:rPr>
                <w:sz w:val="14"/>
                <w:szCs w:val="14"/>
                <w:color w:val="auto"/>
              </w:rPr>
            </w:pPr>
          </w:p>
        </w:tc>
        <w:tc>
          <w:tcPr>
            <w:tcW w:w="1740" w:type="dxa"/>
            <w:vAlign w:val="bottom"/>
          </w:tcPr>
          <w:p>
            <w:pPr>
              <w:jc w:val="right"/>
              <w:ind w:right="488"/>
              <w:spacing w:after="0"/>
              <w:rPr>
                <w:sz w:val="20"/>
                <w:szCs w:val="20"/>
                <w:color w:val="auto"/>
              </w:rPr>
            </w:pPr>
            <w:r>
              <w:rPr>
                <w:rFonts w:ascii="Arial" w:cs="Arial" w:eastAsia="Arial" w:hAnsi="Arial"/>
                <w:sz w:val="14"/>
                <w:szCs w:val="14"/>
                <w:b w:val="1"/>
                <w:bCs w:val="1"/>
                <w:color w:val="auto"/>
              </w:rPr>
              <w:t>Warranty</w:t>
            </w: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Changes in</w:t>
            </w:r>
          </w:p>
        </w:tc>
        <w:tc>
          <w:tcPr>
            <w:tcW w:w="460" w:type="dxa"/>
            <w:vAlign w:val="bottom"/>
          </w:tcPr>
          <w:p>
            <w:pPr>
              <w:spacing w:after="0"/>
              <w:rPr>
                <w:sz w:val="14"/>
                <w:szCs w:val="14"/>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6"/>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6"/>
                <w:szCs w:val="16"/>
                <w:color w:val="auto"/>
              </w:rPr>
            </w:pP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Balance</w:t>
            </w:r>
          </w:p>
        </w:tc>
        <w:tc>
          <w:tcPr>
            <w:tcW w:w="460" w:type="dxa"/>
            <w:vAlign w:val="bottom"/>
          </w:tcPr>
          <w:p>
            <w:pPr>
              <w:spacing w:after="0"/>
              <w:rPr>
                <w:sz w:val="16"/>
                <w:szCs w:val="16"/>
                <w:color w:val="auto"/>
              </w:rPr>
            </w:pPr>
          </w:p>
        </w:tc>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Provisions</w:t>
            </w:r>
          </w:p>
        </w:tc>
        <w:tc>
          <w:tcPr>
            <w:tcW w:w="460" w:type="dxa"/>
            <w:vAlign w:val="bottom"/>
          </w:tcPr>
          <w:p>
            <w:pPr>
              <w:spacing w:after="0"/>
              <w:rPr>
                <w:sz w:val="16"/>
                <w:szCs w:val="16"/>
                <w:color w:val="auto"/>
              </w:rPr>
            </w:pPr>
          </w:p>
        </w:tc>
        <w:tc>
          <w:tcPr>
            <w:tcW w:w="1740" w:type="dxa"/>
            <w:vAlign w:val="bottom"/>
          </w:tcPr>
          <w:p>
            <w:pPr>
              <w:jc w:val="right"/>
              <w:ind w:right="568"/>
              <w:spacing w:after="0"/>
              <w:rPr>
                <w:sz w:val="20"/>
                <w:szCs w:val="20"/>
                <w:color w:val="auto"/>
              </w:rPr>
            </w:pPr>
            <w:r>
              <w:rPr>
                <w:rFonts w:ascii="Arial" w:cs="Arial" w:eastAsia="Arial" w:hAnsi="Arial"/>
                <w:sz w:val="14"/>
                <w:szCs w:val="14"/>
                <w:b w:val="1"/>
                <w:bCs w:val="1"/>
                <w:color w:val="auto"/>
              </w:rPr>
              <w:t>Claims</w:t>
            </w:r>
          </w:p>
        </w:tc>
        <w:tc>
          <w:tcPr>
            <w:tcW w:w="4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Estimates</w:t>
            </w:r>
          </w:p>
        </w:tc>
        <w:tc>
          <w:tcPr>
            <w:tcW w:w="460" w:type="dxa"/>
            <w:vAlign w:val="bottom"/>
          </w:tcPr>
          <w:p>
            <w:pPr>
              <w:spacing w:after="0"/>
              <w:rPr>
                <w:sz w:val="16"/>
                <w:szCs w:val="16"/>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64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April 30, 2004</w:t>
            </w:r>
          </w:p>
        </w:tc>
        <w:tc>
          <w:tcPr>
            <w:tcW w:w="166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$59,372</w:t>
            </w:r>
          </w:p>
        </w:tc>
        <w:tc>
          <w:tcPr>
            <w:tcW w:w="1680" w:type="dxa"/>
            <w:vAlign w:val="bottom"/>
            <w:gridSpan w:val="2"/>
            <w:shd w:val="clear" w:color="auto" w:fill="EEEEEE"/>
          </w:tcPr>
          <w:p>
            <w:pPr>
              <w:ind w:left="740"/>
              <w:spacing w:after="0"/>
              <w:rPr>
                <w:sz w:val="20"/>
                <w:szCs w:val="20"/>
                <w:color w:val="auto"/>
              </w:rPr>
            </w:pPr>
            <w:r>
              <w:rPr>
                <w:rFonts w:ascii="Arial" w:cs="Arial" w:eastAsia="Arial" w:hAnsi="Arial"/>
                <w:sz w:val="18"/>
                <w:szCs w:val="18"/>
                <w:color w:val="auto"/>
              </w:rPr>
              <w:t>$21,041</w:t>
            </w:r>
          </w:p>
        </w:tc>
        <w:tc>
          <w:tcPr>
            <w:tcW w:w="2200" w:type="dxa"/>
            <w:vAlign w:val="bottom"/>
            <w:gridSpan w:val="2"/>
            <w:shd w:val="clear" w:color="auto" w:fill="EEEEEE"/>
          </w:tcPr>
          <w:p>
            <w:pPr>
              <w:jc w:val="right"/>
              <w:ind w:right="488"/>
              <w:spacing w:after="0"/>
              <w:rPr>
                <w:sz w:val="20"/>
                <w:szCs w:val="20"/>
                <w:color w:val="auto"/>
              </w:rPr>
            </w:pPr>
            <w:r>
              <w:rPr>
                <w:rFonts w:ascii="Arial" w:cs="Arial" w:eastAsia="Arial" w:hAnsi="Arial"/>
                <w:sz w:val="18"/>
                <w:szCs w:val="18"/>
                <w:color w:val="auto"/>
              </w:rPr>
              <w:t>$(15,553)</w:t>
            </w:r>
          </w:p>
        </w:tc>
        <w:tc>
          <w:tcPr>
            <w:tcW w:w="152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$1,078</w:t>
            </w:r>
          </w:p>
        </w:tc>
        <w:tc>
          <w:tcPr>
            <w:tcW w:w="170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$65,938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May 2, 2003</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$53,590</w:t>
            </w:r>
          </w:p>
        </w:tc>
        <w:tc>
          <w:tcPr>
            <w:tcW w:w="1680" w:type="dxa"/>
            <w:vAlign w:val="bottom"/>
            <w:gridSpan w:val="2"/>
          </w:tcPr>
          <w:p>
            <w:pPr>
              <w:ind w:left="740"/>
              <w:spacing w:after="0"/>
              <w:rPr>
                <w:sz w:val="20"/>
                <w:szCs w:val="20"/>
                <w:color w:val="auto"/>
              </w:rPr>
            </w:pPr>
            <w:r>
              <w:rPr>
                <w:rFonts w:ascii="Arial" w:cs="Arial" w:eastAsia="Arial" w:hAnsi="Arial"/>
                <w:sz w:val="18"/>
                <w:szCs w:val="18"/>
                <w:color w:val="auto"/>
              </w:rPr>
              <w:t>$22,110</w:t>
            </w:r>
          </w:p>
        </w:tc>
        <w:tc>
          <w:tcPr>
            <w:tcW w:w="2200" w:type="dxa"/>
            <w:vAlign w:val="bottom"/>
            <w:gridSpan w:val="2"/>
          </w:tcPr>
          <w:p>
            <w:pPr>
              <w:jc w:val="right"/>
              <w:ind w:right="488"/>
              <w:spacing w:after="0"/>
              <w:rPr>
                <w:sz w:val="20"/>
                <w:szCs w:val="20"/>
                <w:color w:val="auto"/>
              </w:rPr>
            </w:pPr>
            <w:r>
              <w:rPr>
                <w:rFonts w:ascii="Arial" w:cs="Arial" w:eastAsia="Arial" w:hAnsi="Arial"/>
                <w:sz w:val="18"/>
                <w:szCs w:val="18"/>
                <w:color w:val="auto"/>
              </w:rPr>
              <w:t>$(16,822)</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 (144)</w:t>
            </w:r>
          </w:p>
        </w:tc>
        <w:tc>
          <w:tcPr>
            <w:tcW w:w="1700" w:type="dxa"/>
            <w:vAlign w:val="bottom"/>
            <w:gridSpan w:val="2"/>
          </w:tcPr>
          <w:p>
            <w:pPr>
              <w:jc w:val="right"/>
              <w:ind w:right="288"/>
              <w:spacing w:after="0"/>
              <w:rPr>
                <w:sz w:val="20"/>
                <w:szCs w:val="20"/>
                <w:color w:val="auto"/>
              </w:rPr>
            </w:pPr>
            <w:r>
              <w:rPr>
                <w:rFonts w:ascii="Arial" w:cs="Arial" w:eastAsia="Arial" w:hAnsi="Arial"/>
                <w:sz w:val="18"/>
                <w:szCs w:val="18"/>
                <w:color w:val="auto"/>
              </w:rPr>
              <w:t>$58,734</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gridSpan w:val="2"/>
          </w:tcPr>
          <w:p>
            <w:pPr>
              <w:jc w:val="right"/>
              <w:ind w:right="128"/>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period benefit costs: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Six Months Ended</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April 30,</w:t>
            </w:r>
          </w:p>
        </w:tc>
        <w:tc>
          <w:tcPr>
            <w:tcW w:w="520" w:type="dxa"/>
            <w:vAlign w:val="bottom"/>
          </w:tcPr>
          <w:p>
            <w:pPr>
              <w:spacing w:after="0"/>
              <w:rPr>
                <w:sz w:val="17"/>
                <w:szCs w:val="17"/>
                <w:color w:val="auto"/>
              </w:rPr>
            </w:pP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rPr>
              <w:t>May 2,</w:t>
            </w:r>
          </w:p>
        </w:tc>
        <w:tc>
          <w:tcPr>
            <w:tcW w:w="520" w:type="dxa"/>
            <w:vAlign w:val="bottom"/>
          </w:tcPr>
          <w:p>
            <w:pPr>
              <w:spacing w:after="0"/>
              <w:rPr>
                <w:sz w:val="17"/>
                <w:szCs w:val="17"/>
                <w:color w:val="auto"/>
              </w:rPr>
            </w:pPr>
          </w:p>
        </w:tc>
        <w:tc>
          <w:tcPr>
            <w:tcW w:w="2000" w:type="dxa"/>
            <w:vAlign w:val="bottom"/>
            <w:gridSpan w:val="4"/>
          </w:tcPr>
          <w:p>
            <w:pPr>
              <w:ind w:left="460"/>
              <w:spacing w:after="0"/>
              <w:rPr>
                <w:sz w:val="20"/>
                <w:szCs w:val="20"/>
                <w:color w:val="auto"/>
              </w:rPr>
            </w:pPr>
            <w:r>
              <w:rPr>
                <w:rFonts w:ascii="Arial" w:cs="Arial" w:eastAsia="Arial" w:hAnsi="Arial"/>
                <w:sz w:val="14"/>
                <w:szCs w:val="14"/>
                <w:b w:val="1"/>
                <w:bCs w:val="1"/>
                <w:color w:val="auto"/>
              </w:rPr>
              <w:t>April 30,</w:t>
            </w:r>
          </w:p>
        </w:tc>
        <w:tc>
          <w:tcPr>
            <w:tcW w:w="700" w:type="dxa"/>
            <w:vAlign w:val="bottom"/>
            <w:gridSpan w:val="3"/>
          </w:tcPr>
          <w:p>
            <w:pPr>
              <w:ind w:left="14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200"/>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2004</w:t>
            </w:r>
          </w:p>
        </w:tc>
        <w:tc>
          <w:tcPr>
            <w:tcW w:w="1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4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500" w:type="dxa"/>
            <w:vAlign w:val="bottom"/>
            <w:tcBorders>
              <w:right w:val="single" w:sz="8" w:color="EEEEEE"/>
            </w:tcBorders>
            <w:gridSpan w:val="2"/>
            <w:shd w:val="clear" w:color="auto" w:fill="EEEEEE"/>
          </w:tcPr>
          <w:p>
            <w:pPr>
              <w:ind w:left="120"/>
              <w:spacing w:after="0"/>
              <w:rPr>
                <w:sz w:val="20"/>
                <w:szCs w:val="20"/>
                <w:color w:val="auto"/>
              </w:rPr>
            </w:pPr>
            <w:r>
              <w:rPr>
                <w:rFonts w:ascii="Arial" w:cs="Arial" w:eastAsia="Arial" w:hAnsi="Arial"/>
                <w:sz w:val="18"/>
                <w:szCs w:val="18"/>
                <w:color w:val="auto"/>
                <w:w w:val="84"/>
              </w:rPr>
              <w:t>$237</w:t>
            </w:r>
          </w:p>
        </w:tc>
        <w:tc>
          <w:tcPr>
            <w:tcW w:w="20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ind w:left="660"/>
              <w:spacing w:after="0"/>
              <w:rPr>
                <w:sz w:val="20"/>
                <w:szCs w:val="20"/>
                <w:color w:val="auto"/>
              </w:rPr>
            </w:pPr>
            <w:r>
              <w:rPr>
                <w:rFonts w:ascii="Arial" w:cs="Arial" w:eastAsia="Arial" w:hAnsi="Arial"/>
                <w:sz w:val="15"/>
                <w:szCs w:val="15"/>
                <w:color w:val="auto"/>
                <w:w w:val="71"/>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ind w:left="960"/>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5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cost</w:t>
            </w:r>
          </w:p>
        </w:tc>
        <w:tc>
          <w:tcPr>
            <w:tcW w:w="500" w:type="dxa"/>
            <w:vAlign w:val="bottom"/>
            <w:gridSpan w:val="2"/>
          </w:tcPr>
          <w:p>
            <w:pPr>
              <w:jc w:val="center"/>
              <w:ind w:left="116"/>
              <w:spacing w:after="0"/>
              <w:rPr>
                <w:sz w:val="20"/>
                <w:szCs w:val="20"/>
                <w:color w:val="auto"/>
              </w:rPr>
            </w:pPr>
            <w:r>
              <w:rPr>
                <w:rFonts w:ascii="Arial" w:cs="Arial" w:eastAsia="Arial" w:hAnsi="Arial"/>
                <w:sz w:val="18"/>
                <w:szCs w:val="18"/>
                <w:color w:val="auto"/>
                <w:w w:val="86"/>
              </w:rPr>
              <w:t>218</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107</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436</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losses</w:t>
            </w:r>
          </w:p>
        </w:tc>
        <w:tc>
          <w:tcPr>
            <w:tcW w:w="500" w:type="dxa"/>
            <w:vAlign w:val="bottom"/>
            <w:tcBorders>
              <w:right w:val="single" w:sz="8" w:color="EEEEEE"/>
            </w:tcBorders>
            <w:gridSpan w:val="2"/>
            <w:shd w:val="clear" w:color="auto" w:fill="EEEEEE"/>
          </w:tcPr>
          <w:p>
            <w:pPr>
              <w:jc w:val="center"/>
              <w:ind w:left="116"/>
              <w:spacing w:after="0"/>
              <w:rPr>
                <w:sz w:val="20"/>
                <w:szCs w:val="20"/>
                <w:color w:val="auto"/>
              </w:rPr>
            </w:pPr>
            <w:r>
              <w:rPr>
                <w:rFonts w:ascii="Arial" w:cs="Arial" w:eastAsia="Arial" w:hAnsi="Arial"/>
                <w:sz w:val="18"/>
                <w:szCs w:val="18"/>
                <w:color w:val="auto"/>
                <w:w w:val="86"/>
              </w:rPr>
              <w:t>178</w:t>
            </w:r>
          </w:p>
        </w:tc>
        <w:tc>
          <w:tcPr>
            <w:tcW w:w="2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356</w:t>
            </w:r>
          </w:p>
        </w:tc>
        <w:tc>
          <w:tcPr>
            <w:tcW w:w="5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24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79"/>
              </w:rPr>
              <w:t>633</w:t>
            </w:r>
          </w:p>
        </w:tc>
        <w:tc>
          <w:tcPr>
            <w:tcW w:w="200" w:type="dxa"/>
            <w:vAlign w:val="bottom"/>
          </w:tcPr>
          <w:p>
            <w:pPr>
              <w:spacing w:after="0"/>
              <w:rPr>
                <w:sz w:val="19"/>
                <w:szCs w:val="19"/>
                <w:color w:val="auto"/>
              </w:rPr>
            </w:pPr>
          </w:p>
        </w:tc>
        <w:tc>
          <w:tcPr>
            <w:tcW w:w="76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270</w:t>
            </w:r>
          </w:p>
        </w:tc>
        <w:tc>
          <w:tcPr>
            <w:tcW w:w="200" w:type="dxa"/>
            <w:vAlign w:val="bottom"/>
          </w:tcPr>
          <w:p>
            <w:pPr>
              <w:spacing w:after="0"/>
              <w:rPr>
                <w:sz w:val="19"/>
                <w:szCs w:val="19"/>
                <w:color w:val="auto"/>
              </w:rPr>
            </w:pP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1,267</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3"/>
              </w:rPr>
              <w:t>538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April 30, 2004, approximately $250,000 of contributions have been made. The company presently anticipates to contribute a total of $500,000 to its postretirement health-care benefit plan in fiscal 2004.</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$3.4 million and $6.6 million for the second quarter and year-to-date period of fiscal 2004, respectively. The company’s expenses under this plan were $3.0 million and $6.1 million for the second quarter and year-to-date period of fiscal 2003,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derivatives only in an attempt to limit underlying exposure to currency fluctuations, and not for trading purposes. The company documents all relationships between hedging instruments and the hedged items, as well as its risk-management objective and strategy for undertaking various hedging transactions. The company assesses, both at the hedge’s inception and on an ongoing basis, whether the derivatives that are used in hedging transactions are highly effective in offsetting changes in cash flows of the hedged item.</w:t>
      </w:r>
    </w:p>
    <w:p>
      <w:pPr>
        <w:spacing w:after="0" w:line="16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 in local currencies of trade sales and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sale or inventory purchase and a related asset or liability recorded on the balance sheet, the related fair value of the derivative hedge contract is reclassified from accumulated other comprehensive income (loss) to earnings. During the second quarter and six months ended April 30, 2004, the amount of losses reclassified to earnings for such cash flow hedges was $2.5 million and $5.2 million, respectively. As of April 30, 2004, the amount of such contracts outstanding was $92.8 million. The unrecognized after-tax loss portion of the fair value of the contracts recorded in accumulated comprehensive loss as of April 30, 2004 was $0.6 million.</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that are not subject to the accounting criteria of SFAS No. 133; therefore, changes in fair value of these instruments are recorded in other income, net.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20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December 2003, the Financial Accounting Standards Board (FASB) issued SFAS No. 132 (revised 2003), “Employers’ Disclosures about Pensions and Other Postretirement Benefits,” amendments of FASB Statements No. 87, 88, and 106. This statement added certain disclosure requirements for the major categories of plan assets and expected returns, the accumulated pension benefit obligations, the measurement date used, the benefits expected to be paid to plan participants during the next ten years, the employer’s contributions expected to be paid to the plans during the next fiscal year, and interim disclosure of the components of the benefit costs along with any revisions to the contributions expected to be paid to the plans for the current fiscal year. The annual disclosures are effective for the company’s fiscal 2004 Annual Report to be filed on Form 10-K. The interim disclosure has been included in the company’s fiscal 2004 second quarter 10-Q, as required. SFAS No. 132 requires additional disclosure only and has no effect on the amounts reported in the company’s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turf and agricultural irrigation systems, landscaping equipment, and residential yard products worldwide. Our emphasis is to provide well-built, dependable, and innovative products supported by an extensive service network. A significant portion of our revenues has historically been attributable to new and enhanced products. As part of our new initiative, “6 + 8”, we expect to invest in growth strategies at higher than historical levels. The goals of this initiative are to achieve an after-tax return on sales of 6 percent or better and grow revenues at an average rate of 8 percent or better by the end of fiscal 2006.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results for the second quarter of fiscal 2004 were very strong. Our net earnings rose 24.4 percent compared to the second quarter of fiscal 2003 on a sales growth rate of 10.5 percent. Year-to-date net earnings rose 25.7 percent compared to the same period last year on a year-to-date sales growth rate of</w:t>
      </w:r>
    </w:p>
    <w:p>
      <w:pPr>
        <w:ind w:right="160"/>
        <w:spacing w:after="0" w:line="267" w:lineRule="auto"/>
        <w:rPr>
          <w:sz w:val="20"/>
          <w:szCs w:val="20"/>
          <w:color w:val="auto"/>
        </w:rPr>
      </w:pPr>
      <w:r>
        <w:rPr>
          <w:rFonts w:ascii="Arial" w:cs="Arial" w:eastAsia="Arial" w:hAnsi="Arial"/>
          <w:sz w:val="17"/>
          <w:szCs w:val="17"/>
          <w:color w:val="auto"/>
        </w:rPr>
        <w:t>8.8 percent. Sales for most of our product lines were up mainly as a result of successful new product introductions, continued increase in demand for landscape contractor equipment, and overall improving economic conditions. In addition, our customers are anticipating strong retail demand during fiscal 2004 reflecting expectations of economic growth and positive response for our new products introduced within the past two years. Our financial condition remains strong with lower average debt levels as well as only modest increases in average receivables and lower inventory levels compared to the same period last year. As part of our next generation initiative “6 + 8”, we plan to leverage the positive momentum we have generated over the last several years while investing in the future through such investments as in engineering, brand building, and market expansion. Our employees are embracing the ideas and tools introduced through the use of “lean” manufacturing concepts, which are designed to eliminate waste throughout the company. The first half of fiscal 2004 results were strong, and we are optimistic results for the full fiscal year of 2004 will remain strong. However, in the second half of fiscal 2004, we expect to encounter continued rising costs for several key raw materials, such as steel and other commodities, and we plan to continue to invest in aforementioned key growth strategies. We expect an improvement in sales growth in fiscal 2004 compared to the sales growth in fiscal 2003, and also anticipate double-digit diluted earnings per share growth, while keeping a cautionary eye on the world economies, weather, field inventory levels, and commodity prices which could cause actual results to differ from our outlook.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Second quarter of fiscal 2004 net earnings were $52.2 million or $2.00 per diluted share compared to $42.0 million or $1.61 per diluted share for the second quarter of fiscal 2003, an increase of over 24 percent. Year-to-date net earnings in fiscal 2004 were $61.5 million or $2.36 per diluted share compared to $49.0 million or $1.89 per diluted share last year, an increase of 25 percent. This year-to-date increase is even greater considering last year’s earnings benefited from a gain for a legal settlement of $3.4 million ($2.1 million net of tax). The primary factors contributing to the increase were higher sales volumes, an increase in gross margins, and leveraging selling, general and administrative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6"/>
                <w:szCs w:val="16"/>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200"/>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2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100.0%</w:t>
            </w:r>
          </w:p>
        </w:tc>
        <w:tc>
          <w:tcPr>
            <w:tcW w:w="12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12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12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sales</w:t>
            </w:r>
          </w:p>
        </w:tc>
        <w:tc>
          <w:tcPr>
            <w:tcW w:w="2520" w:type="dxa"/>
            <w:vAlign w:val="bottom"/>
            <w:gridSpan w:val="2"/>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63.7</w:t>
            </w:r>
          </w:p>
        </w:tc>
        <w:tc>
          <w:tcPr>
            <w:tcW w:w="34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63.8</w:t>
            </w:r>
          </w:p>
        </w:tc>
        <w:tc>
          <w:tcPr>
            <w:tcW w:w="32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2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260" w:type="dxa"/>
            <w:vAlign w:val="bottom"/>
            <w:gridSpan w:val="4"/>
          </w:tcPr>
          <w:p>
            <w:pPr>
              <w:jc w:val="right"/>
              <w:ind w:right="280"/>
              <w:spacing w:after="0"/>
              <w:rPr>
                <w:sz w:val="20"/>
                <w:szCs w:val="20"/>
                <w:color w:val="auto"/>
              </w:rPr>
            </w:pPr>
            <w:r>
              <w:rPr>
                <w:rFonts w:ascii="Arial" w:cs="Arial" w:eastAsia="Arial" w:hAnsi="Arial"/>
                <w:sz w:val="18"/>
                <w:szCs w:val="18"/>
                <w:color w:val="auto"/>
              </w:rPr>
              <w:t>(21.4)</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(22.4)</w:t>
            </w: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(24.8)</w:t>
            </w: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26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(0.7)</w:t>
            </w: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(0.9)</w:t>
            </w:r>
          </w:p>
        </w:tc>
        <w:tc>
          <w:tcPr>
            <w:tcW w:w="12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(0.9)</w:t>
            </w:r>
          </w:p>
        </w:tc>
        <w:tc>
          <w:tcPr>
            <w:tcW w:w="12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income, net</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26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(4.8)</w:t>
            </w: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(4.1)</w:t>
            </w:r>
          </w:p>
        </w:tc>
        <w:tc>
          <w:tcPr>
            <w:tcW w:w="12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(3.6)</w:t>
            </w:r>
          </w:p>
        </w:tc>
        <w:tc>
          <w:tcPr>
            <w:tcW w:w="12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Net earnings</w:t>
            </w:r>
          </w:p>
        </w:tc>
        <w:tc>
          <w:tcPr>
            <w:tcW w:w="252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gridSpan w:val="2"/>
            <w:vMerge w:val="continue"/>
          </w:tcPr>
          <w:p>
            <w:pPr>
              <w:spacing w:after="0"/>
              <w:rPr>
                <w:sz w:val="18"/>
                <w:szCs w:val="18"/>
                <w:color w:val="auto"/>
              </w:rPr>
            </w:pPr>
          </w:p>
        </w:tc>
        <w:tc>
          <w:tcPr>
            <w:tcW w:w="2520" w:type="dxa"/>
            <w:vAlign w:val="bottom"/>
            <w:gridSpan w:val="2"/>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560" w:type="dxa"/>
            <w:vAlign w:val="bottom"/>
            <w:gridSpan w:val="2"/>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520" w:type="dxa"/>
            <w:vAlign w:val="bottom"/>
            <w:gridSpan w:val="2"/>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520" w:type="dxa"/>
            <w:vAlign w:val="bottom"/>
            <w:gridSpan w:val="2"/>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2300" w:type="dxa"/>
            <w:vAlign w:val="bottom"/>
            <w:vMerge w:val="restart"/>
          </w:tcPr>
          <w:p>
            <w:pPr>
              <w:jc w:val="right"/>
              <w:ind w:right="812"/>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808080"/>
            </w:tcBorders>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808080"/>
            </w:tcBorders>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808080"/>
            </w:tcBorders>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Worldwide consolidated net sales for the second quarter and year-to-date of fiscal 2004 were up 10.5 percent and 8.8 percent, respectively, from the same periods in the prior year. Residential segment sales increased due primarily to the introduction of a new Toro walk power mower model as well as initial stocking shipments of riding mowers sold under a private label. Professional segment net sales were also up due to continued increase in demand for landscape contractor equipment as well as positive acceptance of new products introduced within the past two years. Distribution segment sales grew significantly for the quarter and year-to-date comparison due to strong demand and improving economic conditions. Favorable currency rates also contributed approximately 1 percent of the sales growth for both the quarter and year-to-date comparison. International sales for the second quarter and year-to-date of fiscal 2004 were up 19.5 percent and 16.2 percent, respectively, from the same periods in the prior year. This increase was driven primarily by favorable currency exchange rates and new product introductions. Disregarding currency effects, international sales increased 15.2 percent and 10.4 percent for the second quarter and year-to-date of fiscal 2004, respectively, compared to the same periods in fiscal 2003.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Gross profit as a percentage of net sales increased for the second quarter and year-to-date of fiscal 2004 by 0.9 and 0.7 percentage points from the same periods of the prior year, to 36.3 percent and 36.2 percent respectively. These increases were the result of the following factors: (i) cost reduction efforts, including ongoing benefits from past and continuing profit improvement initiatives and (ii) favorable foreign currency exchange rates compared to the U.S. dollar. Somewhat offsetting those positive factors were higher outbound freight expense and rising costs for steel and other commodities.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8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Selling, general, and administrative expense (SG&amp;A) increased for the second quarter and year-to-date of fiscal 2004 by 5.3 percent and 2.7 percent, respectively, from the same periods of the prior year. SG&amp;A as a percentage of net sales for the second quarter and year-to-date of fiscal 2004 was 21.4 percent and 24.8 percent, respectively, compared to 22.4 percent and 26.2 percent for the second quarter and year-to-date of fiscal 2003, respectively. The percent to net sales decrease was due mainly to: (i) costs for distributor changes last year that did not occur this year; (ii) a decline in bad debt expense; and</w:t>
      </w:r>
    </w:p>
    <w:p>
      <w:pPr>
        <w:spacing w:after="0" w:line="2" w:lineRule="exact"/>
        <w:rPr>
          <w:sz w:val="20"/>
          <w:szCs w:val="20"/>
          <w:color w:val="auto"/>
        </w:rPr>
      </w:pPr>
    </w:p>
    <w:p>
      <w:pPr>
        <w:ind w:right="200" w:firstLine="8"/>
        <w:spacing w:after="0" w:line="261"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lower warehousing expense. Somewhat offsetting those decreases were: (i) continued investments in information systems; (ii) increased investments in engineering as part of our new “6 + 8” initiative; and (iii) higher incentive compensation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Income, Net</w:t>
      </w:r>
    </w:p>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second quarter and year-to-date of fiscal 2004, we recorded $64,000 and $86,000, respectively, of restructuring and other income, net, primarily related to changes in reserve estimates for the previously announced closure of our Oxford, Mississippi facility. In the second quarter of fiscal 2003, we recorded a benefit of $179,000 for the reversal of the remaining accrual for closing a facility in Australia, which was sold March 28,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Interest expense for the second quarter and year-to-date of fiscal 2004 declined 14.3 percent and 9.8 percent, respectively, from the same periods in the prior year. This decrease was primarily due to lower levels of debt as we continue to use earnings to finance operating activities and pay down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income, net for the second quarter and year-to-date of fiscal 2004 was $0.5 million and $1.8 million, respectively. This is a decrease of $1.9 million and $5.9 million, respectively, from the same periods of the prior year. The decrease was due primarily to the following items incurred or realized last year: (i) a gain from a legal settlement; (ii) insurance recoveries; and (iii) gain from the sale of a distributorship. In addition, during the second quarter of fiscal 2004, we recorded equity losses from an investment and higher levels of currency losses.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the second quarter and year-to-date of fiscal 2004 was 33.5 percent compared to 33.0 percent in the same periods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to an anticipated increase in domestic earnings, which is expected to dilute the effects of export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8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operate in three reportable segments: professional, residential, and distribution. A fourth segment called “other” consists of corporate and financing functions. 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segment: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20" w:type="dxa"/>
            <w:vAlign w:val="bottom"/>
            <w:gridSpan w:val="14"/>
          </w:tcPr>
          <w:p>
            <w:pPr>
              <w:jc w:val="center"/>
              <w:ind w:right="7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20" w:type="dxa"/>
            <w:vAlign w:val="bottom"/>
            <w:gridSpan w:val="7"/>
          </w:tcPr>
          <w:p>
            <w:pPr>
              <w:jc w:val="center"/>
              <w:ind w:left="1734"/>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6"/>
          </w:tcPr>
          <w:p>
            <w:pPr>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3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$338,524</w:t>
            </w:r>
          </w:p>
        </w:tc>
        <w:tc>
          <w:tcPr>
            <w:tcW w:w="20" w:type="dxa"/>
            <w:vAlign w:val="bottom"/>
            <w:shd w:val="clear" w:color="auto" w:fill="EEEEEE"/>
          </w:tcPr>
          <w:p>
            <w:pPr>
              <w:spacing w:after="0"/>
              <w:rPr>
                <w:sz w:val="18"/>
                <w:szCs w:val="18"/>
                <w:color w:val="auto"/>
              </w:rPr>
            </w:pPr>
          </w:p>
        </w:tc>
        <w:tc>
          <w:tcPr>
            <w:tcW w:w="172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$314,116</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$24,408</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08"/>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20" w:type="dxa"/>
            <w:vAlign w:val="bottom"/>
            <w:gridSpan w:val="7"/>
          </w:tcPr>
          <w:p>
            <w:pPr>
              <w:jc w:val="right"/>
              <w:spacing w:after="0"/>
              <w:rPr>
                <w:sz w:val="20"/>
                <w:szCs w:val="20"/>
                <w:color w:val="auto"/>
              </w:rPr>
            </w:pPr>
            <w:r>
              <w:rPr>
                <w:rFonts w:ascii="Arial" w:cs="Arial" w:eastAsia="Arial" w:hAnsi="Arial"/>
                <w:sz w:val="18"/>
                <w:szCs w:val="18"/>
                <w:color w:val="auto"/>
              </w:rPr>
              <w:t>194,838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172,469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22,369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268"/>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3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44,880</w:t>
            </w:r>
          </w:p>
        </w:tc>
        <w:tc>
          <w:tcPr>
            <w:tcW w:w="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tcBorders>
              <w:lef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35,348</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9,532</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68"/>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gridSpan w:val="9"/>
          </w:tcPr>
          <w:p>
            <w:pPr>
              <w:jc w:val="right"/>
              <w:ind w:right="32"/>
              <w:spacing w:after="0"/>
              <w:rPr>
                <w:sz w:val="20"/>
                <w:szCs w:val="20"/>
                <w:color w:val="auto"/>
              </w:rPr>
            </w:pPr>
            <w:r>
              <w:rPr>
                <w:rFonts w:ascii="Arial" w:cs="Arial" w:eastAsia="Arial" w:hAnsi="Arial"/>
                <w:sz w:val="18"/>
                <w:szCs w:val="18"/>
                <w:color w:val="auto"/>
              </w:rPr>
              <w:t>(30,215)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w w:val="95"/>
              </w:rPr>
              <w:t>(26,093)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(4,122)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208"/>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808080"/>
            </w:tcBorders>
          </w:tcPr>
          <w:p>
            <w:pPr>
              <w:spacing w:after="0" w:line="20" w:lineRule="exact"/>
              <w:rPr>
                <w:sz w:val="1"/>
                <w:szCs w:val="1"/>
                <w:color w:val="auto"/>
              </w:rPr>
            </w:pPr>
          </w:p>
        </w:tc>
        <w:tc>
          <w:tcPr>
            <w:tcW w:w="60" w:type="dxa"/>
            <w:vAlign w:val="bottom"/>
            <w:tcBorders>
              <w:top w:val="single" w:sz="8" w:color="808080"/>
            </w:tcBorders>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w:t>
            </w: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3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$548,027</w:t>
            </w:r>
          </w:p>
        </w:tc>
        <w:tc>
          <w:tcPr>
            <w:tcW w:w="20" w:type="dxa"/>
            <w:vAlign w:val="bottom"/>
            <w:shd w:val="clear" w:color="auto" w:fill="EEEEEE"/>
          </w:tcPr>
          <w:p>
            <w:pPr>
              <w:spacing w:after="0"/>
              <w:rPr>
                <w:sz w:val="18"/>
                <w:szCs w:val="18"/>
                <w:color w:val="auto"/>
              </w:rPr>
            </w:pPr>
          </w:p>
        </w:tc>
        <w:tc>
          <w:tcPr>
            <w:tcW w:w="172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$495,840</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$52,187</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08"/>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3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80" w:type="dxa"/>
            <w:vAlign w:val="bottom"/>
            <w:tcBorders>
              <w:top w:val="single" w:sz="8" w:color="EEEEEE"/>
              <w:right w:val="single" w:sz="8" w:color="808080"/>
            </w:tcBorders>
            <w:gridSpan w:val="2"/>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gridSpan w:val="2"/>
          </w:tcPr>
          <w:p>
            <w:pPr>
              <w:spacing w:after="0"/>
              <w:rPr>
                <w:sz w:val="3"/>
                <w:szCs w:val="3"/>
                <w:color w:val="auto"/>
              </w:rPr>
            </w:pPr>
          </w:p>
        </w:tc>
        <w:tc>
          <w:tcPr>
            <w:tcW w:w="460" w:type="dxa"/>
            <w:vAlign w:val="bottom"/>
            <w:tcBorders>
              <w:top w:val="single" w:sz="8" w:color="EEEEEE"/>
            </w:tcBorders>
            <w:gridSpan w:val="2"/>
          </w:tcPr>
          <w:p>
            <w:pPr>
              <w:spacing w:after="0"/>
              <w:rPr>
                <w:sz w:val="3"/>
                <w:szCs w:val="3"/>
                <w:color w:val="auto"/>
              </w:rPr>
            </w:pPr>
          </w:p>
        </w:tc>
        <w:tc>
          <w:tcPr>
            <w:tcW w:w="300" w:type="dxa"/>
            <w:vAlign w:val="bottom"/>
            <w:tcBorders>
              <w:top w:val="single" w:sz="8" w:color="808080"/>
            </w:tcBorders>
            <w:shd w:val="clear" w:color="auto" w:fill="808080"/>
          </w:tcPr>
          <w:p>
            <w:pPr>
              <w:spacing w:after="0"/>
              <w:rPr>
                <w:sz w:val="3"/>
                <w:szCs w:val="3"/>
                <w:color w:val="auto"/>
              </w:rPr>
            </w:pPr>
          </w:p>
        </w:tc>
        <w:tc>
          <w:tcPr>
            <w:tcW w:w="6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808080"/>
            </w:tcBorders>
            <w:shd w:val="clear" w:color="auto" w:fill="808080"/>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300" w:type="dxa"/>
            <w:vAlign w:val="bottom"/>
            <w:tcBorders>
              <w:top w:val="single" w:sz="8" w:color="EEEEEE"/>
              <w:right w:val="single" w:sz="8" w:color="808080"/>
            </w:tcBorders>
          </w:tcPr>
          <w:p>
            <w:pPr>
              <w:spacing w:after="0"/>
              <w:rPr>
                <w:sz w:val="3"/>
                <w:szCs w:val="3"/>
                <w:color w:val="auto"/>
              </w:rPr>
            </w:pPr>
          </w:p>
        </w:tc>
        <w:tc>
          <w:tcPr>
            <w:tcW w:w="10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808080"/>
              <w:right w:val="single" w:sz="8" w:color="808080"/>
            </w:tcBorders>
            <w:shd w:val="clear" w:color="auto" w:fill="808080"/>
          </w:tcPr>
          <w:p>
            <w:pPr>
              <w:spacing w:after="0"/>
              <w:rPr>
                <w:sz w:val="3"/>
                <w:szCs w:val="3"/>
                <w:color w:val="auto"/>
              </w:rPr>
            </w:pPr>
          </w:p>
        </w:tc>
        <w:tc>
          <w:tcPr>
            <w:tcW w:w="320" w:type="dxa"/>
            <w:vAlign w:val="bottom"/>
            <w:tcBorders>
              <w:top w:val="single" w:sz="8" w:color="808080"/>
            </w:tcBorders>
            <w:shd w:val="clear" w:color="auto" w:fill="808080"/>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gridSpan w:val="2"/>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spacing w:after="0"/>
              <w:rPr>
                <w:sz w:val="20"/>
                <w:szCs w:val="20"/>
                <w:color w:val="auto"/>
              </w:rPr>
            </w:pPr>
            <w:r>
              <w:rPr>
                <w:rFonts w:ascii="Arial" w:cs="Arial" w:eastAsia="Arial" w:hAnsi="Arial"/>
                <w:sz w:val="18"/>
                <w:szCs w:val="18"/>
                <w:color w:val="auto"/>
              </w:rPr>
              <w:t>* Includes international net sales of:</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gridSpan w:val="7"/>
          </w:tcPr>
          <w:p>
            <w:pPr>
              <w:jc w:val="right"/>
              <w:spacing w:after="0"/>
              <w:rPr>
                <w:sz w:val="20"/>
                <w:szCs w:val="20"/>
                <w:color w:val="auto"/>
              </w:rPr>
            </w:pPr>
            <w:r>
              <w:rPr>
                <w:rFonts w:ascii="Arial" w:cs="Arial" w:eastAsia="Arial" w:hAnsi="Arial"/>
                <w:sz w:val="18"/>
                <w:szCs w:val="18"/>
                <w:color w:val="auto"/>
              </w:rPr>
              <w:t>$ 111,773</w:t>
            </w:r>
          </w:p>
        </w:tc>
        <w:tc>
          <w:tcPr>
            <w:tcW w:w="2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93,555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$18,218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right"/>
              <w:ind w:right="108"/>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13"/>
          </w:tcPr>
          <w:p>
            <w:pPr>
              <w:jc w:val="center"/>
              <w:ind w:right="1060"/>
              <w:spacing w:after="0"/>
              <w:rPr>
                <w:sz w:val="20"/>
                <w:szCs w:val="20"/>
                <w:color w:val="auto"/>
              </w:rPr>
            </w:pPr>
            <w:r>
              <w:rPr>
                <w:rFonts w:ascii="Arial" w:cs="Arial" w:eastAsia="Arial" w:hAnsi="Arial"/>
                <w:sz w:val="14"/>
                <w:szCs w:val="14"/>
                <w:b w:val="1"/>
                <w:bCs w:val="1"/>
                <w:color w:val="auto"/>
                <w:w w:val="92"/>
              </w:rPr>
              <w:t>Six Months Ended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6"/>
            <w:vMerge w:val="restart"/>
          </w:tcPr>
          <w:p>
            <w:pPr>
              <w:jc w:val="center"/>
              <w:ind w:right="40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gridSpan w:val="6"/>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20" w:type="dxa"/>
            <w:vAlign w:val="bottom"/>
            <w:gridSpan w:val="7"/>
          </w:tcPr>
          <w:p>
            <w:pPr>
              <w:jc w:val="center"/>
              <w:ind w:left="1734"/>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76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top w:val="single" w:sz="8" w:color="808080"/>
            </w:tcBorders>
          </w:tcPr>
          <w:p>
            <w:pPr>
              <w:spacing w:after="0"/>
              <w:rPr>
                <w:sz w:val="6"/>
                <w:szCs w:val="6"/>
                <w:color w:val="auto"/>
              </w:rPr>
            </w:pPr>
          </w:p>
        </w:tc>
        <w:tc>
          <w:tcPr>
            <w:tcW w:w="56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160" w:type="dxa"/>
            <w:vAlign w:val="bottom"/>
            <w:tcBorders>
              <w:top w:val="single" w:sz="8" w:color="808080"/>
            </w:tcBorders>
          </w:tcPr>
          <w:p>
            <w:pPr>
              <w:spacing w:after="0"/>
              <w:rPr>
                <w:sz w:val="6"/>
                <w:szCs w:val="6"/>
                <w:color w:val="auto"/>
              </w:rPr>
            </w:pPr>
          </w:p>
        </w:tc>
        <w:tc>
          <w:tcPr>
            <w:tcW w:w="280" w:type="dxa"/>
            <w:vAlign w:val="bottom"/>
            <w:tcBorders>
              <w:top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808080"/>
            </w:tcBorders>
          </w:tcPr>
          <w:p>
            <w:pPr>
              <w:spacing w:after="0"/>
              <w:rPr>
                <w:sz w:val="6"/>
                <w:szCs w:val="6"/>
                <w:color w:val="auto"/>
              </w:rPr>
            </w:pPr>
          </w:p>
        </w:tc>
        <w:tc>
          <w:tcPr>
            <w:tcW w:w="300" w:type="dxa"/>
            <w:vAlign w:val="bottom"/>
            <w:tcBorders>
              <w:top w:val="single" w:sz="8" w:color="808080"/>
            </w:tcBorders>
          </w:tcPr>
          <w:p>
            <w:pPr>
              <w:spacing w:after="0"/>
              <w:rPr>
                <w:sz w:val="6"/>
                <w:szCs w:val="6"/>
                <w:color w:val="auto"/>
              </w:rPr>
            </w:pPr>
          </w:p>
        </w:tc>
        <w:tc>
          <w:tcPr>
            <w:tcW w:w="60" w:type="dxa"/>
            <w:vAlign w:val="bottom"/>
            <w:tcBorders>
              <w:top w:val="single" w:sz="8" w:color="808080"/>
            </w:tcBorders>
          </w:tcPr>
          <w:p>
            <w:pPr>
              <w:spacing w:after="0"/>
              <w:rPr>
                <w:sz w:val="6"/>
                <w:szCs w:val="6"/>
                <w:color w:val="auto"/>
              </w:rPr>
            </w:pPr>
          </w:p>
        </w:tc>
        <w:tc>
          <w:tcPr>
            <w:tcW w:w="240" w:type="dxa"/>
            <w:vAlign w:val="bottom"/>
            <w:tcBorders>
              <w:top w:val="single" w:sz="8" w:color="808080"/>
            </w:tcBorders>
          </w:tcPr>
          <w:p>
            <w:pPr>
              <w:spacing w:after="0"/>
              <w:rPr>
                <w:sz w:val="6"/>
                <w:szCs w:val="6"/>
                <w:color w:val="auto"/>
              </w:rPr>
            </w:pPr>
          </w:p>
        </w:tc>
        <w:tc>
          <w:tcPr>
            <w:tcW w:w="180" w:type="dxa"/>
            <w:vAlign w:val="bottom"/>
            <w:tcBorders>
              <w:top w:val="single" w:sz="8" w:color="808080"/>
            </w:tcBorders>
          </w:tcPr>
          <w:p>
            <w:pPr>
              <w:spacing w:after="0"/>
              <w:rPr>
                <w:sz w:val="6"/>
                <w:szCs w:val="6"/>
                <w:color w:val="auto"/>
              </w:rPr>
            </w:pPr>
          </w:p>
        </w:tc>
        <w:tc>
          <w:tcPr>
            <w:tcW w:w="60" w:type="dxa"/>
            <w:vAlign w:val="bottom"/>
            <w:tcBorders>
              <w:top w:val="single" w:sz="8" w:color="808080"/>
            </w:tcBorders>
          </w:tcPr>
          <w:p>
            <w:pPr>
              <w:spacing w:after="0"/>
              <w:rPr>
                <w:sz w:val="6"/>
                <w:szCs w:val="6"/>
                <w:color w:val="auto"/>
              </w:rPr>
            </w:pPr>
          </w:p>
        </w:tc>
        <w:tc>
          <w:tcPr>
            <w:tcW w:w="240" w:type="dxa"/>
            <w:vAlign w:val="bottom"/>
            <w:tcBorders>
              <w:top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Borders>
              <w:top w:val="single" w:sz="8" w:color="808080"/>
            </w:tcBorders>
          </w:tcPr>
          <w:p>
            <w:pPr>
              <w:spacing w:after="0"/>
              <w:rPr>
                <w:sz w:val="6"/>
                <w:szCs w:val="6"/>
                <w:color w:val="auto"/>
              </w:rPr>
            </w:pPr>
          </w:p>
        </w:tc>
        <w:tc>
          <w:tcPr>
            <w:tcW w:w="100" w:type="dxa"/>
            <w:vAlign w:val="bottom"/>
            <w:tcBorders>
              <w:top w:val="single" w:sz="8" w:color="808080"/>
            </w:tcBorders>
          </w:tcPr>
          <w:p>
            <w:pPr>
              <w:spacing w:after="0"/>
              <w:rPr>
                <w:sz w:val="6"/>
                <w:szCs w:val="6"/>
                <w:color w:val="auto"/>
              </w:rPr>
            </w:pPr>
          </w:p>
        </w:tc>
        <w:tc>
          <w:tcPr>
            <w:tcW w:w="80" w:type="dxa"/>
            <w:vAlign w:val="bottom"/>
            <w:tcBorders>
              <w:top w:val="single" w:sz="8" w:color="808080"/>
            </w:tcBorders>
          </w:tcPr>
          <w:p>
            <w:pPr>
              <w:spacing w:after="0"/>
              <w:rPr>
                <w:sz w:val="6"/>
                <w:szCs w:val="6"/>
                <w:color w:val="auto"/>
              </w:rPr>
            </w:pPr>
          </w:p>
        </w:tc>
        <w:tc>
          <w:tcPr>
            <w:tcW w:w="320" w:type="dxa"/>
            <w:vAlign w:val="bottom"/>
            <w:tcBorders>
              <w:top w:val="single" w:sz="8" w:color="808080"/>
            </w:tcBorders>
          </w:tcPr>
          <w:p>
            <w:pPr>
              <w:spacing w:after="0"/>
              <w:rPr>
                <w:sz w:val="6"/>
                <w:szCs w:val="6"/>
                <w:color w:val="auto"/>
              </w:rPr>
            </w:pPr>
          </w:p>
        </w:tc>
        <w:tc>
          <w:tcPr>
            <w:tcW w:w="160" w:type="dxa"/>
            <w:vAlign w:val="bottom"/>
            <w:tcBorders>
              <w:top w:val="single" w:sz="8" w:color="808080"/>
            </w:tcBorders>
          </w:tcPr>
          <w:p>
            <w:pPr>
              <w:spacing w:after="0"/>
              <w:rPr>
                <w:sz w:val="6"/>
                <w:szCs w:val="6"/>
                <w:color w:val="auto"/>
              </w:rPr>
            </w:pPr>
          </w:p>
        </w:tc>
        <w:tc>
          <w:tcPr>
            <w:tcW w:w="80" w:type="dxa"/>
            <w:vAlign w:val="bottom"/>
            <w:tcBorders>
              <w:top w:val="single" w:sz="8" w:color="808080"/>
            </w:tcBorders>
          </w:tcPr>
          <w:p>
            <w:pPr>
              <w:spacing w:after="0"/>
              <w:rPr>
                <w:sz w:val="6"/>
                <w:szCs w:val="6"/>
                <w:color w:val="auto"/>
              </w:rPr>
            </w:pPr>
          </w:p>
        </w:tc>
        <w:tc>
          <w:tcPr>
            <w:tcW w:w="120" w:type="dxa"/>
            <w:vAlign w:val="bottom"/>
            <w:tcBorders>
              <w:top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808080"/>
            </w:tcBorders>
          </w:tcPr>
          <w:p>
            <w:pPr>
              <w:spacing w:after="0"/>
              <w:rPr>
                <w:sz w:val="6"/>
                <w:szCs w:val="6"/>
                <w:color w:val="auto"/>
              </w:rPr>
            </w:pPr>
          </w:p>
        </w:tc>
        <w:tc>
          <w:tcPr>
            <w:tcW w:w="1000" w:type="dxa"/>
            <w:vAlign w:val="bottom"/>
            <w:tcBorders>
              <w:top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3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$546,202</w:t>
            </w:r>
          </w:p>
        </w:tc>
        <w:tc>
          <w:tcPr>
            <w:tcW w:w="20" w:type="dxa"/>
            <w:vAlign w:val="bottom"/>
            <w:shd w:val="clear" w:color="auto" w:fill="EEEEEE"/>
          </w:tcPr>
          <w:p>
            <w:pPr>
              <w:spacing w:after="0"/>
              <w:rPr>
                <w:sz w:val="18"/>
                <w:szCs w:val="18"/>
                <w:color w:val="auto"/>
              </w:rPr>
            </w:pPr>
          </w:p>
        </w:tc>
        <w:tc>
          <w:tcPr>
            <w:tcW w:w="172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$507,560</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$38,642</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08"/>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20" w:type="dxa"/>
            <w:vAlign w:val="bottom"/>
            <w:gridSpan w:val="7"/>
          </w:tcPr>
          <w:p>
            <w:pPr>
              <w:jc w:val="right"/>
              <w:spacing w:after="0"/>
              <w:rPr>
                <w:sz w:val="20"/>
                <w:szCs w:val="20"/>
                <w:color w:val="auto"/>
              </w:rPr>
            </w:pPr>
            <w:r>
              <w:rPr>
                <w:rFonts w:ascii="Arial" w:cs="Arial" w:eastAsia="Arial" w:hAnsi="Arial"/>
                <w:sz w:val="18"/>
                <w:szCs w:val="18"/>
                <w:color w:val="auto"/>
              </w:rPr>
              <w:t>292,725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267,134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25,591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268"/>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3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64,533</w:t>
            </w:r>
          </w:p>
        </w:tc>
        <w:tc>
          <w:tcPr>
            <w:tcW w:w="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tcBorders>
              <w:lef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53,948</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10,585</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68"/>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gridSpan w:val="9"/>
          </w:tcPr>
          <w:p>
            <w:pPr>
              <w:jc w:val="right"/>
              <w:ind w:right="32"/>
              <w:spacing w:after="0"/>
              <w:rPr>
                <w:sz w:val="20"/>
                <w:szCs w:val="20"/>
                <w:color w:val="auto"/>
              </w:rPr>
            </w:pPr>
            <w:r>
              <w:rPr>
                <w:rFonts w:ascii="Arial" w:cs="Arial" w:eastAsia="Arial" w:hAnsi="Arial"/>
                <w:sz w:val="18"/>
                <w:szCs w:val="18"/>
                <w:color w:val="auto"/>
              </w:rPr>
              <w:t>(41,860)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w w:val="95"/>
              </w:rPr>
              <w:t>(36,840)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(5,020)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208"/>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808080"/>
            </w:tcBorders>
          </w:tcPr>
          <w:p>
            <w:pPr>
              <w:spacing w:after="0" w:line="20" w:lineRule="exact"/>
              <w:rPr>
                <w:sz w:val="1"/>
                <w:szCs w:val="1"/>
                <w:color w:val="auto"/>
              </w:rPr>
            </w:pPr>
          </w:p>
        </w:tc>
        <w:tc>
          <w:tcPr>
            <w:tcW w:w="60" w:type="dxa"/>
            <w:vAlign w:val="bottom"/>
            <w:tcBorders>
              <w:top w:val="single" w:sz="8" w:color="808080"/>
            </w:tcBorders>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w:t>
            </w: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3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$861,600</w:t>
            </w:r>
          </w:p>
        </w:tc>
        <w:tc>
          <w:tcPr>
            <w:tcW w:w="20" w:type="dxa"/>
            <w:vAlign w:val="bottom"/>
            <w:shd w:val="clear" w:color="auto" w:fill="EEEEEE"/>
          </w:tcPr>
          <w:p>
            <w:pPr>
              <w:spacing w:after="0"/>
              <w:rPr>
                <w:sz w:val="18"/>
                <w:szCs w:val="18"/>
                <w:color w:val="auto"/>
              </w:rPr>
            </w:pPr>
          </w:p>
        </w:tc>
        <w:tc>
          <w:tcPr>
            <w:tcW w:w="172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$791,802</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$69,798</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0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3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80" w:type="dxa"/>
            <w:vAlign w:val="bottom"/>
            <w:tcBorders>
              <w:top w:val="single" w:sz="8" w:color="EEEEEE"/>
              <w:right w:val="single" w:sz="8" w:color="808080"/>
            </w:tcBorders>
            <w:gridSpan w:val="2"/>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gridSpan w:val="2"/>
          </w:tcPr>
          <w:p>
            <w:pPr>
              <w:spacing w:after="0"/>
              <w:rPr>
                <w:sz w:val="3"/>
                <w:szCs w:val="3"/>
                <w:color w:val="auto"/>
              </w:rPr>
            </w:pPr>
          </w:p>
        </w:tc>
        <w:tc>
          <w:tcPr>
            <w:tcW w:w="460" w:type="dxa"/>
            <w:vAlign w:val="bottom"/>
            <w:tcBorders>
              <w:top w:val="single" w:sz="8" w:color="EEEEEE"/>
            </w:tcBorders>
            <w:gridSpan w:val="2"/>
          </w:tcPr>
          <w:p>
            <w:pPr>
              <w:spacing w:after="0"/>
              <w:rPr>
                <w:sz w:val="3"/>
                <w:szCs w:val="3"/>
                <w:color w:val="auto"/>
              </w:rPr>
            </w:pPr>
          </w:p>
        </w:tc>
        <w:tc>
          <w:tcPr>
            <w:tcW w:w="300" w:type="dxa"/>
            <w:vAlign w:val="bottom"/>
            <w:tcBorders>
              <w:top w:val="single" w:sz="8" w:color="808080"/>
            </w:tcBorders>
            <w:shd w:val="clear" w:color="auto" w:fill="808080"/>
          </w:tcPr>
          <w:p>
            <w:pPr>
              <w:spacing w:after="0"/>
              <w:rPr>
                <w:sz w:val="3"/>
                <w:szCs w:val="3"/>
                <w:color w:val="auto"/>
              </w:rPr>
            </w:pPr>
          </w:p>
        </w:tc>
        <w:tc>
          <w:tcPr>
            <w:tcW w:w="6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808080"/>
            </w:tcBorders>
            <w:shd w:val="clear" w:color="auto" w:fill="808080"/>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300" w:type="dxa"/>
            <w:vAlign w:val="bottom"/>
            <w:tcBorders>
              <w:top w:val="single" w:sz="8" w:color="EEEEEE"/>
              <w:right w:val="single" w:sz="8" w:color="808080"/>
            </w:tcBorders>
          </w:tcPr>
          <w:p>
            <w:pPr>
              <w:spacing w:after="0"/>
              <w:rPr>
                <w:sz w:val="3"/>
                <w:szCs w:val="3"/>
                <w:color w:val="auto"/>
              </w:rPr>
            </w:pPr>
          </w:p>
        </w:tc>
        <w:tc>
          <w:tcPr>
            <w:tcW w:w="10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808080"/>
              <w:right w:val="single" w:sz="8" w:color="808080"/>
            </w:tcBorders>
            <w:shd w:val="clear" w:color="auto" w:fill="808080"/>
          </w:tcPr>
          <w:p>
            <w:pPr>
              <w:spacing w:after="0"/>
              <w:rPr>
                <w:sz w:val="3"/>
                <w:szCs w:val="3"/>
                <w:color w:val="auto"/>
              </w:rPr>
            </w:pPr>
          </w:p>
        </w:tc>
        <w:tc>
          <w:tcPr>
            <w:tcW w:w="320" w:type="dxa"/>
            <w:vAlign w:val="bottom"/>
            <w:tcBorders>
              <w:top w:val="single" w:sz="8" w:color="808080"/>
            </w:tcBorders>
            <w:shd w:val="clear" w:color="auto" w:fill="808080"/>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gridSpan w:val="2"/>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spacing w:after="0"/>
              <w:rPr>
                <w:sz w:val="20"/>
                <w:szCs w:val="20"/>
                <w:color w:val="auto"/>
              </w:rPr>
            </w:pPr>
            <w:r>
              <w:rPr>
                <w:rFonts w:ascii="Arial" w:cs="Arial" w:eastAsia="Arial" w:hAnsi="Arial"/>
                <w:sz w:val="18"/>
                <w:szCs w:val="18"/>
                <w:color w:val="auto"/>
              </w:rPr>
              <w:t>* Includes international net sales of:</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gridSpan w:val="7"/>
          </w:tcPr>
          <w:p>
            <w:pPr>
              <w:jc w:val="right"/>
              <w:spacing w:after="0"/>
              <w:rPr>
                <w:sz w:val="20"/>
                <w:szCs w:val="20"/>
                <w:color w:val="auto"/>
              </w:rPr>
            </w:pPr>
            <w:r>
              <w:rPr>
                <w:rFonts w:ascii="Arial" w:cs="Arial" w:eastAsia="Arial" w:hAnsi="Arial"/>
                <w:sz w:val="18"/>
                <w:szCs w:val="18"/>
                <w:color w:val="auto"/>
              </w:rPr>
              <w:t>$187,151</w:t>
            </w:r>
          </w:p>
        </w:tc>
        <w:tc>
          <w:tcPr>
            <w:tcW w:w="20" w:type="dxa"/>
            <w:vAlign w:val="bottom"/>
          </w:tcPr>
          <w:p>
            <w:pPr>
              <w:spacing w:after="0"/>
              <w:rPr>
                <w:sz w:val="20"/>
                <w:szCs w:val="20"/>
                <w:color w:val="auto"/>
              </w:rPr>
            </w:pPr>
          </w:p>
        </w:tc>
        <w:tc>
          <w:tcPr>
            <w:tcW w:w="1720" w:type="dxa"/>
            <w:vAlign w:val="bottom"/>
            <w:gridSpan w:val="8"/>
          </w:tcPr>
          <w:p>
            <w:pPr>
              <w:jc w:val="right"/>
              <w:spacing w:after="0"/>
              <w:rPr>
                <w:sz w:val="20"/>
                <w:szCs w:val="20"/>
                <w:color w:val="auto"/>
              </w:rPr>
            </w:pPr>
            <w:r>
              <w:rPr>
                <w:rFonts w:ascii="Arial" w:cs="Arial" w:eastAsia="Arial" w:hAnsi="Arial"/>
                <w:sz w:val="18"/>
                <w:szCs w:val="18"/>
                <w:color w:val="auto"/>
              </w:rPr>
              <w:t>$161,011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$26,140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right"/>
              <w:ind w:right="108"/>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61"/>
        </w:trPr>
        <w:tc>
          <w:tcPr>
            <w:tcW w:w="3500" w:type="dxa"/>
            <w:vAlign w:val="bottom"/>
            <w:gridSpan w:val="3"/>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Borders>
              <w:right w:val="single" w:sz="8" w:color="808080"/>
            </w:tcBorders>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6420" w:type="dxa"/>
            <w:vAlign w:val="bottom"/>
            <w:gridSpan w:val="12"/>
          </w:tcPr>
          <w:p>
            <w:pPr>
              <w:spacing w:after="0"/>
              <w:rPr>
                <w:sz w:val="20"/>
                <w:szCs w:val="20"/>
                <w:color w:val="auto"/>
              </w:rPr>
            </w:pPr>
            <w:r>
              <w:rPr>
                <w:rFonts w:ascii="Arial" w:cs="Arial" w:eastAsia="Arial" w:hAnsi="Arial"/>
                <w:sz w:val="18"/>
                <w:szCs w:val="18"/>
                <w:color w:val="auto"/>
              </w:rPr>
              <w:t>The following table summarizes operating earnings (loss) by segment: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10"/>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gridSpan w:val="2"/>
          </w:tcPr>
          <w:p>
            <w:pPr>
              <w:spacing w:after="0"/>
              <w:rPr>
                <w:sz w:val="4"/>
                <w:szCs w:val="4"/>
                <w:color w:val="auto"/>
              </w:rPr>
            </w:pPr>
          </w:p>
        </w:tc>
        <w:tc>
          <w:tcPr>
            <w:tcW w:w="58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gridSpan w:val="2"/>
          </w:tcPr>
          <w:p>
            <w:pPr>
              <w:spacing w:after="0"/>
              <w:rPr>
                <w:sz w:val="4"/>
                <w:szCs w:val="4"/>
                <w:color w:val="auto"/>
              </w:rPr>
            </w:pPr>
          </w:p>
        </w:tc>
        <w:tc>
          <w:tcPr>
            <w:tcW w:w="460" w:type="dxa"/>
            <w:vAlign w:val="bottom"/>
            <w:tcBorders>
              <w:bottom w:val="single" w:sz="8" w:color="808080"/>
            </w:tcBorders>
            <w:gridSpan w:val="2"/>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40" w:type="dxa"/>
            <w:vAlign w:val="bottom"/>
            <w:gridSpan w:val="8"/>
          </w:tcPr>
          <w:p>
            <w:pPr>
              <w:ind w:left="40"/>
              <w:spacing w:after="0"/>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7"/>
                <w:szCs w:val="17"/>
                <w:color w:val="auto"/>
              </w:rPr>
            </w:pPr>
          </w:p>
        </w:tc>
        <w:tc>
          <w:tcPr>
            <w:tcW w:w="9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7"/>
          </w:tcPr>
          <w:p>
            <w:pPr>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gridSpan w:val="2"/>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808080"/>
            </w:tcBorders>
            <w:gridSpan w:val="2"/>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71,704</w:t>
            </w:r>
          </w:p>
        </w:tc>
        <w:tc>
          <w:tcPr>
            <w:tcW w:w="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1"/>
              </w:rPr>
              <w:t>$ 63,424</w:t>
            </w:r>
          </w:p>
        </w:tc>
        <w:tc>
          <w:tcPr>
            <w:tcW w:w="80" w:type="dxa"/>
            <w:vAlign w:val="bottom"/>
            <w:tcBorders>
              <w:lef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8,280</w:t>
            </w:r>
          </w:p>
        </w:tc>
        <w:tc>
          <w:tcPr>
            <w:tcW w:w="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08"/>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26,719</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24,349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2,370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268"/>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1,603</w:t>
            </w:r>
          </w:p>
        </w:tc>
        <w:tc>
          <w:tcPr>
            <w:tcW w:w="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80" w:type="dxa"/>
            <w:vAlign w:val="bottom"/>
            <w:tcBorders>
              <w:lef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995</w:t>
            </w:r>
          </w:p>
        </w:tc>
        <w:tc>
          <w:tcPr>
            <w:tcW w:w="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68"/>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w w:val="86"/>
              </w:rPr>
              <w:t>(21,531)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(25,739)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4,208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268"/>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78,495</w:t>
            </w:r>
          </w:p>
        </w:tc>
        <w:tc>
          <w:tcPr>
            <w:tcW w:w="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1"/>
              </w:rPr>
              <w:t>$ 62,642</w:t>
            </w:r>
          </w:p>
        </w:tc>
        <w:tc>
          <w:tcPr>
            <w:tcW w:w="80" w:type="dxa"/>
            <w:vAlign w:val="bottom"/>
            <w:tcBorders>
              <w:lef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$15,853</w:t>
            </w:r>
          </w:p>
        </w:tc>
        <w:tc>
          <w:tcPr>
            <w:tcW w:w="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08"/>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3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80" w:type="dxa"/>
            <w:vAlign w:val="bottom"/>
            <w:tcBorders>
              <w:top w:val="single" w:sz="8" w:color="EEEEEE"/>
              <w:right w:val="single" w:sz="8" w:color="808080"/>
            </w:tcBorders>
          </w:tcPr>
          <w:p>
            <w:pPr>
              <w:spacing w:after="0"/>
              <w:rPr>
                <w:sz w:val="3"/>
                <w:szCs w:val="3"/>
                <w:color w:val="auto"/>
              </w:rPr>
            </w:pPr>
          </w:p>
        </w:tc>
        <w:tc>
          <w:tcPr>
            <w:tcW w:w="560" w:type="dxa"/>
            <w:vAlign w:val="bottom"/>
            <w:tcBorders>
              <w:top w:val="single" w:sz="8" w:color="808080"/>
              <w:right w:val="single" w:sz="8" w:color="808080"/>
            </w:tcBorders>
            <w:shd w:val="clear" w:color="auto" w:fill="808080"/>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60" w:type="dxa"/>
            <w:vAlign w:val="bottom"/>
            <w:tcBorders>
              <w:top w:val="single" w:sz="8" w:color="EEEEEE"/>
              <w:right w:val="single" w:sz="8" w:color="808080"/>
            </w:tcBorders>
          </w:tcPr>
          <w:p>
            <w:pPr>
              <w:spacing w:after="0"/>
              <w:rPr>
                <w:sz w:val="3"/>
                <w:szCs w:val="3"/>
                <w:color w:val="auto"/>
              </w:rPr>
            </w:pPr>
          </w:p>
        </w:tc>
        <w:tc>
          <w:tcPr>
            <w:tcW w:w="280" w:type="dxa"/>
            <w:vAlign w:val="bottom"/>
            <w:tcBorders>
              <w:top w:val="single" w:sz="8" w:color="808080"/>
            </w:tcBorders>
            <w:shd w:val="clear" w:color="auto" w:fill="808080"/>
          </w:tcPr>
          <w:p>
            <w:pPr>
              <w:spacing w:after="0"/>
              <w:rPr>
                <w:sz w:val="3"/>
                <w:szCs w:val="3"/>
                <w:color w:val="auto"/>
              </w:rPr>
            </w:pPr>
          </w:p>
        </w:tc>
        <w:tc>
          <w:tcPr>
            <w:tcW w:w="220" w:type="dxa"/>
            <w:vAlign w:val="bottom"/>
            <w:tcBorders>
              <w:top w:val="single" w:sz="8" w:color="808080"/>
            </w:tcBorders>
            <w:shd w:val="clear" w:color="auto" w:fill="808080"/>
          </w:tcPr>
          <w:p>
            <w:pPr>
              <w:spacing w:after="0"/>
              <w:rPr>
                <w:sz w:val="3"/>
                <w:szCs w:val="3"/>
                <w:color w:val="auto"/>
              </w:rPr>
            </w:pPr>
          </w:p>
        </w:tc>
        <w:tc>
          <w:tcPr>
            <w:tcW w:w="820" w:type="dxa"/>
            <w:vAlign w:val="bottom"/>
            <w:tcBorders>
              <w:top w:val="single" w:sz="8" w:color="EEEEEE"/>
            </w:tcBorders>
            <w:gridSpan w:val="4"/>
          </w:tcPr>
          <w:p>
            <w:pPr>
              <w:spacing w:after="0"/>
              <w:rPr>
                <w:sz w:val="3"/>
                <w:szCs w:val="3"/>
                <w:color w:val="auto"/>
              </w:rPr>
            </w:pPr>
          </w:p>
        </w:tc>
        <w:tc>
          <w:tcPr>
            <w:tcW w:w="480" w:type="dxa"/>
            <w:vAlign w:val="bottom"/>
            <w:tcBorders>
              <w:top w:val="single" w:sz="8" w:color="EEEEEE"/>
            </w:tcBorders>
            <w:gridSpan w:val="3"/>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80" w:type="dxa"/>
            <w:vAlign w:val="bottom"/>
            <w:tcBorders>
              <w:top w:val="single" w:sz="8" w:color="EEEEEE"/>
              <w:right w:val="single" w:sz="8" w:color="808080"/>
            </w:tcBorders>
          </w:tcPr>
          <w:p>
            <w:pPr>
              <w:spacing w:after="0"/>
              <w:rPr>
                <w:sz w:val="3"/>
                <w:szCs w:val="3"/>
                <w:color w:val="auto"/>
              </w:rPr>
            </w:pPr>
          </w:p>
        </w:tc>
        <w:tc>
          <w:tcPr>
            <w:tcW w:w="300" w:type="dxa"/>
            <w:vAlign w:val="bottom"/>
            <w:tcBorders>
              <w:top w:val="single" w:sz="8" w:color="808080"/>
              <w:right w:val="single" w:sz="8" w:color="808080"/>
            </w:tcBorders>
            <w:shd w:val="clear" w:color="auto" w:fill="808080"/>
          </w:tcPr>
          <w:p>
            <w:pPr>
              <w:spacing w:after="0"/>
              <w:rPr>
                <w:sz w:val="3"/>
                <w:szCs w:val="3"/>
                <w:color w:val="auto"/>
              </w:rPr>
            </w:pPr>
          </w:p>
        </w:tc>
        <w:tc>
          <w:tcPr>
            <w:tcW w:w="10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9"/>
          </w:tcPr>
          <w:p>
            <w:pPr>
              <w:ind w:left="4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gridSpan w:val="3"/>
          </w:tcPr>
          <w:p>
            <w:pPr>
              <w:spacing w:after="0"/>
              <w:rPr>
                <w:sz w:val="4"/>
                <w:szCs w:val="4"/>
                <w:color w:val="auto"/>
              </w:rPr>
            </w:pPr>
          </w:p>
        </w:tc>
        <w:tc>
          <w:tcPr>
            <w:tcW w:w="58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gridSpan w:val="2"/>
          </w:tcPr>
          <w:p>
            <w:pPr>
              <w:spacing w:after="0"/>
              <w:rPr>
                <w:sz w:val="4"/>
                <w:szCs w:val="4"/>
                <w:color w:val="auto"/>
              </w:rPr>
            </w:pPr>
          </w:p>
        </w:tc>
        <w:tc>
          <w:tcPr>
            <w:tcW w:w="460" w:type="dxa"/>
            <w:vAlign w:val="bottom"/>
            <w:tcBorders>
              <w:bottom w:val="single" w:sz="8" w:color="808080"/>
            </w:tcBorders>
            <w:gridSpan w:val="2"/>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40" w:type="dxa"/>
            <w:vAlign w:val="bottom"/>
            <w:gridSpan w:val="8"/>
          </w:tcPr>
          <w:p>
            <w:pPr>
              <w:ind w:left="80"/>
              <w:spacing w:after="0"/>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7"/>
                <w:szCs w:val="17"/>
                <w:color w:val="auto"/>
              </w:rPr>
            </w:pPr>
          </w:p>
        </w:tc>
        <w:tc>
          <w:tcPr>
            <w:tcW w:w="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8"/>
              </w:rPr>
              <w:t>May 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7"/>
          </w:tcPr>
          <w:p>
            <w:pPr>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gridSpan w:val="2"/>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gridSpan w:val="2"/>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3"/>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6"/>
              </w:rPr>
              <w:t>100,153</w:t>
            </w:r>
          </w:p>
        </w:tc>
        <w:tc>
          <w:tcPr>
            <w:tcW w:w="6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9"/>
              </w:rPr>
              <w:t>$ 91,180</w:t>
            </w:r>
          </w:p>
        </w:tc>
        <w:tc>
          <w:tcPr>
            <w:tcW w:w="80" w:type="dxa"/>
            <w:vAlign w:val="bottom"/>
            <w:tcBorders>
              <w:lef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7"/>
              </w:rPr>
              <w:t>8,973</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0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35,056</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33,010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2,046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26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(570)</w:t>
            </w: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2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(2,750)</w:t>
            </w: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7"/>
              </w:rPr>
              <w:t>2,180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68"/>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w w:val="92"/>
              </w:rPr>
              <w:t>(42,122)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5"/>
          </w:tcPr>
          <w:p>
            <w:pPr>
              <w:jc w:val="right"/>
              <w:ind w:right="340"/>
              <w:spacing w:after="0"/>
              <w:rPr>
                <w:sz w:val="20"/>
                <w:szCs w:val="20"/>
                <w:color w:val="auto"/>
              </w:rPr>
            </w:pPr>
            <w:r>
              <w:rPr>
                <w:rFonts w:ascii="Arial" w:cs="Arial" w:eastAsia="Arial" w:hAnsi="Arial"/>
                <w:sz w:val="18"/>
                <w:szCs w:val="18"/>
                <w:color w:val="auto"/>
              </w:rPr>
              <w:t>(48,378)</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6,256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268"/>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92,517</w:t>
            </w:r>
          </w:p>
        </w:tc>
        <w:tc>
          <w:tcPr>
            <w:tcW w:w="6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9"/>
              </w:rPr>
              <w:t>$ 73,062</w:t>
            </w:r>
          </w:p>
        </w:tc>
        <w:tc>
          <w:tcPr>
            <w:tcW w:w="80" w:type="dxa"/>
            <w:vAlign w:val="bottom"/>
            <w:tcBorders>
              <w:lef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$19,455</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08"/>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3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80" w:type="dxa"/>
            <w:vAlign w:val="bottom"/>
            <w:tcBorders>
              <w:top w:val="single" w:sz="8" w:color="EEEEEE"/>
              <w:right w:val="single" w:sz="8" w:color="808080"/>
            </w:tcBorders>
          </w:tcPr>
          <w:p>
            <w:pPr>
              <w:spacing w:after="0"/>
              <w:rPr>
                <w:sz w:val="3"/>
                <w:szCs w:val="3"/>
                <w:color w:val="auto"/>
              </w:rPr>
            </w:pPr>
          </w:p>
        </w:tc>
        <w:tc>
          <w:tcPr>
            <w:tcW w:w="560" w:type="dxa"/>
            <w:vAlign w:val="bottom"/>
            <w:tcBorders>
              <w:top w:val="single" w:sz="8" w:color="808080"/>
              <w:right w:val="single" w:sz="8" w:color="808080"/>
            </w:tcBorders>
            <w:shd w:val="clear" w:color="auto" w:fill="808080"/>
          </w:tcPr>
          <w:p>
            <w:pPr>
              <w:spacing w:after="0"/>
              <w:rPr>
                <w:sz w:val="3"/>
                <w:szCs w:val="3"/>
                <w:color w:val="auto"/>
              </w:rPr>
            </w:pPr>
          </w:p>
        </w:tc>
        <w:tc>
          <w:tcPr>
            <w:tcW w:w="40" w:type="dxa"/>
            <w:vAlign w:val="bottom"/>
            <w:tcBorders>
              <w:top w:val="single" w:sz="8" w:color="808080"/>
              <w:right w:val="single" w:sz="8" w:color="808080"/>
            </w:tcBorders>
            <w:shd w:val="clear" w:color="auto" w:fill="808080"/>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60" w:type="dxa"/>
            <w:vAlign w:val="bottom"/>
            <w:tcBorders>
              <w:top w:val="single" w:sz="8" w:color="EEEEEE"/>
              <w:right w:val="single" w:sz="8" w:color="808080"/>
            </w:tcBorders>
          </w:tcPr>
          <w:p>
            <w:pPr>
              <w:spacing w:after="0"/>
              <w:rPr>
                <w:sz w:val="3"/>
                <w:szCs w:val="3"/>
                <w:color w:val="auto"/>
              </w:rPr>
            </w:pPr>
          </w:p>
        </w:tc>
        <w:tc>
          <w:tcPr>
            <w:tcW w:w="280" w:type="dxa"/>
            <w:vAlign w:val="bottom"/>
            <w:tcBorders>
              <w:top w:val="single" w:sz="8" w:color="808080"/>
            </w:tcBorders>
            <w:shd w:val="clear" w:color="auto" w:fill="808080"/>
          </w:tcPr>
          <w:p>
            <w:pPr>
              <w:spacing w:after="0"/>
              <w:rPr>
                <w:sz w:val="3"/>
                <w:szCs w:val="3"/>
                <w:color w:val="auto"/>
              </w:rPr>
            </w:pPr>
          </w:p>
        </w:tc>
        <w:tc>
          <w:tcPr>
            <w:tcW w:w="22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EEEEEE"/>
              <w:left w:val="single" w:sz="8" w:color="808080"/>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80" w:type="dxa"/>
            <w:vAlign w:val="bottom"/>
            <w:tcBorders>
              <w:top w:val="single" w:sz="8" w:color="EEEEEE"/>
              <w:right w:val="single" w:sz="8" w:color="808080"/>
            </w:tcBorders>
          </w:tcPr>
          <w:p>
            <w:pPr>
              <w:spacing w:after="0"/>
              <w:rPr>
                <w:sz w:val="3"/>
                <w:szCs w:val="3"/>
                <w:color w:val="auto"/>
              </w:rPr>
            </w:pPr>
          </w:p>
        </w:tc>
        <w:tc>
          <w:tcPr>
            <w:tcW w:w="300" w:type="dxa"/>
            <w:vAlign w:val="bottom"/>
            <w:tcBorders>
              <w:top w:val="single" w:sz="8" w:color="808080"/>
              <w:right w:val="single" w:sz="8" w:color="808080"/>
            </w:tcBorders>
            <w:shd w:val="clear" w:color="auto" w:fill="808080"/>
          </w:tcPr>
          <w:p>
            <w:pPr>
              <w:spacing w:after="0"/>
              <w:rPr>
                <w:sz w:val="3"/>
                <w:szCs w:val="3"/>
                <w:color w:val="auto"/>
              </w:rPr>
            </w:pPr>
          </w:p>
        </w:tc>
        <w:tc>
          <w:tcPr>
            <w:tcW w:w="10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808080"/>
              <w:right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Worldwide net sales for the professional segment in the second quarter and year-to-date of fiscal 2004 were up 7.8 percent and 7.6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last year. Worldwide shipments of most product lines were up due to the success of introducing new products within the past two years, continued increase in demand for landscape contractor equipment, and overall improving economic conditions that have resulted in strong retail demand in most businesses. Somewhat offsetting those increases was a decline in golf irrigation product sales due to timing of golf projects. International sales were significantly up due also to strong demand and the success of introducing new products as well as a weaker U.S. dollar.</w:t>
      </w:r>
    </w:p>
    <w:p>
      <w:pPr>
        <w:spacing w:after="0" w:line="118" w:lineRule="exact"/>
        <w:rPr>
          <w:sz w:val="20"/>
          <w:szCs w:val="20"/>
          <w:color w:val="auto"/>
        </w:rPr>
      </w:pPr>
    </w:p>
    <w:p>
      <w:pPr>
        <w:ind w:right="320"/>
        <w:spacing w:after="0" w:line="310" w:lineRule="auto"/>
        <w:rPr>
          <w:sz w:val="20"/>
          <w:szCs w:val="20"/>
          <w:color w:val="auto"/>
        </w:rPr>
      </w:pPr>
      <w:r>
        <w:rPr>
          <w:rFonts w:ascii="Arial" w:cs="Arial" w:eastAsia="Arial" w:hAnsi="Arial"/>
          <w:sz w:val="15"/>
          <w:szCs w:val="15"/>
          <w:i w:val="1"/>
          <w:iCs w:val="1"/>
          <w:color w:val="auto"/>
        </w:rPr>
        <w:t xml:space="preserve">Operating Earnings. </w:t>
      </w:r>
      <w:r>
        <w:rPr>
          <w:rFonts w:ascii="Arial" w:cs="Arial" w:eastAsia="Arial" w:hAnsi="Arial"/>
          <w:sz w:val="15"/>
          <w:szCs w:val="15"/>
          <w:color w:val="auto"/>
        </w:rPr>
        <w:t>Operating earnings for the professional segment in the second quarter and year-to-date of fiscal 2004 increased 13.1 percent and 9.8</w:t>
      </w:r>
      <w:r>
        <w:rPr>
          <w:rFonts w:ascii="Arial" w:cs="Arial" w:eastAsia="Arial" w:hAnsi="Arial"/>
          <w:sz w:val="15"/>
          <w:szCs w:val="15"/>
          <w:i w:val="1"/>
          <w:iCs w:val="1"/>
          <w:color w:val="auto"/>
        </w:rPr>
        <w:t xml:space="preserve"> </w:t>
      </w:r>
      <w:r>
        <w:rPr>
          <w:rFonts w:ascii="Arial" w:cs="Arial" w:eastAsia="Arial" w:hAnsi="Arial"/>
          <w:sz w:val="15"/>
          <w:szCs w:val="15"/>
          <w:color w:val="auto"/>
        </w:rPr>
        <w:t>percent, respectively, compared to the same periods last year. Expressed as a percentage of net sales, professional segment operating margins increased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percent compared to 20.2 percent in the second quarter of fiscal 2003, and fiscal 2004 year-to-date professional segment operating margins increased to</w:t>
      </w:r>
    </w:p>
    <w:p>
      <w:pPr>
        <w:spacing w:after="0" w:line="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18.3 percent compared to 18.0 percent last year. The increases were due mainly to higher gross margins as a result of the same factors discussed previously in the Gross Profit section. SG&amp;A expense as a percentage of net sales was also lower due mainly to leveraging the fixed portion of SG&amp;A costs over higher sales volumes. Somewhat offsetting the year-to-date profit improvement was lower other income in fiscal 2004 considering there was a gain from a legal settlement realized last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Worldwide net sales for the residential segment in the second quarter and year-to-date of fiscal 2004 were up by 13.0 percent and 9.6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last year. Shipments of Toro walk power mowers to the home center channel led this increase as we introduced a new model and experienced strong retail demand. In addition, fiscal 2004 second quarter sales benefited from a shift of sales from the first quarter in comparison to the same prior year periods as a result of the timing of a retail promotional program. Sales of riding products were slightly up due to initial stocking shipments of new products sold under a private label. However, other riding product sales declined due to initial stocking orders for the new TimeCutter® zero-turning radius riding mowers introduced last year as well as continued strong competition. For the year-to-date comparison, snowthrower product shipments were also higher due to the successful introduction of our new two-stage snowthrower products as well as heavy snowfalls in key markets, which also resulted in lower field inventory levels this year compared to last year. International sales benefited from a weaker U.S. dollar as well as strong sales of Pope® irrigation products in Australia and increased sales of walk power mower products.</w:t>
      </w:r>
    </w:p>
    <w:p>
      <w:pPr>
        <w:spacing w:after="0" w:line="14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Operating Earnings. </w:t>
      </w:r>
      <w:r>
        <w:rPr>
          <w:rFonts w:ascii="Arial" w:cs="Arial" w:eastAsia="Arial" w:hAnsi="Arial"/>
          <w:sz w:val="18"/>
          <w:szCs w:val="18"/>
          <w:color w:val="auto"/>
        </w:rPr>
        <w:t>Operating earnings for the residential segment in the second quarter and year-to-date of fiscal 2004 increased 9.7 percent and 6.2</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respectively, compared to the same periods last year due to higher sales volumes. Expressed as a percentage of net sales, residential segment operating margins decreased to 13.7 percent compared to 14.1 percent in the second quarter of fiscal 2003, and fiscal 2004 year-to-date residential segment operating margins decreased to 12.0 percent compared to 12.4 percent last year. This decline was due mainly to increased sales of new products with lower gross margins.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Worldwide net sales for the distribution segment in the second quarter and year-to-date of fiscal 2004 were up 27.0 percent and 19.6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the same periods last year. The sales increase was due primarily to strong demand for commercial equipment and the addition of sales from a southeastern-based distributor acquired during the second quarter of fiscal 2003.</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Earnings (Losses). </w:t>
      </w:r>
      <w:r>
        <w:rPr>
          <w:rFonts w:ascii="Arial" w:cs="Arial" w:eastAsia="Arial" w:hAnsi="Arial"/>
          <w:sz w:val="18"/>
          <w:szCs w:val="18"/>
          <w:color w:val="auto"/>
        </w:rPr>
        <w:t>Operating earnings for the distribution segment were $1.6 million in the second quarter of fiscal 2004 compared to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fiscal 2003. Year-to-date operating losses for fiscal 2004 were $0.6 million compared to $2.8 million last year. This favorable change in operating results was due to higher sales volumes at the company-owned distributorships.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other segment include the elimination of sales from the professional and residential segments to the distribution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and residential segment shipments to the company-owned distributorships are eliminated in the other segment because consolidated results reflect those sales in the distribution segment after products are sold by the company-owned distributorships. In addition, elimination of the professional and residential segments’ floor plan interest costs from Toro Credit Company are also included in this segment. The other segment net sales elimination increased for the second quarter and year-to-date of fiscal 2004 by 15.8 percent and 13.6 percent, respectively, compared to the same periods last year, reflecting higher levels of shipments to the distribution companies.</w:t>
      </w:r>
    </w:p>
    <w:p>
      <w:pPr>
        <w:spacing w:after="0" w:line="15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Operating Losses. </w:t>
      </w:r>
      <w:r>
        <w:rPr>
          <w:rFonts w:ascii="Arial" w:cs="Arial" w:eastAsia="Arial" w:hAnsi="Arial"/>
          <w:sz w:val="18"/>
          <w:szCs w:val="18"/>
          <w:color w:val="auto"/>
        </w:rPr>
        <w:t>Operating losses for the other segment improved for the second quarter and year-to-date of fiscal 2003 by $4.2 million and $6.3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the same periods last year. This was due to the following factors: (i) costs for distributor changes last year that did not occur this year; (ii) a decline in bad debt expense; (iii) reduction of the gross profit elimination in inventory at our company-owned distributors due mainly to a decline in inventory levels; and (iv) lower interest expense. Somewhat offsetting those decreases were continued investments in information systems and higher incentive compensation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first half of fiscal 2004, our financial condition remained strong and emphasis continued on improving asset management. Average working capital for the first half of fiscal 2004 was $373.0 million compared to $311.0 million for the first half of fiscal 2003. The increase of 19.9 percent was due primarily to lower average debt and higher average cash and cash equivalents, somewhat offset by higher average accrued liabilities. Average receivables for the first half of fiscal 2004 increased by 2.4 percent compared to the first half of fiscal 2003 on a sales increase of 8.8 percent. Our average days outstanding for receivables improved to 77 days based on sales for the last twelve months ended April 30, 2004, compared to 83 days for the twelve months ended May 2, 2003. Average inventory levels declined 2.5 percent for the first half of fiscal 2004 compared to the first half of fiscal 2003, and average inventory turnover improved 4.0 percent for the last twelve months ended April 30, 2004 compared to the last twelve months ended May 2, 2003. The improvement in average days outstanding for receivables and average inventory turnover reflects our continuing efforts to improve asset utilization.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businesses are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provide us with adequate liquidity to meet our operating requirements. We believe that the combination of funds available through existing or anticipated financing arrangements, coupled with forecasted cash flows, will be sufficient to provide the necessary capital resources for our anticipated working capital, capital expenditures, debt repayments, and stock repurchases through at least the next twelve months.</w:t>
      </w:r>
    </w:p>
    <w:p>
      <w:pPr>
        <w:spacing w:after="0" w:line="15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Cash Flow. </w:t>
      </w:r>
      <w:r>
        <w:rPr>
          <w:rFonts w:ascii="Arial" w:cs="Arial" w:eastAsia="Arial" w:hAnsi="Arial"/>
          <w:sz w:val="17"/>
          <w:szCs w:val="17"/>
          <w:color w:val="auto"/>
        </w:rPr>
        <w:t>Cash used in operating activities for the first six months of fiscal 2004 was 52.1 percent lower than the first six months of fiscal 2003, due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higher earnings and a lower increase in receivables and inventory levels as well as higher accrued liabilities. Cash used in investing activities was higher by 7.4 percent compared to the first half of fiscal 2003, mainly due to cash used for an investment in fiscal 2004, whereas we received proceeds from an investment and sale of a distributorship in fiscal 2003. Cash provided by financing activities was $3.1 million for the first six months of fiscal 2004 compared to $82.4 million for the first six months of fiscal 2003. This change was due to a lower increase in short-term debt during the first six months of fiscal 2004 compared to the first six months of fiscal 2003 as a result of using cash on hand to finance operating activities, somewhat offset by lower levels of repayments of long-term debt and higher repurchases of common stock.</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Credit Lines and Other Capital Resources. </w:t>
      </w:r>
      <w:r>
        <w:rPr>
          <w:rFonts w:ascii="Arial" w:cs="Arial" w:eastAsia="Arial" w:hAnsi="Arial"/>
          <w:sz w:val="18"/>
          <w:szCs w:val="18"/>
          <w:color w:val="auto"/>
        </w:rPr>
        <w:t>Our business is seasonal, with peak borrowing generally occurring between February and May each year. Our U.S.</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are funded with a $175.0 million medium-term committed unsecured bank credit line with various banks, which expires in February 2005. We also have a $75.0 million secured credit line backed by a multi-year credit agreement. Interest expense on these credit lines is determined based on a LIBOR or commercial paper rate plus a basis point spread defined in the credit agreements. In addition, our non-U.S. operations and a domestic subsidiary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also maintain unsecured short-term lines of credit of approximately $12.0 million. These facilities bear interest at various rates depending on the rates in their respective countries of operation. We also have a letter of credit subfacility as part of our credit agreements. Average borrowings were $9.4 million in the first half of fiscal 2004 compared to $50.4 million in the first half of fiscal 2003. The significant decrease in average short-term debt resulted primarily from the use of cash to finance working capital requirements and higher average levels of accrued liabilities. As of April 30, 2004, we had $232.0 million of unutilized availability under our credit agreements.</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Significant financial covenants in our credit agreements are interest coverage and debt to capitalization ratios. We were in compliance with all covenants related to our credit agreements as of April 30, 2004, and expect to be in compliance with all covenants for the remainder of fiscal 2004. Our credit agreements require compliance with all of the covenants defined in the agreements. However, if we are out of compliance with any debt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on the credit agreements would increase, but the credit commitments could not be cancelled by the banks based only on a ratings downgrade. Our debt rating for long-term unsecured senior, non-credit enhanced debt has been unchanged for the first half of fiscal 2004 by Standard and Poor’s Ratings Group at BBB- and by Moody’s Investors Service at Baa3.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off-balance sheet arrangements relate to customer financing activities and inventory purchase commitments as well as operating lease commitments. See our most recent Annual Report filed on Form 10-K for further details regarding our off-balance sheet arrangements and contractual obligations. There has been no material change in this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the effects of inflation and changing prices. In our opinion, changes in net sales and net earnings that have resulted from inflation and changing prices have not been material during the periods presented. However, there is no assurance that inflation will not materially affect us in the future. In fiscal 2004, we expect steel and other commodity prices to increase. We will attempt to deal with these and other inflationary pressures by actively pursuing internal cost reduction efforts and introducing slight price increases.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3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significant accounting policies are described in Note 1 to the consolidated financial statements included in our Annual Report on Form 10-K for the fiscal year ended October 31, 2003. Not all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3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Warranty Reserve</w:t>
      </w:r>
      <w:r>
        <w:rPr>
          <w:rFonts w:ascii="Arial" w:cs="Arial" w:eastAsia="Arial" w:hAnsi="Arial"/>
          <w:sz w:val="17"/>
          <w:szCs w:val="17"/>
          <w:color w:val="auto"/>
        </w:rPr>
        <w:t>. Warranty coverage on our products ranges from a period of six months to seven years, and coverage includes parts, labor,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upon approval.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of such factors as performance of new</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An unexpected increase in warranty claims or in the costs associated with servicing those claims would result in an increase in our warranty accrual and a decrease in our net earnings.</w:t>
      </w:r>
    </w:p>
    <w:p>
      <w:pPr>
        <w:spacing w:after="0" w:line="14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Accounts and Notes Receivable Valuation</w:t>
      </w:r>
      <w:r>
        <w:rPr>
          <w:rFonts w:ascii="Arial" w:cs="Arial" w:eastAsia="Arial" w:hAnsi="Arial"/>
          <w:sz w:val="17"/>
          <w:szCs w:val="17"/>
          <w:color w:val="auto"/>
        </w:rPr>
        <w:t>. We value accounts and notes receivable, net of an allowance for doubtful accounts. Each quarter, we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collect outstanding receivables, which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slowdown in the economy could have a material negative impact on our ability to collect a portion or all of the accounts and notes receivable. We believe that an analysis of historical trends and our current knowledge of potential collection problems provide us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 that a smaller or larger uncollectible accounts reserve is appropriate, we would record a credit or charge to selling, general, and administrative expense in the period in which we made such a determination.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Safe Harbor Statement</w:t>
      </w:r>
      <w:r>
        <w:rPr>
          <w:rFonts w:ascii="Arial" w:cs="Arial" w:eastAsia="Arial" w:hAnsi="Arial"/>
          <w:sz w:val="17"/>
          <w:szCs w:val="17"/>
          <w:color w:val="auto"/>
        </w:rPr>
        <w:t>.</w:t>
      </w:r>
      <w:r>
        <w:rPr>
          <w:rFonts w:ascii="Arial" w:cs="Arial" w:eastAsia="Arial" w:hAnsi="Arial"/>
          <w:sz w:val="17"/>
          <w:szCs w:val="17"/>
          <w:i w:val="1"/>
          <w:iCs w:val="1"/>
          <w:color w:val="auto"/>
        </w:rPr>
        <w:t xml:space="preserve"> This Quarterly Report on Form 10-Q contains or incorporates by reference not only historical information, but also forward-looking statements within the meaning of Section 27A of the Securities Act of 1933 and Section 21E of the Securities Exchange Act of 1934. In addition, we or others on our behalf may make forward-looking statements from time to time in oral presentations, including telephone conferences and/or web casts open to the public, in press releases or reports, on our Internet web site or otherwise. Statements that are not historical are forward-looking and reflect expectations and assumptions. We try to identify forward-looking statements in this report and elsewhere by using words such as “expect”, “looking ahead”, “anticipate”, “plan”, “estimate”, “believe”, “should”, “intend”, and similar expressions. Our forward-looking statements generally relate to our future performance, including our anticipated operating results and liquidity requirements, our business strategies and goals, and the effect of laws, rules and regulations and outstanding litigation on our business.</w:t>
      </w:r>
    </w:p>
    <w:p>
      <w:pPr>
        <w:spacing w:after="0" w:line="1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Forward-looking statements involve risks and uncertainties. These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81" w:lineRule="exact"/>
        <w:rPr>
          <w:sz w:val="20"/>
          <w:szCs w:val="20"/>
          <w:color w:val="auto"/>
        </w:rPr>
      </w:pPr>
    </w:p>
    <w:p>
      <w:pPr>
        <w:ind w:left="220" w:right="56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global and domestic economies, including but not limited to slow growth rate, slow down in home sales, rise in interest rates, inflation, unemployment, and weaker consumer confidence, which could have a negative impact on our financial results.</w:t>
      </w:r>
    </w:p>
    <w:p>
      <w:pPr>
        <w:spacing w:after="0" w:line="170" w:lineRule="exact"/>
        <w:rPr>
          <w:rFonts w:ascii="Arial" w:cs="Arial" w:eastAsia="Arial" w:hAnsi="Arial"/>
          <w:sz w:val="18"/>
          <w:szCs w:val="18"/>
          <w:color w:val="auto"/>
        </w:rPr>
      </w:pPr>
    </w:p>
    <w:p>
      <w:pPr>
        <w:ind w:left="220" w:right="34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and contraction of the U.S. and worldwide economies.</w:t>
      </w:r>
    </w:p>
    <w:p>
      <w:pPr>
        <w:spacing w:after="0" w:line="170" w:lineRule="exact"/>
        <w:rPr>
          <w:rFonts w:ascii="Arial" w:cs="Arial" w:eastAsia="Arial" w:hAnsi="Arial"/>
          <w:sz w:val="18"/>
          <w:szCs w:val="18"/>
          <w:color w:val="auto"/>
        </w:rPr>
      </w:pPr>
    </w:p>
    <w:p>
      <w:pPr>
        <w:ind w:left="220" w:right="10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goals of the “6 + 8” initiative, which is intended to increase our after-tax return on sales to 6 percent or better and grow revenues at an average rate of 8 percent or better by the end of fiscal 2006.</w:t>
      </w:r>
    </w:p>
    <w:p>
      <w:pPr>
        <w:spacing w:after="0" w:line="170" w:lineRule="exact"/>
        <w:rPr>
          <w:rFonts w:ascii="Arial" w:cs="Arial" w:eastAsia="Arial" w:hAnsi="Arial"/>
          <w:sz w:val="18"/>
          <w:szCs w:val="18"/>
          <w:color w:val="auto"/>
        </w:rPr>
      </w:pPr>
    </w:p>
    <w:p>
      <w:pPr>
        <w:ind w:left="22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lean manufacturing “no waste” and productivity improvement initiatives, which are intended to improve gross margins and offset a portion of rising raw material costs.</w:t>
      </w:r>
    </w:p>
    <w:p>
      <w:pPr>
        <w:spacing w:after="0" w:line="170" w:lineRule="exact"/>
        <w:rPr>
          <w:rFonts w:ascii="Arial" w:cs="Arial" w:eastAsia="Arial" w:hAnsi="Arial"/>
          <w:sz w:val="18"/>
          <w:szCs w:val="18"/>
          <w:color w:val="auto"/>
        </w:rPr>
      </w:pPr>
    </w:p>
    <w:p>
      <w:pPr>
        <w:ind w:left="220" w:right="52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competition, including competitive pricing pressures, new competitors entering the markets we serve, potential loss of market share, new product introductions, and financing programs offered by both domestic and foreign companies.</w:t>
      </w:r>
    </w:p>
    <w:p>
      <w:pPr>
        <w:spacing w:after="0" w:line="170" w:lineRule="exact"/>
        <w:rPr>
          <w:rFonts w:ascii="Arial" w:cs="Arial" w:eastAsia="Arial" w:hAnsi="Arial"/>
          <w:sz w:val="18"/>
          <w:szCs w:val="18"/>
          <w:color w:val="auto"/>
        </w:rPr>
      </w:pPr>
    </w:p>
    <w:p>
      <w:pPr>
        <w:ind w:left="220" w:right="6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such as steel and other commodities, and the ability to maintain favorable supplier arrangements and relationships.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that reduce demand for our products.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acquire, develop, and integrate new businesses and manage alliances successfully, both of which are important to our revenue growth.</w:t>
      </w:r>
    </w:p>
    <w:p>
      <w:pPr>
        <w:spacing w:after="0" w:line="248" w:lineRule="exact"/>
        <w:rPr>
          <w:rFonts w:ascii="Arial" w:cs="Arial" w:eastAsia="Arial" w:hAnsi="Arial"/>
          <w:sz w:val="16"/>
          <w:szCs w:val="16"/>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projected sales and earnings growth for fiscal 2004.</w:t>
      </w:r>
    </w:p>
    <w:p>
      <w:pPr>
        <w:spacing w:after="0" w:line="225" w:lineRule="exact"/>
        <w:rPr>
          <w:rFonts w:ascii="Arial" w:cs="Arial" w:eastAsia="Arial" w:hAnsi="Arial"/>
          <w:sz w:val="18"/>
          <w:szCs w:val="18"/>
          <w:color w:val="auto"/>
        </w:rPr>
      </w:pPr>
    </w:p>
    <w:p>
      <w:pPr>
        <w:ind w:left="220" w:right="680" w:hanging="212"/>
        <w:spacing w:after="0" w:line="342" w:lineRule="auto"/>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ectPr>
          <w:pgSz w:w="11900" w:h="16838" w:orient="portrait"/>
          <w:cols w:equalWidth="0" w:num="1">
            <w:col w:w="11360"/>
          </w:cols>
          <w:pgMar w:left="240" w:top="419" w:right="299" w:bottom="1440" w:gutter="0" w:footer="0" w:header="0"/>
        </w:sectPr>
      </w:pP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or reduction of shelf space for our products at retailers.</w:t>
      </w:r>
    </w:p>
    <w:p>
      <w:pPr>
        <w:spacing w:after="0" w:line="225" w:lineRule="exact"/>
        <w:rPr>
          <w:rFonts w:ascii="Arial" w:cs="Arial" w:eastAsia="Arial" w:hAnsi="Arial"/>
          <w:sz w:val="18"/>
          <w:szCs w:val="18"/>
          <w:color w:val="auto"/>
        </w:rPr>
      </w:pPr>
    </w:p>
    <w:p>
      <w:pPr>
        <w:ind w:left="220" w:right="1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inventory adjustments or changes in purchasing patterns by our customers, which could reduce sales and necessitate lowering manufacturing volumes, or increase inventory above acceptable levels.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relationship with and terms from third party financing sources utilized by our customers.</w:t>
      </w:r>
    </w:p>
    <w:p>
      <w:pPr>
        <w:spacing w:after="0" w:line="225" w:lineRule="exact"/>
        <w:rPr>
          <w:rFonts w:ascii="Arial" w:cs="Arial" w:eastAsia="Arial" w:hAnsi="Arial"/>
          <w:sz w:val="18"/>
          <w:szCs w:val="18"/>
          <w:color w:val="auto"/>
        </w:rPr>
      </w:pPr>
    </w:p>
    <w:p>
      <w:pPr>
        <w:ind w:left="2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product quality problems in the development and production of new and existing products, which could result in loss of market share, reduced sales, and higher warranty expense.</w:t>
      </w:r>
    </w:p>
    <w:p>
      <w:pPr>
        <w:spacing w:after="0" w:line="170" w:lineRule="exact"/>
        <w:rPr>
          <w:rFonts w:ascii="Arial" w:cs="Arial" w:eastAsia="Arial" w:hAnsi="Arial"/>
          <w:sz w:val="18"/>
          <w:szCs w:val="18"/>
          <w:color w:val="auto"/>
        </w:rPr>
      </w:pPr>
    </w:p>
    <w:p>
      <w:pPr>
        <w:ind w:left="220" w:right="14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Degree of success in restructuring and plant consolidation, including our ability to cost-effectively expand existing, move production between, and close manufacturing facilities.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of recovery in the golf course market.</w:t>
      </w:r>
    </w:p>
    <w:p>
      <w:pPr>
        <w:spacing w:after="0" w:line="225" w:lineRule="exact"/>
        <w:rPr>
          <w:rFonts w:ascii="Arial" w:cs="Arial" w:eastAsia="Arial" w:hAnsi="Arial"/>
          <w:sz w:val="18"/>
          <w:szCs w:val="18"/>
          <w:color w:val="auto"/>
        </w:rPr>
      </w:pPr>
    </w:p>
    <w:p>
      <w:pPr>
        <w:ind w:left="220" w:right="2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Changing buying patterns, including but not limited to, a trend away from purchases at dealer outlets to price and value sensitive purchases at hardware retailers, home centers, and mass retailers.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dependence on The Home Depot, Inc. as a customer for the residential segment.</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government spending for grounds maintenance equipment due to reduced tax revenue and tighter government budgets.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Governmental restrictions placed on water usage as well as water availability.</w:t>
      </w:r>
    </w:p>
    <w:p>
      <w:pPr>
        <w:spacing w:after="0" w:line="225" w:lineRule="exact"/>
        <w:rPr>
          <w:rFonts w:ascii="Arial" w:cs="Arial" w:eastAsia="Arial" w:hAnsi="Arial"/>
          <w:sz w:val="18"/>
          <w:szCs w:val="18"/>
          <w:color w:val="auto"/>
        </w:rPr>
      </w:pPr>
    </w:p>
    <w:p>
      <w:pPr>
        <w:ind w:left="220" w:right="4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viability of some distributors and dealers, changes in distributor ownership, our success in partnering with new dealers, and our customers’ ability to pay amounts owed to us.</w:t>
      </w:r>
    </w:p>
    <w:p>
      <w:pPr>
        <w:spacing w:after="0" w:line="170" w:lineRule="exact"/>
        <w:rPr>
          <w:rFonts w:ascii="Arial" w:cs="Arial" w:eastAsia="Arial" w:hAnsi="Arial"/>
          <w:sz w:val="18"/>
          <w:szCs w:val="18"/>
          <w:color w:val="auto"/>
        </w:rPr>
      </w:pPr>
    </w:p>
    <w:p>
      <w:pPr>
        <w:ind w:left="220" w:right="16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including changes in accounting standards; taxation changes, including tax rate changes, new tax laws, revised tax law interpretations, or the repeal of the foreign export benefit; and environmental laws.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litigation, including threatened or pending litigation, on matters relating to patent infringement, employment, and commercial disputes.</w:t>
      </w:r>
    </w:p>
    <w:p>
      <w:pPr>
        <w:spacing w:after="0" w:line="236" w:lineRule="exact"/>
        <w:rPr>
          <w:rFonts w:ascii="Arial" w:cs="Arial" w:eastAsia="Arial" w:hAnsi="Arial"/>
          <w:sz w:val="17"/>
          <w:szCs w:val="17"/>
          <w:color w:val="auto"/>
        </w:rPr>
      </w:pPr>
    </w:p>
    <w:p>
      <w:pPr>
        <w:ind w:left="220" w:right="68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currency exchange rates or raw material commodity prices, and the costs we incur in providing price support to international customers and suppliers.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we file with or furnish to the Securities and Exchange Commission.</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Changes in these factors could cause fluctuations in our net earnings and cash flows. In the normal course of business, we actively manage the exposure to foreign currency market risk by 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volatility associated with foreign exchange rate changes, and not for trading purposes. Our market risk on interest rates relates primarily to short-term debt and the potential increase in fair value of long-term debt resulting from a potential decrease in interest rates. However, we do not have a cash flow or earnings exposure due to market risks on long-term debt. See further discussions on these market risks below.</w:t>
      </w:r>
    </w:p>
    <w:p>
      <w:pPr>
        <w:spacing w:after="0" w:line="138"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Foreign Currency Exchange Rate Risk. </w:t>
      </w:r>
      <w:r>
        <w:rPr>
          <w:rFonts w:ascii="Arial" w:cs="Arial" w:eastAsia="Arial" w:hAnsi="Arial"/>
          <w:sz w:val="16"/>
          <w:szCs w:val="16"/>
          <w:color w:val="auto"/>
        </w:rPr>
        <w:t>We are exposed to foreign currency exchange rate risk arising from transactions in the normal course of business,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1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second quarter and six months ended April 30, 2004, the amount of losses reclassified to earnings for such cash flow hedges was $2.5 million and $5.2 million, respectively.</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foreign currency exchange contracts held by us have maturity dates in fiscal 2004. All items are non-trading and stated in U.S. dollars. Some derivative instruments we enter into do not meet the hedging criteria of SFAS No. 133; therefore, changes in fair value are recorded in other income, net. The average contracted rate, notional amount, pre-tax value of derivative instruments in accumulated other comprehensive income (loss), and fair value impact of derivative instruments in other income, net as of April 30, 2004 were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Value in</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Notional</w:t>
            </w: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Contracted</w:t>
            </w: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8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(except average contracted rate)</w:t>
            </w:r>
          </w:p>
        </w:tc>
        <w:tc>
          <w:tcPr>
            <w:tcW w:w="2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Pr>
          <w:p>
            <w:pPr>
              <w:spacing w:after="0"/>
              <w:rPr>
                <w:sz w:val="16"/>
                <w:szCs w:val="16"/>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Buy US dollar/Sell Australian dollar</w:t>
            </w:r>
          </w:p>
        </w:tc>
        <w:tc>
          <w:tcPr>
            <w:tcW w:w="166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0.6976</w:t>
            </w:r>
          </w:p>
        </w:tc>
        <w:tc>
          <w:tcPr>
            <w:tcW w:w="17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$25,492.6</w:t>
            </w:r>
          </w:p>
        </w:tc>
        <w:tc>
          <w:tcPr>
            <w:tcW w:w="1620" w:type="dxa"/>
            <w:vAlign w:val="bottom"/>
            <w:gridSpan w:val="2"/>
            <w:shd w:val="clear" w:color="auto" w:fill="EEEEEE"/>
          </w:tcPr>
          <w:p>
            <w:pPr>
              <w:jc w:val="right"/>
              <w:ind w:right="303"/>
              <w:spacing w:after="0"/>
              <w:rPr>
                <w:sz w:val="20"/>
                <w:szCs w:val="20"/>
                <w:color w:val="auto"/>
              </w:rPr>
            </w:pPr>
            <w:r>
              <w:rPr>
                <w:rFonts w:ascii="Arial" w:cs="Arial" w:eastAsia="Arial" w:hAnsi="Arial"/>
                <w:sz w:val="18"/>
                <w:szCs w:val="18"/>
                <w:color w:val="auto"/>
              </w:rPr>
              <w:t>$(284.7)</w:t>
            </w:r>
          </w:p>
        </w:tc>
        <w:tc>
          <w:tcPr>
            <w:tcW w:w="1860" w:type="dxa"/>
            <w:vAlign w:val="bottom"/>
            <w:gridSpan w:val="2"/>
            <w:shd w:val="clear" w:color="auto" w:fill="EEEEEE"/>
          </w:tcPr>
          <w:p>
            <w:pPr>
              <w:jc w:val="right"/>
              <w:ind w:right="384"/>
              <w:spacing w:after="0"/>
              <w:rPr>
                <w:sz w:val="20"/>
                <w:szCs w:val="20"/>
                <w:color w:val="auto"/>
              </w:rPr>
            </w:pPr>
            <w:r>
              <w:rPr>
                <w:rFonts w:ascii="Arial" w:cs="Arial" w:eastAsia="Arial" w:hAnsi="Arial"/>
                <w:sz w:val="18"/>
                <w:szCs w:val="18"/>
                <w:color w:val="auto"/>
              </w:rPr>
              <w:t>$  (480.8)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Buy US dollar/Sell Canadian dollar</w:t>
            </w:r>
          </w:p>
        </w:tc>
        <w:tc>
          <w:tcPr>
            <w:tcW w:w="1660" w:type="dxa"/>
            <w:vAlign w:val="bottom"/>
            <w:gridSpan w:val="2"/>
          </w:tcPr>
          <w:p>
            <w:pPr>
              <w:jc w:val="right"/>
              <w:ind w:right="288"/>
              <w:spacing w:after="0"/>
              <w:rPr>
                <w:sz w:val="20"/>
                <w:szCs w:val="20"/>
                <w:color w:val="auto"/>
              </w:rPr>
            </w:pPr>
            <w:r>
              <w:rPr>
                <w:rFonts w:ascii="Arial" w:cs="Arial" w:eastAsia="Arial" w:hAnsi="Arial"/>
                <w:sz w:val="18"/>
                <w:szCs w:val="18"/>
                <w:color w:val="auto"/>
              </w:rPr>
              <w:t>0.7179</w:t>
            </w:r>
          </w:p>
        </w:tc>
        <w:tc>
          <w:tcPr>
            <w:tcW w:w="1700" w:type="dxa"/>
            <w:vAlign w:val="bottom"/>
            <w:gridSpan w:val="2"/>
          </w:tcPr>
          <w:p>
            <w:pPr>
              <w:jc w:val="right"/>
              <w:ind w:right="368"/>
              <w:spacing w:after="0"/>
              <w:rPr>
                <w:sz w:val="20"/>
                <w:szCs w:val="20"/>
                <w:color w:val="auto"/>
              </w:rPr>
            </w:pPr>
            <w:r>
              <w:rPr>
                <w:rFonts w:ascii="Arial" w:cs="Arial" w:eastAsia="Arial" w:hAnsi="Arial"/>
                <w:sz w:val="18"/>
                <w:szCs w:val="18"/>
                <w:color w:val="auto"/>
              </w:rPr>
              <w:t>3,876.4</w:t>
            </w:r>
          </w:p>
        </w:tc>
        <w:tc>
          <w:tcPr>
            <w:tcW w:w="1620" w:type="dxa"/>
            <w:vAlign w:val="bottom"/>
            <w:gridSpan w:val="2"/>
          </w:tcPr>
          <w:p>
            <w:pPr>
              <w:jc w:val="right"/>
              <w:ind w:right="303"/>
              <w:spacing w:after="0"/>
              <w:rPr>
                <w:sz w:val="20"/>
                <w:szCs w:val="20"/>
                <w:color w:val="auto"/>
              </w:rPr>
            </w:pPr>
            <w:r>
              <w:rPr>
                <w:rFonts w:ascii="Arial" w:cs="Arial" w:eastAsia="Arial" w:hAnsi="Arial"/>
                <w:sz w:val="18"/>
                <w:szCs w:val="18"/>
                <w:color w:val="auto"/>
              </w:rPr>
              <w:t>(41.6)</w:t>
            </w:r>
          </w:p>
        </w:tc>
        <w:tc>
          <w:tcPr>
            <w:tcW w:w="1860" w:type="dxa"/>
            <w:vAlign w:val="bottom"/>
            <w:gridSpan w:val="2"/>
          </w:tcPr>
          <w:p>
            <w:pPr>
              <w:jc w:val="right"/>
              <w:ind w:right="38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Buy US dollar/Sell Euro</w:t>
            </w:r>
          </w:p>
        </w:tc>
        <w:tc>
          <w:tcPr>
            <w:tcW w:w="166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1.1567</w:t>
            </w:r>
          </w:p>
        </w:tc>
        <w:tc>
          <w:tcPr>
            <w:tcW w:w="17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98,471.8</w:t>
            </w:r>
          </w:p>
        </w:tc>
        <w:tc>
          <w:tcPr>
            <w:tcW w:w="1620" w:type="dxa"/>
            <w:vAlign w:val="bottom"/>
            <w:gridSpan w:val="2"/>
            <w:shd w:val="clear" w:color="auto" w:fill="EEEEEE"/>
          </w:tcPr>
          <w:p>
            <w:pPr>
              <w:jc w:val="right"/>
              <w:ind w:right="303"/>
              <w:spacing w:after="0"/>
              <w:rPr>
                <w:sz w:val="20"/>
                <w:szCs w:val="20"/>
                <w:color w:val="auto"/>
              </w:rPr>
            </w:pPr>
            <w:r>
              <w:rPr>
                <w:rFonts w:ascii="Arial" w:cs="Arial" w:eastAsia="Arial" w:hAnsi="Arial"/>
                <w:sz w:val="18"/>
                <w:szCs w:val="18"/>
                <w:color w:val="auto"/>
              </w:rPr>
              <w:t>(295.7)</w:t>
            </w:r>
          </w:p>
        </w:tc>
        <w:tc>
          <w:tcPr>
            <w:tcW w:w="1860" w:type="dxa"/>
            <w:vAlign w:val="bottom"/>
            <w:gridSpan w:val="2"/>
            <w:shd w:val="clear" w:color="auto" w:fill="EEEEEE"/>
          </w:tcPr>
          <w:p>
            <w:pPr>
              <w:jc w:val="right"/>
              <w:ind w:right="384"/>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Buy Euro/Sell US dollar</w:t>
            </w:r>
          </w:p>
        </w:tc>
        <w:tc>
          <w:tcPr>
            <w:tcW w:w="1660" w:type="dxa"/>
            <w:vAlign w:val="bottom"/>
            <w:gridSpan w:val="2"/>
          </w:tcPr>
          <w:p>
            <w:pPr>
              <w:jc w:val="right"/>
              <w:ind w:right="288"/>
              <w:spacing w:after="0"/>
              <w:rPr>
                <w:sz w:val="20"/>
                <w:szCs w:val="20"/>
                <w:color w:val="auto"/>
              </w:rPr>
            </w:pPr>
            <w:r>
              <w:rPr>
                <w:rFonts w:ascii="Arial" w:cs="Arial" w:eastAsia="Arial" w:hAnsi="Arial"/>
                <w:sz w:val="18"/>
                <w:szCs w:val="18"/>
                <w:color w:val="auto"/>
              </w:rPr>
              <w:t>1.2072</w:t>
            </w:r>
          </w:p>
        </w:tc>
        <w:tc>
          <w:tcPr>
            <w:tcW w:w="1700" w:type="dxa"/>
            <w:vAlign w:val="bottom"/>
            <w:gridSpan w:val="2"/>
          </w:tcPr>
          <w:p>
            <w:pPr>
              <w:jc w:val="right"/>
              <w:ind w:right="368"/>
              <w:spacing w:after="0"/>
              <w:rPr>
                <w:sz w:val="20"/>
                <w:szCs w:val="20"/>
                <w:color w:val="auto"/>
              </w:rPr>
            </w:pPr>
            <w:r>
              <w:rPr>
                <w:rFonts w:ascii="Arial" w:cs="Arial" w:eastAsia="Arial" w:hAnsi="Arial"/>
                <w:sz w:val="18"/>
                <w:szCs w:val="18"/>
                <w:color w:val="auto"/>
              </w:rPr>
              <w:t>4,104.6</w:t>
            </w:r>
          </w:p>
        </w:tc>
        <w:tc>
          <w:tcPr>
            <w:tcW w:w="280" w:type="dxa"/>
            <w:vAlign w:val="bottom"/>
          </w:tcPr>
          <w:p>
            <w:pPr>
              <w:spacing w:after="0"/>
              <w:rPr>
                <w:sz w:val="18"/>
                <w:szCs w:val="18"/>
                <w:color w:val="auto"/>
              </w:rPr>
            </w:pPr>
          </w:p>
        </w:tc>
        <w:tc>
          <w:tcPr>
            <w:tcW w:w="1340" w:type="dxa"/>
            <w:vAlign w:val="bottom"/>
          </w:tcPr>
          <w:p>
            <w:pPr>
              <w:jc w:val="right"/>
              <w:ind w:right="363"/>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84"/>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Buy Japanese yen/Sell US dollar</w:t>
            </w:r>
          </w:p>
        </w:tc>
        <w:tc>
          <w:tcPr>
            <w:tcW w:w="166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116.8857</w:t>
            </w:r>
          </w:p>
        </w:tc>
        <w:tc>
          <w:tcPr>
            <w:tcW w:w="17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3,253.6</w:t>
            </w:r>
          </w:p>
        </w:tc>
        <w:tc>
          <w:tcPr>
            <w:tcW w:w="1620" w:type="dxa"/>
            <w:vAlign w:val="bottom"/>
            <w:gridSpan w:val="2"/>
            <w:shd w:val="clear" w:color="auto" w:fill="EEEEEE"/>
          </w:tcPr>
          <w:p>
            <w:pPr>
              <w:jc w:val="right"/>
              <w:ind w:right="363"/>
              <w:spacing w:after="0"/>
              <w:rPr>
                <w:sz w:val="20"/>
                <w:szCs w:val="20"/>
                <w:color w:val="auto"/>
              </w:rPr>
            </w:pPr>
            <w:r>
              <w:rPr>
                <w:rFonts w:ascii="Arial" w:cs="Arial" w:eastAsia="Arial" w:hAnsi="Arial"/>
                <w:sz w:val="18"/>
                <w:szCs w:val="18"/>
                <w:color w:val="auto"/>
              </w:rPr>
              <w:t>138.9</w:t>
            </w:r>
          </w:p>
        </w:tc>
        <w:tc>
          <w:tcPr>
            <w:tcW w:w="1860" w:type="dxa"/>
            <w:vAlign w:val="bottom"/>
            <w:gridSpan w:val="2"/>
            <w:shd w:val="clear" w:color="auto" w:fill="EEEEEE"/>
          </w:tcPr>
          <w:p>
            <w:pPr>
              <w:jc w:val="right"/>
              <w:ind w:right="444"/>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Buy Australian dollar/Sell US dollar</w:t>
            </w:r>
          </w:p>
        </w:tc>
        <w:tc>
          <w:tcPr>
            <w:tcW w:w="1660" w:type="dxa"/>
            <w:vAlign w:val="bottom"/>
            <w:gridSpan w:val="2"/>
          </w:tcPr>
          <w:p>
            <w:pPr>
              <w:jc w:val="right"/>
              <w:ind w:right="288"/>
              <w:spacing w:after="0"/>
              <w:rPr>
                <w:sz w:val="20"/>
                <w:szCs w:val="20"/>
                <w:color w:val="auto"/>
              </w:rPr>
            </w:pPr>
            <w:r>
              <w:rPr>
                <w:rFonts w:ascii="Arial" w:cs="Arial" w:eastAsia="Arial" w:hAnsi="Arial"/>
                <w:sz w:val="18"/>
                <w:szCs w:val="18"/>
                <w:color w:val="auto"/>
              </w:rPr>
              <w:t>0.7276</w:t>
            </w:r>
          </w:p>
        </w:tc>
        <w:tc>
          <w:tcPr>
            <w:tcW w:w="1700" w:type="dxa"/>
            <w:vAlign w:val="bottom"/>
            <w:gridSpan w:val="2"/>
          </w:tcPr>
          <w:p>
            <w:pPr>
              <w:jc w:val="right"/>
              <w:ind w:right="368"/>
              <w:spacing w:after="0"/>
              <w:rPr>
                <w:sz w:val="20"/>
                <w:szCs w:val="20"/>
                <w:color w:val="auto"/>
              </w:rPr>
            </w:pPr>
            <w:r>
              <w:rPr>
                <w:rFonts w:ascii="Arial" w:cs="Arial" w:eastAsia="Arial" w:hAnsi="Arial"/>
                <w:sz w:val="18"/>
                <w:szCs w:val="18"/>
                <w:color w:val="auto"/>
              </w:rPr>
              <w:t>4,874.9</w:t>
            </w:r>
          </w:p>
        </w:tc>
        <w:tc>
          <w:tcPr>
            <w:tcW w:w="280" w:type="dxa"/>
            <w:vAlign w:val="bottom"/>
          </w:tcPr>
          <w:p>
            <w:pPr>
              <w:spacing w:after="0"/>
              <w:rPr>
                <w:sz w:val="18"/>
                <w:szCs w:val="18"/>
                <w:color w:val="auto"/>
              </w:rPr>
            </w:pPr>
          </w:p>
        </w:tc>
        <w:tc>
          <w:tcPr>
            <w:tcW w:w="1340" w:type="dxa"/>
            <w:vAlign w:val="bottom"/>
          </w:tcPr>
          <w:p>
            <w:pPr>
              <w:jc w:val="right"/>
              <w:ind w:right="363"/>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84"/>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Buy Mexican peso/Sell US dollar</w:t>
            </w:r>
          </w:p>
        </w:tc>
        <w:tc>
          <w:tcPr>
            <w:tcW w:w="166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11.0542</w:t>
            </w:r>
          </w:p>
        </w:tc>
        <w:tc>
          <w:tcPr>
            <w:tcW w:w="170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6,875.2</w:t>
            </w:r>
          </w:p>
        </w:tc>
        <w:tc>
          <w:tcPr>
            <w:tcW w:w="1620" w:type="dxa"/>
            <w:vAlign w:val="bottom"/>
            <w:gridSpan w:val="2"/>
            <w:shd w:val="clear" w:color="auto" w:fill="EEEEEE"/>
          </w:tcPr>
          <w:p>
            <w:pPr>
              <w:jc w:val="right"/>
              <w:ind w:right="303"/>
              <w:spacing w:after="0"/>
              <w:rPr>
                <w:sz w:val="20"/>
                <w:szCs w:val="20"/>
                <w:color w:val="auto"/>
              </w:rPr>
            </w:pPr>
            <w:r>
              <w:rPr>
                <w:rFonts w:ascii="Arial" w:cs="Arial" w:eastAsia="Arial" w:hAnsi="Arial"/>
                <w:sz w:val="18"/>
                <w:szCs w:val="18"/>
                <w:color w:val="auto"/>
              </w:rPr>
              <w:t>(286.4)</w:t>
            </w: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4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interest rate risk arising from transactions that are entered into during the normal course of business. Our short-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medium-term debt rates are dependent upon the LIBOR rate plus an additional percentage based on our current borrowing level. See our most recent Annual Report filed on Form 10-K (Item 7A). There has been no material change in this information.</w:t>
      </w:r>
    </w:p>
    <w:p>
      <w:pPr>
        <w:spacing w:after="0" w:line="15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Some raw materials used in our products are exposed to commodity price changes. We manage some of this risk by using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short-term and long-term agreements with some vendors. The primary commodity price exposures are with aluminum, steel, and plastic resin.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maintains disclosure controls and procedures (as defined in Exchange Act Rules 13a-15(e) and 15d-15(e)) that are designed to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The company’s management evaluated, with the participation of the company’s Chief Executive Officer and Chief Financial Officer, the effectiveness of the design and operation of the company’s disclosure controls and procedures as of the end of the period covered in this Quarterly Report on Form 10-Q. Based on that evaluation, the company’s Chief Executive Officer and Chief Financial Officer concluded that the company’s disclosure controls and procedures were effective as of the end of such period. There was no change in the company’s internal control over financial reporting that occurred during the company’s fiscal second quarter ended April 30, 2004 that has materially affected, or is reasonably likely to materially affect, the company’s internal control over financial reporting.</w:t>
      </w:r>
    </w:p>
    <w:p>
      <w:pPr>
        <w:spacing w:after="0" w:line="1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Item 2. CHANGES IN SECURITIES, USE OF PROCEEDS, AND ISSUER PURCHASES OF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second quarter of fiscal 2004 stock repurchase activity: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38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8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Total Number of</w:t>
            </w:r>
          </w:p>
        </w:tc>
        <w:tc>
          <w:tcPr>
            <w:tcW w:w="380" w:type="dxa"/>
            <w:vAlign w:val="bottom"/>
          </w:tcPr>
          <w:p>
            <w:pPr>
              <w:spacing w:after="0"/>
              <w:rPr>
                <w:sz w:val="12"/>
                <w:szCs w:val="12"/>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Average Price</w:t>
            </w:r>
          </w:p>
        </w:tc>
        <w:tc>
          <w:tcPr>
            <w:tcW w:w="4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8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40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8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Shares Purchased (1)</w:t>
            </w:r>
          </w:p>
        </w:tc>
        <w:tc>
          <w:tcPr>
            <w:tcW w:w="38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400" w:type="dxa"/>
            <w:vAlign w:val="bottom"/>
          </w:tcPr>
          <w:p>
            <w:pPr>
              <w:spacing w:after="0"/>
              <w:rPr>
                <w:sz w:val="16"/>
                <w:szCs w:val="16"/>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or Programs</w:t>
            </w:r>
          </w:p>
        </w:tc>
        <w:tc>
          <w:tcPr>
            <w:tcW w:w="38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53"/>
        </w:trPr>
        <w:tc>
          <w:tcPr>
            <w:tcW w:w="328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8"/>
                <w:szCs w:val="18"/>
                <w:color w:val="auto"/>
              </w:rPr>
              <w:t>January 31, 2004 through</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February 27, 2004</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880</w:t>
            </w:r>
          </w:p>
        </w:tc>
        <w:tc>
          <w:tcPr>
            <w:tcW w:w="8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$54.34</w:t>
            </w:r>
          </w:p>
        </w:tc>
        <w:tc>
          <w:tcPr>
            <w:tcW w:w="4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880</w:t>
            </w:r>
          </w:p>
        </w:tc>
        <w:tc>
          <w:tcPr>
            <w:tcW w:w="5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36,006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February 28, 2004 through</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March 26, 2004</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1,036,006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March 27, 2004 through</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140"/>
              <w:spacing w:after="0"/>
              <w:rPr>
                <w:sz w:val="20"/>
                <w:szCs w:val="20"/>
                <w:color w:val="auto"/>
              </w:rPr>
            </w:pPr>
            <w:r>
              <w:rPr>
                <w:rFonts w:ascii="Arial" w:cs="Arial" w:eastAsia="Arial" w:hAnsi="Arial"/>
                <w:sz w:val="18"/>
                <w:szCs w:val="18"/>
                <w:color w:val="auto"/>
              </w:rPr>
              <w:t>April 30, 2004</w:t>
            </w:r>
          </w:p>
        </w:tc>
        <w:tc>
          <w:tcPr>
            <w:tcW w:w="1200" w:type="dxa"/>
            <w:vAlign w:val="bottom"/>
            <w:gridSpan w:val="2"/>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56,179(2)(3)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4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55,593</w:t>
            </w:r>
          </w:p>
        </w:tc>
        <w:tc>
          <w:tcPr>
            <w:tcW w:w="58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1,036,006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500" w:type="dxa"/>
            <w:vAlign w:val="bottom"/>
            <w:shd w:val="clear" w:color="auto" w:fill="808080"/>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400" w:type="dxa"/>
            <w:vAlign w:val="bottom"/>
            <w:shd w:val="clear" w:color="auto" w:fill="808080"/>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500" w:type="dxa"/>
            <w:vAlign w:val="bottom"/>
            <w:shd w:val="clear" w:color="auto" w:fill="808080"/>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Borders>
              <w:bottom w:val="single" w:sz="8" w:color="808080"/>
            </w:tcBorders>
            <w:shd w:val="clear" w:color="auto" w:fill="808080"/>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57,059</w:t>
            </w:r>
          </w:p>
        </w:tc>
        <w:tc>
          <w:tcPr>
            <w:tcW w:w="8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$59.89</w:t>
            </w:r>
          </w:p>
        </w:tc>
        <w:tc>
          <w:tcPr>
            <w:tcW w:w="4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56,473</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60" w:right="60" w:hanging="552"/>
        <w:spacing w:after="0" w:line="255"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September 20, 2001, the company’s Board of Directors authorized the repurchase of up to 2,000,000 shares of the company’s common stock (doubled from the original amount of 1,000,000 shares as a result of the stock split effective April 1, 2003) in open-market or private transactions. On March 12, 2004, the company’s Board of Directors authorized the repurchase of up to an additional 1,000,000 shares of the company’s common stock under this program in open-market or private transactions. On May 27, 2004, the company’s Board of Directors authorized the repurchase of up to an additional 2,000,000 shares under this program, bringing the total maximum number of shares the company is authorized to repurchase under this program to 3,000,000 shares, and authorizing such repurchases to be made in open-market transactions, tender offers, private transactions or other transactions.</w:t>
      </w:r>
    </w:p>
    <w:p>
      <w:pPr>
        <w:spacing w:after="0" w:line="189" w:lineRule="exact"/>
        <w:rPr>
          <w:rFonts w:ascii="Arial" w:cs="Arial" w:eastAsia="Arial" w:hAnsi="Arial"/>
          <w:sz w:val="18"/>
          <w:szCs w:val="18"/>
          <w:color w:val="auto"/>
        </w:rPr>
      </w:pPr>
    </w:p>
    <w:p>
      <w:pPr>
        <w:ind w:left="560" w:right="40" w:hanging="552"/>
        <w:spacing w:after="0" w:line="264"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12, 2004, the company’s Board of Directors authorized the repurchase of up to 2,500,000 shares of the company’s common stock through a Dutch auction self-tender offer. On April 21, 2004, the company repurchased 55,593 shares at a price of $60.00 per share. The total cost paid to repurchase shares tendered in the self tender offer plus other tender offer related costs was $4.0 million.</w:t>
      </w:r>
    </w:p>
    <w:p>
      <w:pPr>
        <w:spacing w:after="0" w:line="181" w:lineRule="exact"/>
        <w:rPr>
          <w:rFonts w:ascii="Arial" w:cs="Arial" w:eastAsia="Arial" w:hAnsi="Arial"/>
          <w:sz w:val="18"/>
          <w:szCs w:val="18"/>
          <w:color w:val="auto"/>
        </w:rPr>
      </w:pPr>
    </w:p>
    <w:p>
      <w:pPr>
        <w:ind w:left="560" w:right="160" w:hanging="552"/>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586 units (shares) of the company’s common stock purchased in open-market transactions at an average price of $60.87 per share on behalf of a rabbi trust formed to pay benefit obligations of the company to participants in deferred compensation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Annual Meeting of Stockholders was held on March 12, 2004.</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the stockholder votes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740" w:type="dxa"/>
            <w:vAlign w:val="bottom"/>
          </w:tcPr>
          <w:p>
            <w:pPr>
              <w:jc w:val="right"/>
              <w:ind w:right="673"/>
              <w:spacing w:after="0"/>
              <w:rPr>
                <w:sz w:val="20"/>
                <w:szCs w:val="20"/>
                <w:color w:val="auto"/>
              </w:rPr>
            </w:pPr>
            <w:r>
              <w:rPr>
                <w:rFonts w:ascii="Arial" w:cs="Arial" w:eastAsia="Arial" w:hAnsi="Arial"/>
                <w:sz w:val="14"/>
                <w:szCs w:val="14"/>
                <w:b w:val="1"/>
                <w:bCs w:val="1"/>
                <w:color w:val="auto"/>
              </w:rPr>
              <w:t>For</w:t>
            </w:r>
          </w:p>
        </w:tc>
        <w:tc>
          <w:tcPr>
            <w:tcW w:w="280" w:type="dxa"/>
            <w:vAlign w:val="bottom"/>
          </w:tcPr>
          <w:p>
            <w:pPr>
              <w:spacing w:after="0"/>
              <w:rPr>
                <w:sz w:val="16"/>
                <w:szCs w:val="16"/>
                <w:color w:val="auto"/>
              </w:rPr>
            </w:pPr>
          </w:p>
        </w:tc>
        <w:tc>
          <w:tcPr>
            <w:tcW w:w="1580" w:type="dxa"/>
            <w:vAlign w:val="bottom"/>
          </w:tcPr>
          <w:p>
            <w:pPr>
              <w:jc w:val="right"/>
              <w:ind w:right="488"/>
              <w:spacing w:after="0"/>
              <w:rPr>
                <w:sz w:val="20"/>
                <w:szCs w:val="20"/>
                <w:color w:val="auto"/>
              </w:rPr>
            </w:pPr>
            <w:r>
              <w:rPr>
                <w:rFonts w:ascii="Arial" w:cs="Arial" w:eastAsia="Arial" w:hAnsi="Arial"/>
                <w:sz w:val="14"/>
                <w:szCs w:val="14"/>
                <w:b w:val="1"/>
                <w:bCs w:val="1"/>
                <w:color w:val="auto"/>
              </w:rPr>
              <w:t>Against</w:t>
            </w:r>
          </w:p>
        </w:tc>
        <w:tc>
          <w:tcPr>
            <w:tcW w:w="280" w:type="dxa"/>
            <w:vAlign w:val="bottom"/>
          </w:tcPr>
          <w:p>
            <w:pPr>
              <w:spacing w:after="0"/>
              <w:rPr>
                <w:sz w:val="16"/>
                <w:szCs w:val="16"/>
                <w:color w:val="auto"/>
              </w:rPr>
            </w:pP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Abstain</w:t>
            </w: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w w:val="92"/>
              </w:rPr>
              <w:t>Broker Non-Votes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70"/>
              </w:rPr>
              <w:t>1.</w:t>
            </w:r>
          </w:p>
        </w:tc>
        <w:tc>
          <w:tcPr>
            <w:tcW w:w="4840" w:type="dxa"/>
            <w:vAlign w:val="bottom"/>
            <w:shd w:val="clear" w:color="auto" w:fill="EEEEEE"/>
          </w:tcPr>
          <w:p>
            <w:pPr>
              <w:ind w:left="40"/>
              <w:spacing w:after="0"/>
              <w:rPr>
                <w:sz w:val="20"/>
                <w:szCs w:val="20"/>
                <w:color w:val="auto"/>
              </w:rPr>
            </w:pPr>
            <w:r>
              <w:rPr>
                <w:rFonts w:ascii="Arial" w:cs="Arial" w:eastAsia="Arial" w:hAnsi="Arial"/>
                <w:sz w:val="18"/>
                <w:szCs w:val="18"/>
                <w:color w:val="auto"/>
              </w:rPr>
              <w:t>Election of Directors — for terms expiring in March 2007</w:t>
            </w:r>
          </w:p>
        </w:tc>
        <w:tc>
          <w:tcPr>
            <w:tcW w:w="1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Robert C. Buhrmaster</w:t>
            </w:r>
          </w:p>
        </w:tc>
        <w:tc>
          <w:tcPr>
            <w:tcW w:w="1740" w:type="dxa"/>
            <w:vAlign w:val="bottom"/>
          </w:tcPr>
          <w:p>
            <w:pPr>
              <w:jc w:val="right"/>
              <w:ind w:right="413"/>
              <w:spacing w:after="0"/>
              <w:rPr>
                <w:sz w:val="20"/>
                <w:szCs w:val="20"/>
                <w:color w:val="auto"/>
              </w:rPr>
            </w:pPr>
            <w:r>
              <w:rPr>
                <w:rFonts w:ascii="Arial" w:cs="Arial" w:eastAsia="Arial" w:hAnsi="Arial"/>
                <w:sz w:val="18"/>
                <w:szCs w:val="18"/>
                <w:color w:val="auto"/>
              </w:rPr>
              <w:t>20,703,075</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1,058,936</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Winslow H. Buxton</w:t>
            </w:r>
          </w:p>
        </w:tc>
        <w:tc>
          <w:tcPr>
            <w:tcW w:w="1740" w:type="dxa"/>
            <w:vAlign w:val="bottom"/>
            <w:shd w:val="clear" w:color="auto" w:fill="EEEEEE"/>
          </w:tcPr>
          <w:p>
            <w:pPr>
              <w:jc w:val="right"/>
              <w:ind w:right="413"/>
              <w:spacing w:after="0"/>
              <w:rPr>
                <w:sz w:val="20"/>
                <w:szCs w:val="20"/>
                <w:color w:val="auto"/>
              </w:rPr>
            </w:pPr>
            <w:r>
              <w:rPr>
                <w:rFonts w:ascii="Arial" w:cs="Arial" w:eastAsia="Arial" w:hAnsi="Arial"/>
                <w:sz w:val="18"/>
                <w:szCs w:val="18"/>
                <w:color w:val="auto"/>
              </w:rPr>
              <w:t>20,712,832</w:t>
            </w:r>
          </w:p>
        </w:tc>
        <w:tc>
          <w:tcPr>
            <w:tcW w:w="186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1,049,179</w:t>
            </w:r>
          </w:p>
        </w:tc>
        <w:tc>
          <w:tcPr>
            <w:tcW w:w="148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Robert H. Nassau</w:t>
            </w:r>
          </w:p>
        </w:tc>
        <w:tc>
          <w:tcPr>
            <w:tcW w:w="1740" w:type="dxa"/>
            <w:vAlign w:val="bottom"/>
          </w:tcPr>
          <w:p>
            <w:pPr>
              <w:jc w:val="right"/>
              <w:ind w:right="413"/>
              <w:spacing w:after="0"/>
              <w:rPr>
                <w:sz w:val="20"/>
                <w:szCs w:val="20"/>
                <w:color w:val="auto"/>
              </w:rPr>
            </w:pPr>
            <w:r>
              <w:rPr>
                <w:rFonts w:ascii="Arial" w:cs="Arial" w:eastAsia="Arial" w:hAnsi="Arial"/>
                <w:sz w:val="18"/>
                <w:szCs w:val="18"/>
                <w:color w:val="auto"/>
              </w:rPr>
              <w:t>20,323,358</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1,438,653</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Christopher A. Twomey</w:t>
            </w:r>
          </w:p>
        </w:tc>
        <w:tc>
          <w:tcPr>
            <w:tcW w:w="1740" w:type="dxa"/>
            <w:vAlign w:val="bottom"/>
            <w:shd w:val="clear" w:color="auto" w:fill="EEEEEE"/>
          </w:tcPr>
          <w:p>
            <w:pPr>
              <w:jc w:val="right"/>
              <w:ind w:right="413"/>
              <w:spacing w:after="0"/>
              <w:rPr>
                <w:sz w:val="20"/>
                <w:szCs w:val="20"/>
                <w:color w:val="auto"/>
              </w:rPr>
            </w:pPr>
            <w:r>
              <w:rPr>
                <w:rFonts w:ascii="Arial" w:cs="Arial" w:eastAsia="Arial" w:hAnsi="Arial"/>
                <w:sz w:val="18"/>
                <w:szCs w:val="18"/>
                <w:color w:val="auto"/>
              </w:rPr>
              <w:t>20,735,911</w:t>
            </w:r>
          </w:p>
        </w:tc>
        <w:tc>
          <w:tcPr>
            <w:tcW w:w="186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1,026,100</w:t>
            </w:r>
          </w:p>
        </w:tc>
        <w:tc>
          <w:tcPr>
            <w:tcW w:w="148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70"/>
              </w:rPr>
              <w:t>2.</w:t>
            </w:r>
          </w:p>
        </w:tc>
        <w:tc>
          <w:tcPr>
            <w:tcW w:w="4840" w:type="dxa"/>
            <w:vAlign w:val="bottom"/>
          </w:tcPr>
          <w:p>
            <w:pPr>
              <w:ind w:left="40"/>
              <w:spacing w:after="0" w:line="201" w:lineRule="exact"/>
              <w:rPr>
                <w:sz w:val="20"/>
                <w:szCs w:val="20"/>
                <w:color w:val="auto"/>
              </w:rPr>
            </w:pPr>
            <w:r>
              <w:rPr>
                <w:rFonts w:ascii="Arial" w:cs="Arial" w:eastAsia="Arial" w:hAnsi="Arial"/>
                <w:sz w:val="18"/>
                <w:szCs w:val="18"/>
                <w:color w:val="auto"/>
              </w:rPr>
              <w:t>Approval of Selection of Independent Auditors for Fiscal</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2004.</w:t>
            </w:r>
          </w:p>
        </w:tc>
        <w:tc>
          <w:tcPr>
            <w:tcW w:w="1740" w:type="dxa"/>
            <w:vAlign w:val="bottom"/>
          </w:tcPr>
          <w:p>
            <w:pPr>
              <w:jc w:val="right"/>
              <w:ind w:right="413"/>
              <w:spacing w:after="0"/>
              <w:rPr>
                <w:sz w:val="20"/>
                <w:szCs w:val="20"/>
                <w:color w:val="auto"/>
              </w:rPr>
            </w:pPr>
            <w:r>
              <w:rPr>
                <w:rFonts w:ascii="Arial" w:cs="Arial" w:eastAsia="Arial" w:hAnsi="Arial"/>
                <w:sz w:val="18"/>
                <w:szCs w:val="18"/>
                <w:color w:val="auto"/>
              </w:rPr>
              <w:t>20,983,994</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693,801</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84,215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70"/>
              </w:rPr>
              <w:t>3.</w:t>
            </w:r>
          </w:p>
        </w:tc>
        <w:tc>
          <w:tcPr>
            <w:tcW w:w="4840" w:type="dxa"/>
            <w:vAlign w:val="bottom"/>
            <w:shd w:val="clear" w:color="auto" w:fill="EEEEEE"/>
          </w:tcPr>
          <w:p>
            <w:pPr>
              <w:ind w:left="40"/>
              <w:spacing w:after="0" w:line="201" w:lineRule="exact"/>
              <w:rPr>
                <w:sz w:val="20"/>
                <w:szCs w:val="20"/>
                <w:color w:val="auto"/>
              </w:rPr>
            </w:pPr>
            <w:r>
              <w:rPr>
                <w:rFonts w:ascii="Arial" w:cs="Arial" w:eastAsia="Arial" w:hAnsi="Arial"/>
                <w:sz w:val="18"/>
                <w:szCs w:val="18"/>
                <w:color w:val="auto"/>
                <w:w w:val="96"/>
              </w:rPr>
              <w:t>Approval to transact any other business or any adjournment of</w:t>
            </w:r>
          </w:p>
        </w:tc>
        <w:tc>
          <w:tcPr>
            <w:tcW w:w="17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the meeting.</w:t>
            </w:r>
          </w:p>
        </w:tc>
        <w:tc>
          <w:tcPr>
            <w:tcW w:w="1740" w:type="dxa"/>
            <w:vAlign w:val="bottom"/>
            <w:shd w:val="clear" w:color="auto" w:fill="EEEEEE"/>
          </w:tcPr>
          <w:p>
            <w:pPr>
              <w:jc w:val="right"/>
              <w:ind w:right="413"/>
              <w:spacing w:after="0"/>
              <w:rPr>
                <w:sz w:val="20"/>
                <w:szCs w:val="20"/>
                <w:color w:val="auto"/>
              </w:rPr>
            </w:pPr>
            <w:r>
              <w:rPr>
                <w:rFonts w:ascii="Arial" w:cs="Arial" w:eastAsia="Arial" w:hAnsi="Arial"/>
                <w:sz w:val="18"/>
                <w:szCs w:val="18"/>
                <w:color w:val="auto"/>
              </w:rPr>
              <w:t>11,384,545</w:t>
            </w:r>
          </w:p>
        </w:tc>
        <w:tc>
          <w:tcPr>
            <w:tcW w:w="186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9,753,149</w:t>
            </w:r>
          </w:p>
        </w:tc>
        <w:tc>
          <w:tcPr>
            <w:tcW w:w="148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624,317</w:t>
            </w: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Ronald O. Baukol, Katherine J. Harless, and Dale R. Olseth continue to serve as directors of the company for terms expiring in March 2005.</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Janet K. Cooper, Kendrick B. Melrose, Gregg W. Steinhafel, and Edwin H. Wingate continue to serve as directors of the company for terms expiring in March 2006.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9280" w:type="dxa"/>
            <w:vAlign w:val="bottom"/>
          </w:tcPr>
          <w:p>
            <w:pPr>
              <w:ind w:left="1560"/>
              <w:spacing w:after="0"/>
              <w:rPr>
                <w:sz w:val="20"/>
                <w:szCs w:val="20"/>
                <w:color w:val="auto"/>
              </w:rPr>
            </w:pPr>
            <w:r>
              <w:rPr>
                <w:rFonts w:ascii="Arial" w:cs="Arial" w:eastAsia="Arial" w:hAnsi="Arial"/>
                <w:sz w:val="18"/>
                <w:szCs w:val="18"/>
                <w:b w:val="1"/>
                <w:bCs w:val="1"/>
                <w:color w:val="auto"/>
              </w:rPr>
              <w:t>Item 6. EXHIBITS AND REPORTS ON FORM 8-K</w:t>
            </w:r>
          </w:p>
        </w:tc>
      </w:tr>
      <w:tr>
        <w:trPr>
          <w:trHeight w:val="405"/>
        </w:trPr>
        <w:tc>
          <w:tcPr>
            <w:tcW w:w="2140" w:type="dxa"/>
            <w:vAlign w:val="bottom"/>
          </w:tcPr>
          <w:p>
            <w:pPr>
              <w:spacing w:after="0"/>
              <w:rPr>
                <w:sz w:val="20"/>
                <w:szCs w:val="20"/>
                <w:color w:val="auto"/>
              </w:rPr>
            </w:pPr>
            <w:r>
              <w:rPr>
                <w:rFonts w:ascii="Arial" w:cs="Arial" w:eastAsia="Arial" w:hAnsi="Arial"/>
                <w:sz w:val="18"/>
                <w:szCs w:val="18"/>
                <w:color w:val="auto"/>
              </w:rPr>
              <w:t>(a) Exhibits</w:t>
            </w:r>
          </w:p>
        </w:tc>
        <w:tc>
          <w:tcPr>
            <w:tcW w:w="9280" w:type="dxa"/>
            <w:vAlign w:val="bottom"/>
          </w:tcPr>
          <w:p>
            <w:pPr>
              <w:spacing w:after="0"/>
              <w:rPr>
                <w:sz w:val="24"/>
                <w:szCs w:val="24"/>
                <w:color w:val="auto"/>
              </w:rPr>
            </w:pPr>
          </w:p>
        </w:tc>
      </w:tr>
      <w:tr>
        <w:trPr>
          <w:trHeight w:val="593"/>
        </w:trPr>
        <w:tc>
          <w:tcPr>
            <w:tcW w:w="2140" w:type="dxa"/>
            <w:vAlign w:val="bottom"/>
          </w:tcPr>
          <w:p>
            <w:pPr>
              <w:ind w:left="580"/>
              <w:spacing w:after="0"/>
              <w:rPr>
                <w:sz w:val="20"/>
                <w:szCs w:val="20"/>
                <w:color w:val="auto"/>
              </w:rPr>
            </w:pPr>
            <w:r>
              <w:rPr>
                <w:rFonts w:ascii="Arial" w:cs="Arial" w:eastAsia="Arial" w:hAnsi="Arial"/>
                <w:sz w:val="18"/>
                <w:szCs w:val="18"/>
                <w:color w:val="auto"/>
              </w:rPr>
              <w:t>3(i) and 4(a)</w:t>
            </w:r>
          </w:p>
        </w:tc>
        <w:tc>
          <w:tcPr>
            <w:tcW w:w="9280" w:type="dxa"/>
            <w:vAlign w:val="bottom"/>
          </w:tcPr>
          <w:p>
            <w:pPr>
              <w:ind w:left="600"/>
              <w:spacing w:after="0"/>
              <w:rPr>
                <w:sz w:val="20"/>
                <w:szCs w:val="20"/>
                <w:color w:val="auto"/>
              </w:rPr>
            </w:pPr>
            <w:r>
              <w:rPr>
                <w:rFonts w:ascii="Arial" w:cs="Arial" w:eastAsia="Arial" w:hAnsi="Arial"/>
                <w:sz w:val="18"/>
                <w:szCs w:val="18"/>
                <w:color w:val="auto"/>
              </w:rPr>
              <w:t>Amended and Restated Certificate of Incorporation of Registrant (incorporated by reference to Exhibit 4(b) to</w:t>
            </w:r>
          </w:p>
        </w:tc>
      </w:tr>
      <w:tr>
        <w:trPr>
          <w:trHeight w:val="230"/>
        </w:trPr>
        <w:tc>
          <w:tcPr>
            <w:tcW w:w="2140" w:type="dxa"/>
            <w:vAlign w:val="bottom"/>
          </w:tcPr>
          <w:p>
            <w:pPr>
              <w:spacing w:after="0"/>
              <w:rPr>
                <w:sz w:val="20"/>
                <w:szCs w:val="20"/>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Registrant’s Current Report on Form 8-K dated May 28, 2003, Commission File No. 1-8649).</w:t>
            </w:r>
          </w:p>
        </w:tc>
      </w:tr>
      <w:tr>
        <w:trPr>
          <w:trHeight w:val="418"/>
        </w:trPr>
        <w:tc>
          <w:tcPr>
            <w:tcW w:w="2140" w:type="dxa"/>
            <w:vAlign w:val="bottom"/>
          </w:tcPr>
          <w:p>
            <w:pPr>
              <w:ind w:left="580"/>
              <w:spacing w:after="0"/>
              <w:rPr>
                <w:sz w:val="20"/>
                <w:szCs w:val="20"/>
                <w:color w:val="auto"/>
              </w:rPr>
            </w:pPr>
            <w:r>
              <w:rPr>
                <w:rFonts w:ascii="Arial" w:cs="Arial" w:eastAsia="Arial" w:hAnsi="Arial"/>
                <w:sz w:val="18"/>
                <w:szCs w:val="18"/>
                <w:color w:val="auto"/>
              </w:rPr>
              <w:t>3(ii) and 4(b)</w:t>
            </w:r>
          </w:p>
        </w:tc>
        <w:tc>
          <w:tcPr>
            <w:tcW w:w="9280" w:type="dxa"/>
            <w:vAlign w:val="bottom"/>
          </w:tcPr>
          <w:p>
            <w:pPr>
              <w:ind w:left="600"/>
              <w:spacing w:after="0"/>
              <w:rPr>
                <w:sz w:val="20"/>
                <w:szCs w:val="20"/>
                <w:color w:val="auto"/>
              </w:rPr>
            </w:pPr>
            <w:r>
              <w:rPr>
                <w:rFonts w:ascii="Arial" w:cs="Arial" w:eastAsia="Arial" w:hAnsi="Arial"/>
                <w:sz w:val="18"/>
                <w:szCs w:val="18"/>
                <w:color w:val="auto"/>
              </w:rPr>
              <w:t>Bylaws of Registrant (incorporated by reference to Exhibit 4(c) to Registrant’s Current Report on Form 8-K</w:t>
            </w:r>
          </w:p>
        </w:tc>
      </w:tr>
      <w:tr>
        <w:trPr>
          <w:trHeight w:val="230"/>
        </w:trPr>
        <w:tc>
          <w:tcPr>
            <w:tcW w:w="2140" w:type="dxa"/>
            <w:vAlign w:val="bottom"/>
          </w:tcPr>
          <w:p>
            <w:pPr>
              <w:spacing w:after="0"/>
              <w:rPr>
                <w:sz w:val="20"/>
                <w:szCs w:val="20"/>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dated May 28, 2003, Commission File No. 1-8649).</w:t>
            </w:r>
          </w:p>
        </w:tc>
      </w:tr>
      <w:tr>
        <w:trPr>
          <w:trHeight w:val="418"/>
        </w:trPr>
        <w:tc>
          <w:tcPr>
            <w:tcW w:w="2140" w:type="dxa"/>
            <w:vAlign w:val="bottom"/>
          </w:tcPr>
          <w:p>
            <w:pPr>
              <w:ind w:left="580"/>
              <w:spacing w:after="0"/>
              <w:rPr>
                <w:sz w:val="20"/>
                <w:szCs w:val="20"/>
                <w:color w:val="auto"/>
              </w:rPr>
            </w:pPr>
            <w:r>
              <w:rPr>
                <w:rFonts w:ascii="Arial" w:cs="Arial" w:eastAsia="Arial" w:hAnsi="Arial"/>
                <w:sz w:val="18"/>
                <w:szCs w:val="18"/>
                <w:color w:val="auto"/>
              </w:rPr>
              <w:t>4(c)</w:t>
            </w:r>
          </w:p>
        </w:tc>
        <w:tc>
          <w:tcPr>
            <w:tcW w:w="9280" w:type="dxa"/>
            <w:vAlign w:val="bottom"/>
          </w:tcPr>
          <w:p>
            <w:pPr>
              <w:ind w:left="600"/>
              <w:spacing w:after="0"/>
              <w:rPr>
                <w:sz w:val="20"/>
                <w:szCs w:val="20"/>
                <w:color w:val="auto"/>
              </w:rPr>
            </w:pPr>
            <w:r>
              <w:rPr>
                <w:rFonts w:ascii="Arial" w:cs="Arial" w:eastAsia="Arial" w:hAnsi="Arial"/>
                <w:sz w:val="18"/>
                <w:szCs w:val="18"/>
                <w:color w:val="auto"/>
              </w:rPr>
              <w:t>Specimen form of Common Stock certificate (incorporated by reference to Exhibit 4(c) to Registrant’s</w:t>
            </w:r>
          </w:p>
        </w:tc>
      </w:tr>
      <w:tr>
        <w:trPr>
          <w:trHeight w:val="230"/>
        </w:trPr>
        <w:tc>
          <w:tcPr>
            <w:tcW w:w="2140" w:type="dxa"/>
            <w:vAlign w:val="bottom"/>
          </w:tcPr>
          <w:p>
            <w:pPr>
              <w:spacing w:after="0"/>
              <w:rPr>
                <w:sz w:val="20"/>
                <w:szCs w:val="20"/>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Registration Statement on Form S-8, Registration No. 2-94417).</w:t>
            </w:r>
          </w:p>
        </w:tc>
      </w:tr>
      <w:tr>
        <w:trPr>
          <w:trHeight w:val="418"/>
        </w:trPr>
        <w:tc>
          <w:tcPr>
            <w:tcW w:w="2140" w:type="dxa"/>
            <w:vAlign w:val="bottom"/>
          </w:tcPr>
          <w:p>
            <w:pPr>
              <w:ind w:left="580"/>
              <w:spacing w:after="0"/>
              <w:rPr>
                <w:sz w:val="20"/>
                <w:szCs w:val="20"/>
                <w:color w:val="auto"/>
              </w:rPr>
            </w:pPr>
            <w:r>
              <w:rPr>
                <w:rFonts w:ascii="Arial" w:cs="Arial" w:eastAsia="Arial" w:hAnsi="Arial"/>
                <w:sz w:val="18"/>
                <w:szCs w:val="18"/>
                <w:color w:val="auto"/>
              </w:rPr>
              <w:t>4(d)</w:t>
            </w:r>
          </w:p>
        </w:tc>
        <w:tc>
          <w:tcPr>
            <w:tcW w:w="9280" w:type="dxa"/>
            <w:vAlign w:val="bottom"/>
          </w:tcPr>
          <w:p>
            <w:pPr>
              <w:ind w:left="600"/>
              <w:spacing w:after="0"/>
              <w:rPr>
                <w:sz w:val="20"/>
                <w:szCs w:val="20"/>
                <w:color w:val="auto"/>
              </w:rPr>
            </w:pPr>
            <w:r>
              <w:rPr>
                <w:rFonts w:ascii="Arial" w:cs="Arial" w:eastAsia="Arial" w:hAnsi="Arial"/>
                <w:sz w:val="18"/>
                <w:szCs w:val="18"/>
                <w:color w:val="auto"/>
              </w:rPr>
              <w:t>Rights Agreement dated as of May 20, 1998, between Registrant and Wells Fargo Bank Minnesota, National</w:t>
            </w:r>
          </w:p>
        </w:tc>
      </w:tr>
      <w:tr>
        <w:trPr>
          <w:trHeight w:val="216"/>
        </w:trPr>
        <w:tc>
          <w:tcPr>
            <w:tcW w:w="214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Association relating to rights to purchase Series B Junior Participating Voting Preferred Stock, as amended</w:t>
            </w:r>
          </w:p>
        </w:tc>
      </w:tr>
      <w:tr>
        <w:trPr>
          <w:trHeight w:val="216"/>
        </w:trPr>
        <w:tc>
          <w:tcPr>
            <w:tcW w:w="214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9"/>
              </w:rPr>
              <w:t>(incorporated by reference to Registrant’s Current Report on Form 8-K dated May 27, 1998, Commission File</w:t>
            </w:r>
          </w:p>
        </w:tc>
      </w:tr>
      <w:tr>
        <w:trPr>
          <w:trHeight w:val="230"/>
        </w:trPr>
        <w:tc>
          <w:tcPr>
            <w:tcW w:w="2140" w:type="dxa"/>
            <w:vAlign w:val="bottom"/>
          </w:tcPr>
          <w:p>
            <w:pPr>
              <w:spacing w:after="0"/>
              <w:rPr>
                <w:sz w:val="20"/>
                <w:szCs w:val="20"/>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No. 1-8649).</w:t>
            </w:r>
          </w:p>
        </w:tc>
      </w:tr>
      <w:tr>
        <w:trPr>
          <w:trHeight w:val="418"/>
        </w:trPr>
        <w:tc>
          <w:tcPr>
            <w:tcW w:w="2140" w:type="dxa"/>
            <w:vAlign w:val="bottom"/>
          </w:tcPr>
          <w:p>
            <w:pPr>
              <w:ind w:left="580"/>
              <w:spacing w:after="0"/>
              <w:rPr>
                <w:sz w:val="20"/>
                <w:szCs w:val="20"/>
                <w:color w:val="auto"/>
              </w:rPr>
            </w:pPr>
            <w:r>
              <w:rPr>
                <w:rFonts w:ascii="Arial" w:cs="Arial" w:eastAsia="Arial" w:hAnsi="Arial"/>
                <w:sz w:val="18"/>
                <w:szCs w:val="18"/>
                <w:color w:val="auto"/>
              </w:rPr>
              <w:t>4(e)</w:t>
            </w:r>
          </w:p>
        </w:tc>
        <w:tc>
          <w:tcPr>
            <w:tcW w:w="9280" w:type="dxa"/>
            <w:vAlign w:val="bottom"/>
          </w:tcPr>
          <w:p>
            <w:pPr>
              <w:ind w:left="600"/>
              <w:spacing w:after="0"/>
              <w:rPr>
                <w:sz w:val="20"/>
                <w:szCs w:val="20"/>
                <w:color w:val="auto"/>
              </w:rPr>
            </w:pPr>
            <w:r>
              <w:rPr>
                <w:rFonts w:ascii="Arial" w:cs="Arial" w:eastAsia="Arial" w:hAnsi="Arial"/>
                <w:sz w:val="18"/>
                <w:szCs w:val="18"/>
                <w:color w:val="auto"/>
                <w:w w:val="98"/>
              </w:rPr>
              <w:t>Certificate of Adjusted Purchase Price or Number of Shares dated April 14, 2003 filed by Registrant with Wells</w:t>
            </w:r>
          </w:p>
        </w:tc>
      </w:tr>
      <w:tr>
        <w:trPr>
          <w:trHeight w:val="216"/>
        </w:trPr>
        <w:tc>
          <w:tcPr>
            <w:tcW w:w="214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9"/>
              </w:rPr>
              <w:t>Fargo Bank Minnesota, N.A., as Rights Agent, in connection with Rights Agreement dated as of May 20, 1998</w:t>
            </w:r>
          </w:p>
        </w:tc>
      </w:tr>
      <w:tr>
        <w:trPr>
          <w:trHeight w:val="216"/>
        </w:trPr>
        <w:tc>
          <w:tcPr>
            <w:tcW w:w="214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8"/>
              </w:rPr>
              <w:t>(incorporated by reference to Exhibit 2 to Registrant’s Amendment No. 1 to Registration Statement on Form 8-</w:t>
            </w:r>
          </w:p>
        </w:tc>
      </w:tr>
      <w:tr>
        <w:trPr>
          <w:trHeight w:val="230"/>
        </w:trPr>
        <w:tc>
          <w:tcPr>
            <w:tcW w:w="2140" w:type="dxa"/>
            <w:vAlign w:val="bottom"/>
          </w:tcPr>
          <w:p>
            <w:pPr>
              <w:spacing w:after="0"/>
              <w:rPr>
                <w:sz w:val="20"/>
                <w:szCs w:val="20"/>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A/A dated April 14, 2003, Commission File No. 1-8649).</w:t>
            </w:r>
          </w:p>
        </w:tc>
      </w:tr>
      <w:tr>
        <w:trPr>
          <w:trHeight w:val="418"/>
        </w:trPr>
        <w:tc>
          <w:tcPr>
            <w:tcW w:w="2140" w:type="dxa"/>
            <w:vAlign w:val="bottom"/>
          </w:tcPr>
          <w:p>
            <w:pPr>
              <w:ind w:left="580"/>
              <w:spacing w:after="0"/>
              <w:rPr>
                <w:sz w:val="20"/>
                <w:szCs w:val="20"/>
                <w:color w:val="auto"/>
              </w:rPr>
            </w:pPr>
            <w:r>
              <w:rPr>
                <w:rFonts w:ascii="Arial" w:cs="Arial" w:eastAsia="Arial" w:hAnsi="Arial"/>
                <w:sz w:val="18"/>
                <w:szCs w:val="18"/>
                <w:color w:val="auto"/>
              </w:rPr>
              <w:t>4(f)</w:t>
            </w:r>
          </w:p>
        </w:tc>
        <w:tc>
          <w:tcPr>
            <w:tcW w:w="9280" w:type="dxa"/>
            <w:vAlign w:val="bottom"/>
          </w:tcPr>
          <w:p>
            <w:pPr>
              <w:ind w:left="600"/>
              <w:spacing w:after="0"/>
              <w:rPr>
                <w:sz w:val="20"/>
                <w:szCs w:val="20"/>
                <w:color w:val="auto"/>
              </w:rPr>
            </w:pPr>
            <w:r>
              <w:rPr>
                <w:rFonts w:ascii="Arial" w:cs="Arial" w:eastAsia="Arial" w:hAnsi="Arial"/>
                <w:sz w:val="18"/>
                <w:szCs w:val="18"/>
                <w:color w:val="auto"/>
                <w:w w:val="99"/>
              </w:rPr>
              <w:t>Indenture dated as of January 31, 1997, between Registrant and First National Trust Association, as Trustee,</w:t>
            </w:r>
          </w:p>
        </w:tc>
      </w:tr>
      <w:tr>
        <w:trPr>
          <w:trHeight w:val="216"/>
        </w:trPr>
        <w:tc>
          <w:tcPr>
            <w:tcW w:w="214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relating to the Registrant’s 7.125% Notes due June 15, 2007 and its 7.80% Debentures due June 15, 2027</w:t>
            </w:r>
          </w:p>
        </w:tc>
      </w:tr>
      <w:tr>
        <w:trPr>
          <w:trHeight w:val="216"/>
        </w:trPr>
        <w:tc>
          <w:tcPr>
            <w:tcW w:w="214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(incorporated by reference to Exhibit 4(a) to Registrant’s Current Report on Form 8-K for June 24, 1997,</w:t>
            </w:r>
          </w:p>
        </w:tc>
      </w:tr>
      <w:tr>
        <w:trPr>
          <w:trHeight w:val="230"/>
        </w:trPr>
        <w:tc>
          <w:tcPr>
            <w:tcW w:w="2140" w:type="dxa"/>
            <w:vAlign w:val="bottom"/>
          </w:tcPr>
          <w:p>
            <w:pPr>
              <w:spacing w:after="0"/>
              <w:rPr>
                <w:sz w:val="20"/>
                <w:szCs w:val="20"/>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Commission File No. 1-8649).</w:t>
            </w:r>
          </w:p>
        </w:tc>
      </w:tr>
      <w:tr>
        <w:trPr>
          <w:trHeight w:val="392"/>
        </w:trPr>
        <w:tc>
          <w:tcPr>
            <w:tcW w:w="2140" w:type="dxa"/>
            <w:vAlign w:val="bottom"/>
          </w:tcPr>
          <w:p>
            <w:pPr>
              <w:spacing w:after="0"/>
              <w:rPr>
                <w:sz w:val="24"/>
                <w:szCs w:val="24"/>
                <w:color w:val="auto"/>
              </w:rPr>
            </w:pPr>
          </w:p>
        </w:tc>
        <w:tc>
          <w:tcPr>
            <w:tcW w:w="9280" w:type="dxa"/>
            <w:vAlign w:val="bottom"/>
          </w:tcPr>
          <w:p>
            <w:pPr>
              <w:ind w:left="3480"/>
              <w:spacing w:after="0"/>
              <w:rPr>
                <w:sz w:val="20"/>
                <w:szCs w:val="20"/>
                <w:color w:val="auto"/>
              </w:rPr>
            </w:pPr>
            <w:r>
              <w:rPr>
                <w:rFonts w:ascii="Arial" w:cs="Arial" w:eastAsia="Arial" w:hAnsi="Arial"/>
                <w:sz w:val="18"/>
                <w:szCs w:val="18"/>
                <w:color w:val="auto"/>
              </w:rPr>
              <w:t>22</w:t>
            </w:r>
          </w:p>
        </w:tc>
      </w:tr>
      <w:tr>
        <w:trPr>
          <w:trHeight w:val="226"/>
        </w:trPr>
        <w:tc>
          <w:tcPr>
            <w:tcW w:w="2140" w:type="dxa"/>
            <w:vAlign w:val="bottom"/>
            <w:tcBorders>
              <w:bottom w:val="single" w:sz="8" w:color="808080"/>
            </w:tcBorders>
          </w:tcPr>
          <w:p>
            <w:pPr>
              <w:spacing w:after="0"/>
              <w:rPr>
                <w:sz w:val="19"/>
                <w:szCs w:val="19"/>
                <w:color w:val="auto"/>
              </w:rPr>
            </w:pPr>
          </w:p>
        </w:tc>
        <w:tc>
          <w:tcPr>
            <w:tcW w:w="9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10(a)</w:t>
            </w:r>
          </w:p>
        </w:tc>
        <w:tc>
          <w:tcPr>
            <w:tcW w:w="8880" w:type="dxa"/>
            <w:vAlign w:val="bottom"/>
          </w:tcPr>
          <w:p>
            <w:pPr>
              <w:ind w:left="880"/>
              <w:spacing w:after="0"/>
              <w:rPr>
                <w:sz w:val="20"/>
                <w:szCs w:val="20"/>
                <w:color w:val="auto"/>
              </w:rPr>
            </w:pPr>
            <w:r>
              <w:rPr>
                <w:rFonts w:ascii="Arial" w:cs="Arial" w:eastAsia="Arial" w:hAnsi="Arial"/>
                <w:sz w:val="18"/>
                <w:szCs w:val="18"/>
                <w:color w:val="auto"/>
              </w:rPr>
              <w:t>The Toro Company 2000 Directors Stock Plan, as amended.</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10(b)</w:t>
            </w:r>
          </w:p>
        </w:tc>
        <w:tc>
          <w:tcPr>
            <w:tcW w:w="8880" w:type="dxa"/>
            <w:vAlign w:val="bottom"/>
          </w:tcPr>
          <w:p>
            <w:pPr>
              <w:ind w:left="880"/>
              <w:spacing w:after="0"/>
              <w:rPr>
                <w:sz w:val="20"/>
                <w:szCs w:val="20"/>
                <w:color w:val="auto"/>
              </w:rPr>
            </w:pPr>
            <w:r>
              <w:rPr>
                <w:rFonts w:ascii="Arial" w:cs="Arial" w:eastAsia="Arial" w:hAnsi="Arial"/>
                <w:sz w:val="18"/>
                <w:szCs w:val="18"/>
                <w:color w:val="auto"/>
                <w:w w:val="96"/>
              </w:rPr>
              <w:t>Amendment No. 3 to Multi-Year Credit Agreement dated as of March 10, 2004, by and among The Toro</w:t>
            </w:r>
          </w:p>
        </w:tc>
      </w:tr>
      <w:tr>
        <w:trPr>
          <w:trHeight w:val="216"/>
        </w:trPr>
        <w:tc>
          <w:tcPr>
            <w:tcW w:w="1280" w:type="dxa"/>
            <w:vAlign w:val="bottom"/>
          </w:tcPr>
          <w:p>
            <w:pPr>
              <w:spacing w:after="0"/>
              <w:rPr>
                <w:sz w:val="18"/>
                <w:szCs w:val="18"/>
                <w:color w:val="auto"/>
              </w:rPr>
            </w:pPr>
          </w:p>
        </w:tc>
        <w:tc>
          <w:tcPr>
            <w:tcW w:w="8880" w:type="dxa"/>
            <w:vAlign w:val="bottom"/>
          </w:tcPr>
          <w:p>
            <w:pPr>
              <w:ind w:left="880"/>
              <w:spacing w:after="0"/>
              <w:rPr>
                <w:sz w:val="20"/>
                <w:szCs w:val="20"/>
                <w:color w:val="auto"/>
              </w:rPr>
            </w:pPr>
            <w:r>
              <w:rPr>
                <w:rFonts w:ascii="Arial" w:cs="Arial" w:eastAsia="Arial" w:hAnsi="Arial"/>
                <w:sz w:val="18"/>
                <w:szCs w:val="18"/>
                <w:color w:val="auto"/>
                <w:w w:val="91"/>
              </w:rPr>
              <w:t>Company and Toro Credit Company, the borrowers, Bank of America, N.A. as Administrative Agent, and each</w:t>
            </w:r>
          </w:p>
        </w:tc>
      </w:tr>
      <w:tr>
        <w:trPr>
          <w:trHeight w:val="230"/>
        </w:trPr>
        <w:tc>
          <w:tcPr>
            <w:tcW w:w="1280" w:type="dxa"/>
            <w:vAlign w:val="bottom"/>
          </w:tcPr>
          <w:p>
            <w:pPr>
              <w:spacing w:after="0"/>
              <w:rPr>
                <w:sz w:val="20"/>
                <w:szCs w:val="20"/>
                <w:color w:val="auto"/>
              </w:rPr>
            </w:pPr>
          </w:p>
        </w:tc>
        <w:tc>
          <w:tcPr>
            <w:tcW w:w="8880" w:type="dxa"/>
            <w:vAlign w:val="bottom"/>
          </w:tcPr>
          <w:p>
            <w:pPr>
              <w:ind w:left="880"/>
              <w:spacing w:after="0"/>
              <w:rPr>
                <w:sz w:val="20"/>
                <w:szCs w:val="20"/>
                <w:color w:val="auto"/>
              </w:rPr>
            </w:pPr>
            <w:r>
              <w:rPr>
                <w:rFonts w:ascii="Arial" w:cs="Arial" w:eastAsia="Arial" w:hAnsi="Arial"/>
                <w:sz w:val="18"/>
                <w:szCs w:val="18"/>
                <w:color w:val="auto"/>
              </w:rPr>
              <w:t>of the Banks as defined in the Multi-Year Credit Agreement dated as of February 22,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31(a)</w:t>
            </w:r>
          </w:p>
        </w:tc>
        <w:tc>
          <w:tcPr>
            <w:tcW w:w="8880" w:type="dxa"/>
            <w:vAlign w:val="bottom"/>
          </w:tcPr>
          <w:p>
            <w:pPr>
              <w:ind w:left="880"/>
              <w:spacing w:after="0"/>
              <w:rPr>
                <w:sz w:val="20"/>
                <w:szCs w:val="20"/>
                <w:color w:val="auto"/>
              </w:rPr>
            </w:pPr>
            <w:r>
              <w:rPr>
                <w:rFonts w:ascii="Arial" w:cs="Arial" w:eastAsia="Arial" w:hAnsi="Arial"/>
                <w:sz w:val="18"/>
                <w:szCs w:val="18"/>
                <w:color w:val="auto"/>
                <w:w w:val="92"/>
              </w:rPr>
              <w:t>Certification of Chief Executive Officer Pursuant to Rule 13a-14(a) (Section 302 of the Sarbanes-Oxley Act of</w:t>
            </w:r>
          </w:p>
        </w:tc>
      </w:tr>
      <w:tr>
        <w:trPr>
          <w:trHeight w:val="230"/>
        </w:trPr>
        <w:tc>
          <w:tcPr>
            <w:tcW w:w="1280" w:type="dxa"/>
            <w:vAlign w:val="bottom"/>
          </w:tcPr>
          <w:p>
            <w:pPr>
              <w:spacing w:after="0"/>
              <w:rPr>
                <w:sz w:val="20"/>
                <w:szCs w:val="20"/>
                <w:color w:val="auto"/>
              </w:rPr>
            </w:pPr>
          </w:p>
        </w:tc>
        <w:tc>
          <w:tcPr>
            <w:tcW w:w="8880" w:type="dxa"/>
            <w:vAlign w:val="bottom"/>
          </w:tcPr>
          <w:p>
            <w:pPr>
              <w:ind w:left="880"/>
              <w:spacing w:after="0"/>
              <w:rPr>
                <w:sz w:val="20"/>
                <w:szCs w:val="20"/>
                <w:color w:val="auto"/>
              </w:rPr>
            </w:pPr>
            <w:r>
              <w:rPr>
                <w:rFonts w:ascii="Arial" w:cs="Arial" w:eastAsia="Arial" w:hAnsi="Arial"/>
                <w:sz w:val="18"/>
                <w:szCs w:val="18"/>
                <w:color w:val="auto"/>
              </w:rPr>
              <w:t>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31(b)</w:t>
            </w:r>
          </w:p>
        </w:tc>
        <w:tc>
          <w:tcPr>
            <w:tcW w:w="8880" w:type="dxa"/>
            <w:vAlign w:val="bottom"/>
          </w:tcPr>
          <w:p>
            <w:pPr>
              <w:ind w:left="880"/>
              <w:spacing w:after="0"/>
              <w:rPr>
                <w:sz w:val="20"/>
                <w:szCs w:val="20"/>
                <w:color w:val="auto"/>
              </w:rPr>
            </w:pPr>
            <w:r>
              <w:rPr>
                <w:rFonts w:ascii="Arial" w:cs="Arial" w:eastAsia="Arial" w:hAnsi="Arial"/>
                <w:sz w:val="18"/>
                <w:szCs w:val="18"/>
                <w:color w:val="auto"/>
                <w:w w:val="92"/>
              </w:rPr>
              <w:t>Certification of Chief Financial Officer Pursuant to Rule 13a-14(a) (Section 302 of the Sarbanes-Oxley Act of</w:t>
            </w:r>
          </w:p>
        </w:tc>
      </w:tr>
      <w:tr>
        <w:trPr>
          <w:trHeight w:val="230"/>
        </w:trPr>
        <w:tc>
          <w:tcPr>
            <w:tcW w:w="1280" w:type="dxa"/>
            <w:vAlign w:val="bottom"/>
          </w:tcPr>
          <w:p>
            <w:pPr>
              <w:spacing w:after="0"/>
              <w:rPr>
                <w:sz w:val="20"/>
                <w:szCs w:val="20"/>
                <w:color w:val="auto"/>
              </w:rPr>
            </w:pPr>
          </w:p>
        </w:tc>
        <w:tc>
          <w:tcPr>
            <w:tcW w:w="8880" w:type="dxa"/>
            <w:vAlign w:val="bottom"/>
          </w:tcPr>
          <w:p>
            <w:pPr>
              <w:ind w:left="880"/>
              <w:spacing w:after="0"/>
              <w:rPr>
                <w:sz w:val="20"/>
                <w:szCs w:val="20"/>
                <w:color w:val="auto"/>
              </w:rPr>
            </w:pPr>
            <w:r>
              <w:rPr>
                <w:rFonts w:ascii="Arial" w:cs="Arial" w:eastAsia="Arial" w:hAnsi="Arial"/>
                <w:sz w:val="18"/>
                <w:szCs w:val="18"/>
                <w:color w:val="auto"/>
              </w:rPr>
              <w:t>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8880" w:type="dxa"/>
            <w:vAlign w:val="bottom"/>
          </w:tcPr>
          <w:p>
            <w:pPr>
              <w:ind w:left="880"/>
              <w:spacing w:after="0"/>
              <w:rPr>
                <w:sz w:val="20"/>
                <w:szCs w:val="20"/>
                <w:color w:val="auto"/>
              </w:rPr>
            </w:pPr>
            <w:r>
              <w:rPr>
                <w:rFonts w:ascii="Arial" w:cs="Arial" w:eastAsia="Arial" w:hAnsi="Arial"/>
                <w:sz w:val="18"/>
                <w:szCs w:val="18"/>
                <w:color w:val="auto"/>
                <w:w w:val="95"/>
              </w:rPr>
              <w:t>Certification of Chief Executive Officer and Chief Financial Officer Pursuant to 18 U.S.C. Section 1350, as</w:t>
            </w:r>
          </w:p>
        </w:tc>
      </w:tr>
      <w:tr>
        <w:trPr>
          <w:trHeight w:val="230"/>
        </w:trPr>
        <w:tc>
          <w:tcPr>
            <w:tcW w:w="1280" w:type="dxa"/>
            <w:vAlign w:val="bottom"/>
          </w:tcPr>
          <w:p>
            <w:pPr>
              <w:spacing w:after="0"/>
              <w:rPr>
                <w:sz w:val="20"/>
                <w:szCs w:val="20"/>
                <w:color w:val="auto"/>
              </w:rPr>
            </w:pPr>
          </w:p>
        </w:tc>
        <w:tc>
          <w:tcPr>
            <w:tcW w:w="8880" w:type="dxa"/>
            <w:vAlign w:val="bottom"/>
          </w:tcPr>
          <w:p>
            <w:pPr>
              <w:ind w:left="880"/>
              <w:spacing w:after="0"/>
              <w:rPr>
                <w:sz w:val="20"/>
                <w:szCs w:val="20"/>
                <w:color w:val="auto"/>
              </w:rPr>
            </w:pPr>
            <w:r>
              <w:rPr>
                <w:rFonts w:ascii="Arial" w:cs="Arial" w:eastAsia="Arial" w:hAnsi="Arial"/>
                <w:sz w:val="18"/>
                <w:szCs w:val="18"/>
                <w:color w:val="auto"/>
              </w:rPr>
              <w:t>Adopted Pursuant to Section 906 of the Sarbanes-Oxley Act of 2002.</w:t>
            </w: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During the fiscal quarter ended April 30, 2004, Toro filed or furnished the following reports on Form 8-K:</w:t>
      </w:r>
    </w:p>
    <w:p>
      <w:pPr>
        <w:spacing w:after="0" w:line="225" w:lineRule="exact"/>
        <w:rPr>
          <w:rFonts w:ascii="Arial" w:cs="Arial" w:eastAsia="Arial" w:hAnsi="Arial"/>
          <w:sz w:val="18"/>
          <w:szCs w:val="18"/>
          <w:color w:val="auto"/>
        </w:rPr>
      </w:pPr>
    </w:p>
    <w:p>
      <w:pPr>
        <w:ind w:left="660" w:right="340" w:hanging="43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Current Report on Form 8-K containing the Company’s expected earnings for the quarter ended January 30, 2004 was furnished on February 12, 2004 under Item 12.</w:t>
      </w:r>
    </w:p>
    <w:p>
      <w:pPr>
        <w:spacing w:after="0" w:line="170"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Current Report on Form 8-K containing the Company’s earnings release for the quarter ended January 30, 2004 was furnished on February 24, 2004 under Item 12.</w:t>
      </w:r>
    </w:p>
    <w:p>
      <w:pPr>
        <w:spacing w:after="0" w:line="170" w:lineRule="exact"/>
        <w:rPr>
          <w:rFonts w:ascii="Arial" w:cs="Arial" w:eastAsia="Arial" w:hAnsi="Arial"/>
          <w:sz w:val="18"/>
          <w:szCs w:val="18"/>
          <w:color w:val="auto"/>
        </w:rPr>
      </w:pPr>
    </w:p>
    <w:p>
      <w:pPr>
        <w:ind w:left="660" w:hanging="436"/>
        <w:spacing w:after="0" w:line="259"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Current Report on Form 8-K containing the Company’s press release dated March 12, 2004 announcing Toro’s Dutch auction self-tender offer to repurchase up to 2,500,000 shares of its common stock, approved repurchase of up to an additional 1,000,000 shares of its common stock in the open market or in private transactions, and declaration of a regular quarterly cash dividend of 6 cents per share to stockholders of record on March 22, 2004 was filed on March 12, 2004 under Item 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THE TORO COMPANY</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(Registrant)</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June 9, 2004</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Stephen P. Wolfe</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P. Wolfe</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7"/>
              </w:rPr>
              <w:t>Vice President Finance, Treasurer and Chief Financial</w:t>
            </w:r>
          </w:p>
        </w:tc>
        <w:tc>
          <w:tcPr>
            <w:tcW w:w="1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Officer (duly authorized officer and principal financial</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officer)</w:t>
            </w:r>
          </w:p>
        </w:tc>
        <w:tc>
          <w:tcPr>
            <w:tcW w:w="1700" w:type="dxa"/>
            <w:vAlign w:val="bottom"/>
          </w:tcPr>
          <w:p>
            <w:pPr>
              <w:spacing w:after="0"/>
              <w:rPr>
                <w:sz w:val="20"/>
                <w:szCs w:val="20"/>
                <w:color w:val="auto"/>
              </w:rPr>
            </w:pPr>
          </w:p>
        </w:tc>
      </w:tr>
      <w:tr>
        <w:trPr>
          <w:trHeight w:val="392"/>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24</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18"/>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992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10(a)</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The Toro Company 2000 Directors Stock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10(b)</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5"/>
              </w:rPr>
              <w:t>Amendment No. 3 to Multi-Year Credit Agreement dated as of March 10, 2004, by and among The Toro Company and Toro Credit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4"/>
              </w:rPr>
              <w:t>Company, the borrowers, Bank of America, N.A. as Administrative Agent, and each of the Banks as defined in the Multi-Year Credit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Agreement dated as of February 22, 2002.</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Certification of Chief Executive Officer Pursuant to Rule 13a-14(a) (Section 302 of the Sarbanes-Oxley Act of 2002).</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31(b)</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Certification of Chief Financial Officer Pursuant to Rule 13a-14(a) (Section 302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00" w:right="660" w:hanging="1492"/>
        <w:spacing w:after="0" w:line="277" w:lineRule="auto"/>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ectPr>
          <w:pgSz w:w="11900" w:h="16838" w:orient="portrait"/>
          <w:cols w:equalWidth="0" w:num="1">
            <w:col w:w="11420"/>
          </w:cols>
          <w:pgMar w:left="240" w:top="419" w:right="239" w:bottom="1440" w:gutter="0" w:footer="0" w:header="0"/>
        </w:sectPr>
      </w:pPr>
    </w:p>
    <w:bookmarkStart w:id="26" w:name="page27"/>
    <w:bookmarkEnd w:id="26"/>
    <w:p>
      <w:pPr>
        <w:ind w:left="4527"/>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147"/>
        <w:spacing w:after="0"/>
        <w:rPr>
          <w:sz w:val="20"/>
          <w:szCs w:val="20"/>
          <w:color w:val="auto"/>
        </w:rPr>
      </w:pPr>
      <w:r>
        <w:rPr>
          <w:rFonts w:ascii="Arial" w:cs="Arial" w:eastAsia="Arial" w:hAnsi="Arial"/>
          <w:sz w:val="18"/>
          <w:szCs w:val="18"/>
          <w:b w:val="1"/>
          <w:bCs w:val="1"/>
          <w:color w:val="auto"/>
        </w:rPr>
        <w:t>2000 DIRECTORS STOCK PLAN</w:t>
      </w:r>
    </w:p>
    <w:p>
      <w:pPr>
        <w:spacing w:after="0" w:line="180" w:lineRule="exact"/>
        <w:rPr>
          <w:sz w:val="20"/>
          <w:szCs w:val="20"/>
          <w:color w:val="auto"/>
        </w:rPr>
      </w:pPr>
    </w:p>
    <w:p>
      <w:pPr>
        <w:ind w:left="-233" w:right="140" w:firstLine="233"/>
        <w:spacing w:after="0" w:line="258" w:lineRule="auto"/>
        <w:tabs>
          <w:tab w:leader="none" w:pos="17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Purpose of the Plan. </w:t>
      </w:r>
      <w:r>
        <w:rPr>
          <w:rFonts w:ascii="Arial" w:cs="Arial" w:eastAsia="Arial" w:hAnsi="Arial"/>
          <w:sz w:val="18"/>
          <w:szCs w:val="18"/>
          <w:color w:val="auto"/>
        </w:rPr>
        <w:t>The purpose of The Toro Company 2000 Directors Stock Plan (“Plan”) is to enable The Toro Company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143" w:lineRule="exact"/>
        <w:rPr>
          <w:rFonts w:ascii="Arial" w:cs="Arial" w:eastAsia="Arial" w:hAnsi="Arial"/>
          <w:sz w:val="18"/>
          <w:szCs w:val="18"/>
          <w:color w:val="auto"/>
        </w:rPr>
      </w:pPr>
    </w:p>
    <w:p>
      <w:pPr>
        <w:ind w:left="-233" w:right="20" w:firstLine="233"/>
        <w:spacing w:after="0" w:line="282" w:lineRule="auto"/>
        <w:tabs>
          <w:tab w:leader="none" w:pos="17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All members of the Company’s Board of Directors who are not current employees of the Company or any of its subsidiaries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are eligible to participate in the Plan.</w:t>
      </w:r>
    </w:p>
    <w:p>
      <w:pPr>
        <w:spacing w:after="0" w:line="121" w:lineRule="exact"/>
        <w:rPr>
          <w:rFonts w:ascii="Arial" w:cs="Arial" w:eastAsia="Arial" w:hAnsi="Arial"/>
          <w:sz w:val="18"/>
          <w:szCs w:val="18"/>
          <w:color w:val="auto"/>
        </w:rPr>
      </w:pPr>
    </w:p>
    <w:p>
      <w:pPr>
        <w:ind w:left="187" w:hanging="187"/>
        <w:spacing w:after="0"/>
        <w:tabs>
          <w:tab w:leader="none" w:pos="187"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Plan Awards.</w:t>
      </w:r>
    </w:p>
    <w:p>
      <w:pPr>
        <w:spacing w:after="0" w:line="198" w:lineRule="exact"/>
        <w:rPr>
          <w:rFonts w:ascii="Arial" w:cs="Arial" w:eastAsia="Arial" w:hAnsi="Arial"/>
          <w:sz w:val="18"/>
          <w:szCs w:val="18"/>
          <w:color w:val="auto"/>
        </w:rPr>
      </w:pPr>
    </w:p>
    <w:p>
      <w:pPr>
        <w:ind w:left="127" w:hanging="10"/>
        <w:spacing w:after="0" w:line="274" w:lineRule="auto"/>
        <w:tabs>
          <w:tab w:leader="none" w:pos="297"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Directors Shares. </w:t>
      </w:r>
      <w:r>
        <w:rPr>
          <w:rFonts w:ascii="Arial" w:cs="Arial" w:eastAsia="Arial" w:hAnsi="Arial"/>
          <w:sz w:val="17"/>
          <w:szCs w:val="17"/>
          <w:color w:val="auto"/>
        </w:rPr>
        <w:t>To carry out the purposes of the Plan, the Company shall, on the first business day of each fiscal year, issue to each person who is</w:t>
      </w:r>
      <w:r>
        <w:rPr>
          <w:rFonts w:ascii="Arial" w:cs="Arial" w:eastAsia="Arial" w:hAnsi="Arial"/>
          <w:sz w:val="17"/>
          <w:szCs w:val="17"/>
          <w:b w:val="1"/>
          <w:bCs w:val="1"/>
          <w:color w:val="auto"/>
        </w:rPr>
        <w:t xml:space="preserve"> </w:t>
      </w:r>
      <w:r>
        <w:rPr>
          <w:rFonts w:ascii="Arial" w:cs="Arial" w:eastAsia="Arial" w:hAnsi="Arial"/>
          <w:sz w:val="17"/>
          <w:szCs w:val="17"/>
          <w:color w:val="auto"/>
        </w:rPr>
        <w:t>then a Nonemployee Director shares of the Company’s Common Stock, $1.00 par value and related preferred share purchase rights (the “Common Stock”), in an amount equal to $10,000 divided by the fair market value of one share of Common Stock rounded down to the greatest number of whole shares (“Directors Shares”) subject to adjustment as provided in Section 5 hereof. Fair market value for this purpose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133" w:lineRule="exact"/>
        <w:rPr>
          <w:rFonts w:ascii="Arial" w:cs="Arial" w:eastAsia="Arial" w:hAnsi="Arial"/>
          <w:sz w:val="17"/>
          <w:szCs w:val="17"/>
          <w:color w:val="auto"/>
        </w:rPr>
      </w:pPr>
    </w:p>
    <w:p>
      <w:pPr>
        <w:ind w:left="307" w:hanging="190"/>
        <w:spacing w:after="0"/>
        <w:tabs>
          <w:tab w:leader="none" w:pos="307"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Directors Options.</w:t>
      </w:r>
    </w:p>
    <w:p>
      <w:pPr>
        <w:spacing w:after="0" w:line="188" w:lineRule="exact"/>
        <w:rPr>
          <w:rFonts w:ascii="Arial" w:cs="Arial" w:eastAsia="Arial" w:hAnsi="Arial"/>
          <w:sz w:val="18"/>
          <w:szCs w:val="18"/>
          <w:color w:val="auto"/>
        </w:rPr>
      </w:pPr>
    </w:p>
    <w:p>
      <w:pPr>
        <w:ind w:left="347" w:right="140" w:hanging="1"/>
        <w:spacing w:after="0" w:line="276" w:lineRule="auto"/>
        <w:tabs>
          <w:tab w:leader="none" w:pos="487" w:val="left"/>
        </w:tabs>
        <w:numPr>
          <w:ilvl w:val="2"/>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Annual Grant. </w:t>
      </w:r>
      <w:r>
        <w:rPr>
          <w:rFonts w:ascii="Arial" w:cs="Arial" w:eastAsia="Arial" w:hAnsi="Arial"/>
          <w:sz w:val="17"/>
          <w:szCs w:val="17"/>
          <w:color w:val="auto"/>
        </w:rPr>
        <w:t>Subject to the terms and conditions of this Section 3.b., on the first business day of each fiscal year, the Company shall grant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nonqualified option (“Directors Option”) to purchase 2,000 shares of Common Stock to each person who is then a Nonemployee Director. Directors Options shall be granted at an exercise price per share equal to the fair market value of one share of Common Stock on the date of grant, but not less than par value. Fair market value for this purpose shall be the 4 p.m. Eastern Time closing price of the Common Stock as reported by the New York Stock Exchange for the date of grant. No option may be repriced, once granted.</w:t>
      </w:r>
    </w:p>
    <w:p>
      <w:pPr>
        <w:spacing w:after="0" w:line="145" w:lineRule="exact"/>
        <w:rPr>
          <w:rFonts w:ascii="Arial" w:cs="Arial" w:eastAsia="Arial" w:hAnsi="Arial"/>
          <w:sz w:val="17"/>
          <w:szCs w:val="17"/>
          <w:color w:val="auto"/>
        </w:rPr>
      </w:pPr>
    </w:p>
    <w:p>
      <w:pPr>
        <w:ind w:left="527" w:hanging="181"/>
        <w:spacing w:after="0"/>
        <w:tabs>
          <w:tab w:leader="none" w:pos="527" w:val="left"/>
        </w:tabs>
        <w:numPr>
          <w:ilvl w:val="2"/>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Vesting, Transferability and Exercisability.</w:t>
      </w:r>
    </w:p>
    <w:p>
      <w:pPr>
        <w:spacing w:after="0" w:line="184" w:lineRule="exact"/>
        <w:rPr>
          <w:rFonts w:ascii="Arial" w:cs="Arial" w:eastAsia="Arial" w:hAnsi="Arial"/>
          <w:sz w:val="18"/>
          <w:szCs w:val="18"/>
          <w:color w:val="auto"/>
        </w:rPr>
      </w:pPr>
    </w:p>
    <w:p>
      <w:pPr>
        <w:jc w:val="both"/>
        <w:ind w:left="687" w:right="140" w:firstLine="1"/>
        <w:spacing w:after="0" w:line="264" w:lineRule="auto"/>
        <w:tabs>
          <w:tab w:leader="none" w:pos="931" w:val="left"/>
        </w:tabs>
        <w:numPr>
          <w:ilvl w:val="3"/>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Except as provided in Sections 3.b.ii.(c)(1) and (2), Directors Options shall vest and become exercisable in three equal installments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second and third anniversaries following the date of grant, and shall remain exercisable for a term of ten years after the date of grant.</w:t>
      </w:r>
    </w:p>
    <w:p>
      <w:pPr>
        <w:spacing w:after="0" w:line="140" w:lineRule="exact"/>
        <w:rPr>
          <w:rFonts w:ascii="Arial" w:cs="Arial" w:eastAsia="Arial" w:hAnsi="Arial"/>
          <w:sz w:val="18"/>
          <w:szCs w:val="18"/>
          <w:color w:val="auto"/>
        </w:rPr>
      </w:pPr>
    </w:p>
    <w:p>
      <w:pPr>
        <w:ind w:left="687" w:right="540" w:firstLine="1"/>
        <w:spacing w:after="0" w:line="277" w:lineRule="auto"/>
        <w:tabs>
          <w:tab w:leader="none" w:pos="942" w:val="left"/>
        </w:tabs>
        <w:numPr>
          <w:ilvl w:val="3"/>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Transfer. </w:t>
      </w:r>
      <w:r>
        <w:rPr>
          <w:rFonts w:ascii="Arial" w:cs="Arial" w:eastAsia="Arial" w:hAnsi="Arial"/>
          <w:sz w:val="18"/>
          <w:szCs w:val="18"/>
          <w:color w:val="auto"/>
        </w:rPr>
        <w:t>No Directors Option shall be assigned or transferred, except by will or the laws of descent and distribution. An option 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transferred may be exercised after the death of the individual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372745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1" w:right="25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color w:val="auto"/>
        </w:rPr>
        <w:t>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43" w:lineRule="exact"/>
        <w:rPr>
          <w:sz w:val="20"/>
          <w:szCs w:val="20"/>
          <w:color w:val="auto"/>
        </w:rPr>
      </w:pPr>
    </w:p>
    <w:p>
      <w:pPr>
        <w:ind w:right="40" w:firstLine="136"/>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w:t>
      </w:r>
      <w:r>
        <w:rPr>
          <w:rFonts w:ascii="Arial" w:cs="Arial" w:eastAsia="Arial" w:hAnsi="Arial"/>
          <w:sz w:val="18"/>
          <w:szCs w:val="18"/>
          <w:color w:val="auto"/>
        </w:rPr>
        <w:t>During the lifetime of a Nonemployee Director, Directors Options held by such individual may be exercised only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Nonemployee Director and only while serving as a member of the Board of Directors of the Company and only if the Nonemployee Director has been continuously so serving since the date such options were granted, except as follows:</w:t>
      </w:r>
    </w:p>
    <w:p>
      <w:pPr>
        <w:spacing w:after="0" w:line="140" w:lineRule="exact"/>
        <w:rPr>
          <w:rFonts w:ascii="Arial" w:cs="Arial" w:eastAsia="Arial" w:hAnsi="Arial"/>
          <w:sz w:val="18"/>
          <w:szCs w:val="18"/>
          <w:color w:val="auto"/>
        </w:rPr>
      </w:pPr>
    </w:p>
    <w:p>
      <w:pPr>
        <w:ind w:right="20" w:firstLine="226"/>
        <w:spacing w:after="0" w:line="259" w:lineRule="auto"/>
        <w:tabs>
          <w:tab w:leader="none" w:pos="48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or Death. </w:t>
      </w:r>
      <w:r>
        <w:rPr>
          <w:rFonts w:ascii="Arial" w:cs="Arial" w:eastAsia="Arial" w:hAnsi="Arial"/>
          <w:sz w:val="18"/>
          <w:szCs w:val="18"/>
          <w:color w:val="auto"/>
        </w:rPr>
        <w:t>In the event of disability or death of a Nonemployee Director, all outstanding unvested options shall vest effective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date of death or termination of service by reason of disability, and all such vested options may be exercised by such individual or his or her legal representatives not later than the earlier of the date the option expires or one year after the date such service as a Nonemployee Director ceases by reason of disability or death.</w:t>
      </w:r>
    </w:p>
    <w:p>
      <w:pPr>
        <w:spacing w:after="0" w:line="146" w:lineRule="exact"/>
        <w:rPr>
          <w:rFonts w:ascii="Arial" w:cs="Arial" w:eastAsia="Arial" w:hAnsi="Arial"/>
          <w:sz w:val="18"/>
          <w:szCs w:val="18"/>
          <w:color w:val="auto"/>
        </w:rPr>
      </w:pPr>
    </w:p>
    <w:p>
      <w:pPr>
        <w:ind w:right="140" w:firstLine="226"/>
        <w:spacing w:after="0" w:line="293" w:lineRule="auto"/>
        <w:tabs>
          <w:tab w:leader="none" w:pos="480"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w:t>
      </w:r>
      <w:r>
        <w:rPr>
          <w:rFonts w:ascii="Arial" w:cs="Arial" w:eastAsia="Arial" w:hAnsi="Arial"/>
          <w:sz w:val="16"/>
          <w:szCs w:val="16"/>
          <w:color w:val="auto"/>
        </w:rPr>
        <w:t>If a Nonemployee Director has served as a member of the Board of Directors for ten full fiscal years or longer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terminates service on the Board, (A) outstanding unvested options shall remain outstanding and continue to vest in accordance with their terms, and (B) the Nonemployee Director may exercise all such vested outstanding options for up to four years after the date of termination, but not later than the date an option expires. If a Nonemployee Director has served as a member of the Board of Directors for less than ten years and terminates service on the Board, (C) all unvested options shall expire and be canceled and (D) the Nonemployee Director may exercise any vested outstanding options for up to three months after the date of termination, but not later than the date an option expires.</w:t>
      </w:r>
    </w:p>
    <w:p>
      <w:pPr>
        <w:spacing w:after="0" w:line="137" w:lineRule="exact"/>
        <w:rPr>
          <w:rFonts w:ascii="Arial" w:cs="Arial" w:eastAsia="Arial" w:hAnsi="Arial"/>
          <w:sz w:val="16"/>
          <w:szCs w:val="16"/>
          <w:color w:val="auto"/>
        </w:rPr>
      </w:pPr>
    </w:p>
    <w:p>
      <w:pPr>
        <w:ind w:firstLine="136"/>
        <w:spacing w:after="0" w:line="288" w:lineRule="auto"/>
        <w:tabs>
          <w:tab w:leader="none" w:pos="39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Methods of Exercise and Payment of Exercise Price. </w:t>
      </w:r>
      <w:r>
        <w:rPr>
          <w:rFonts w:ascii="Arial" w:cs="Arial" w:eastAsia="Arial" w:hAnsi="Arial"/>
          <w:sz w:val="16"/>
          <w:szCs w:val="16"/>
          <w:color w:val="auto"/>
        </w:rPr>
        <w:t>Subject to the terms and conditions of the Plan and the terms and conditions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agreement, a vested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(1) in cash, (2)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(3) in a combination of cash and Common Stock or (4) by delivery of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 shares of Common Stock shall be issued until full payment has been made.</w:t>
      </w:r>
    </w:p>
    <w:p>
      <w:pPr>
        <w:spacing w:after="0" w:line="18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Share Proration.</w:t>
      </w:r>
      <w:r>
        <w:rPr>
          <w:rFonts w:ascii="Arial" w:cs="Arial" w:eastAsia="Arial" w:hAnsi="Arial"/>
          <w:sz w:val="18"/>
          <w:szCs w:val="18"/>
          <w:color w:val="auto"/>
        </w:rPr>
        <w:t xml:space="preserve"> If, on any date on which Directors Shares are to be issued pursuant to Section 3.a. or Directors Options are to be granted pursuant to Section 3.b., the number of shares of</w:t>
      </w:r>
    </w:p>
    <w:p>
      <w:pPr>
        <w:spacing w:after="0" w:line="13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1160" w:top="935" w:right="259" w:bottom="1440" w:gutter="0" w:footer="0" w:header="0"/>
        </w:sectPr>
      </w:pPr>
    </w:p>
    <w:bookmarkStart w:id="28" w:name="page29"/>
    <w:bookmarkEnd w:id="28"/>
    <w:p>
      <w:pPr>
        <w:ind w:left="912" w:right="60"/>
        <w:spacing w:after="0" w:line="293" w:lineRule="auto"/>
        <w:rPr>
          <w:sz w:val="20"/>
          <w:szCs w:val="20"/>
          <w:color w:val="auto"/>
        </w:rPr>
      </w:pPr>
      <w:r>
        <w:rPr>
          <w:rFonts w:ascii="Arial" w:cs="Arial" w:eastAsia="Arial" w:hAnsi="Arial"/>
          <w:sz w:val="16"/>
          <w:szCs w:val="16"/>
          <w:color w:val="auto"/>
        </w:rPr>
        <w:t>Common Stock is insufficient for the issuance of the entire number of shares to be issued or for the grant of the entire number of options, as calculated in accordance with Section 3.a. or Section 3.b., respectively, then the number of shares to be issued and options to be granted to each Nonemployee Director entitled to receive Directors Shares or Directors Options on such date shall be such Nonemployee Director’s proportionate share of the available number of shares and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34" w:lineRule="exact"/>
        <w:rPr>
          <w:sz w:val="20"/>
          <w:szCs w:val="20"/>
          <w:color w:val="auto"/>
        </w:rPr>
      </w:pPr>
    </w:p>
    <w:p>
      <w:pPr>
        <w:ind w:left="-8" w:right="60" w:firstLine="233"/>
        <w:spacing w:after="0" w:line="256" w:lineRule="auto"/>
        <w:tabs>
          <w:tab w:leader="none" w:pos="397"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Shares in Lieu of Fees. </w:t>
      </w:r>
      <w:r>
        <w:rPr>
          <w:rFonts w:ascii="Arial" w:cs="Arial" w:eastAsia="Arial" w:hAnsi="Arial"/>
          <w:sz w:val="18"/>
          <w:szCs w:val="18"/>
          <w:color w:val="auto"/>
        </w:rPr>
        <w:t>A Nonemployee Director shall have the right to elect to receive shares of Common Stock in lieu of annual retainer and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fees otherwise payable in cash. The election to receive Common Stock shall be made prior to the date fees are otherwise scheduled to be paid but not later than May 31 of the calendar year for which the fees are to be paid. Fees that are earned after the date a director makes an election shall be reserved through the rest of the calendar year and shares shall be issued in December of that year. The number of shares to be issued shall be determined by dividing the dollar amount of reserved fees by the 4 p.m. Eastern Time closing price of one share of Common Stock as reported by the New York Stock Exchange for the date that the shares are issued.</w:t>
      </w:r>
    </w:p>
    <w:p>
      <w:pPr>
        <w:spacing w:after="0" w:line="147" w:lineRule="exact"/>
        <w:rPr>
          <w:rFonts w:ascii="Arial" w:cs="Arial" w:eastAsia="Arial" w:hAnsi="Arial"/>
          <w:sz w:val="18"/>
          <w:szCs w:val="18"/>
          <w:color w:val="auto"/>
        </w:rPr>
      </w:pPr>
    </w:p>
    <w:p>
      <w:pPr>
        <w:ind w:left="-8" w:firstLine="233"/>
        <w:spacing w:after="0" w:line="283" w:lineRule="auto"/>
        <w:tabs>
          <w:tab w:leader="none" w:pos="397"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Stock Subject to Plan. </w:t>
      </w:r>
      <w:r>
        <w:rPr>
          <w:rFonts w:ascii="Arial" w:cs="Arial" w:eastAsia="Arial" w:hAnsi="Arial"/>
          <w:sz w:val="16"/>
          <w:szCs w:val="16"/>
          <w:color w:val="auto"/>
        </w:rPr>
        <w:t>Subject to adjustment as provided in this paragraph and subject to increase by amendment of the Plan, the total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reserved and available for issuance in connection with the Plan shall be 240,000 shares. If any Directors Option granted hereunder expires unexercised, terminates, is exchanged for other options without the issuance of shares of Common Stock or is exercised by delivery or constructive delivery of shares of Common Stock already owned by the option holder, the shares of Common Stock reserved for issuance pursuant to such option shall, to the extent of any such termination or to the extent the shares covered by an option are not issued or used, again be available for option grants under the Plan, unless prohibited by applicable law or regulation.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of adjustment in (a) the maximum number and kind of securities subject to the Plan as set forth in this paragraph; (b) the maximum number and kind of securities that may be made subject to Directors Options and the determination of the number or kind of Directors Shares;</w:t>
      </w:r>
    </w:p>
    <w:p>
      <w:pPr>
        <w:spacing w:after="0" w:line="7" w:lineRule="exact"/>
        <w:rPr>
          <w:rFonts w:ascii="Arial" w:cs="Arial" w:eastAsia="Arial" w:hAnsi="Arial"/>
          <w:sz w:val="16"/>
          <w:szCs w:val="16"/>
          <w:color w:val="auto"/>
        </w:rPr>
      </w:pPr>
    </w:p>
    <w:p>
      <w:pPr>
        <w:ind w:left="-8" w:right="680" w:firstLine="8"/>
        <w:spacing w:after="0" w:line="261" w:lineRule="auto"/>
        <w:tabs>
          <w:tab w:leader="none" w:pos="2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kind of securities subject to any outstanding Directors Option; and (d) any other adjustments that the Committee determines to be equitable.</w:t>
      </w:r>
    </w:p>
    <w:p>
      <w:pPr>
        <w:spacing w:after="0" w:line="139" w:lineRule="exact"/>
        <w:rPr>
          <w:rFonts w:ascii="Arial" w:cs="Arial" w:eastAsia="Arial" w:hAnsi="Arial"/>
          <w:sz w:val="18"/>
          <w:szCs w:val="18"/>
          <w:color w:val="auto"/>
        </w:rPr>
      </w:pPr>
    </w:p>
    <w:p>
      <w:pPr>
        <w:ind w:left="-8" w:firstLine="233"/>
        <w:spacing w:after="0" w:line="266" w:lineRule="auto"/>
        <w:tabs>
          <w:tab w:leader="none" w:pos="397"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In the event of a Change of Control of the Company as hereinafter defined, all Directors Options shall fully vest, and be exercisable</w:t>
      </w:r>
      <w:r>
        <w:rPr>
          <w:rFonts w:ascii="Arial" w:cs="Arial" w:eastAsia="Arial" w:hAnsi="Arial"/>
          <w:sz w:val="18"/>
          <w:szCs w:val="18"/>
          <w:b w:val="1"/>
          <w:bCs w:val="1"/>
          <w:color w:val="auto"/>
        </w:rPr>
        <w:t xml:space="preserve"> </w:t>
      </w:r>
      <w:r>
        <w:rPr>
          <w:rFonts w:ascii="Arial" w:cs="Arial" w:eastAsia="Arial" w:hAnsi="Arial"/>
          <w:sz w:val="18"/>
          <w:szCs w:val="18"/>
          <w:color w:val="auto"/>
        </w:rPr>
        <w:t>in their entirety immediately, and notwithstanding any other provisions of the Plan, shall continue to be exercisable for three years following the Change of Control, but not later than ten years after the date of grant.</w:t>
      </w:r>
    </w:p>
    <w:p>
      <w:pPr>
        <w:spacing w:after="0" w:line="15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Change of Control means:</w:t>
      </w:r>
    </w:p>
    <w:p>
      <w:pPr>
        <w:spacing w:after="0" w:line="225" w:lineRule="exact"/>
        <w:rPr>
          <w:sz w:val="20"/>
          <w:szCs w:val="20"/>
          <w:color w:val="auto"/>
        </w:rPr>
      </w:pPr>
    </w:p>
    <w:p>
      <w:pPr>
        <w:ind w:left="560" w:right="20" w:hanging="454"/>
        <w:spacing w:after="0" w:line="271" w:lineRule="auto"/>
        <w:tabs>
          <w:tab w:leader="none" w:pos="5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178" w:lineRule="exact"/>
        <w:rPr>
          <w:rFonts w:ascii="Arial" w:cs="Arial" w:eastAsia="Arial" w:hAnsi="Arial"/>
          <w:sz w:val="17"/>
          <w:szCs w:val="17"/>
          <w:color w:val="auto"/>
        </w:rPr>
      </w:pPr>
    </w:p>
    <w:p>
      <w:pPr>
        <w:ind w:left="560" w:right="100" w:hanging="454"/>
        <w:spacing w:after="0" w:line="293"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4" w:lineRule="exact"/>
        <w:rPr>
          <w:rFonts w:ascii="Arial" w:cs="Arial" w:eastAsia="Arial" w:hAnsi="Arial"/>
          <w:sz w:val="16"/>
          <w:szCs w:val="16"/>
          <w:color w:val="auto"/>
        </w:rPr>
      </w:pPr>
    </w:p>
    <w:p>
      <w:pPr>
        <w:ind w:left="560" w:hanging="454"/>
        <w:spacing w:after="0" w:line="286"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w:t>
      </w:r>
    </w:p>
    <w:p>
      <w:pPr>
        <w:spacing w:after="0" w:line="17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0" w:name="page31"/>
    <w:bookmarkEnd w:id="30"/>
    <w:p>
      <w:pPr>
        <w:ind w:left="320" w:right="20"/>
        <w:spacing w:after="0" w:line="277" w:lineRule="auto"/>
        <w:rPr>
          <w:sz w:val="20"/>
          <w:szCs w:val="20"/>
          <w:color w:val="auto"/>
        </w:rPr>
      </w:pPr>
      <w:r>
        <w:rPr>
          <w:rFonts w:ascii="Arial" w:cs="Arial" w:eastAsia="Arial" w:hAnsi="Arial"/>
          <w:sz w:val="18"/>
          <w:szCs w:val="18"/>
          <w:color w:val="auto"/>
        </w:rPr>
        <w:t>resulting from such Business Combination were members of the Incumbent Board at the time of the execution of the initial agreement, or of the action of the Board, providing for such Business Combination; or</w:t>
      </w:r>
    </w:p>
    <w:p>
      <w:pPr>
        <w:spacing w:after="0" w:line="170" w:lineRule="exact"/>
        <w:rPr>
          <w:sz w:val="20"/>
          <w:szCs w:val="20"/>
          <w:color w:val="auto"/>
        </w:rPr>
      </w:pPr>
    </w:p>
    <w:p>
      <w:pPr>
        <w:ind w:left="760" w:hanging="454"/>
        <w:spacing w:after="0"/>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1" w:lineRule="exact"/>
        <w:rPr>
          <w:rFonts w:ascii="Arial" w:cs="Arial" w:eastAsia="Arial" w:hAnsi="Arial"/>
          <w:sz w:val="18"/>
          <w:szCs w:val="18"/>
          <w:color w:val="auto"/>
        </w:rPr>
      </w:pPr>
    </w:p>
    <w:p>
      <w:pPr>
        <w:ind w:left="-40" w:right="120" w:firstLine="233"/>
        <w:spacing w:after="0" w:line="303" w:lineRule="auto"/>
        <w:tabs>
          <w:tab w:leader="none" w:pos="365"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Administration of the Plan. </w:t>
      </w:r>
      <w:r>
        <w:rPr>
          <w:rFonts w:ascii="Arial" w:cs="Arial" w:eastAsia="Arial" w:hAnsi="Arial"/>
          <w:sz w:val="16"/>
          <w:szCs w:val="16"/>
          <w:color w:val="auto"/>
        </w:rPr>
        <w:t>The Plan shall be administered by a committee composed of those members of the Board of Directors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Section 3.b. Section 4 or Section 5.</w:t>
      </w:r>
    </w:p>
    <w:p>
      <w:pPr>
        <w:spacing w:after="0" w:line="124" w:lineRule="exact"/>
        <w:rPr>
          <w:rFonts w:ascii="Arial" w:cs="Arial" w:eastAsia="Arial" w:hAnsi="Arial"/>
          <w:sz w:val="16"/>
          <w:szCs w:val="16"/>
          <w:color w:val="auto"/>
        </w:rPr>
      </w:pPr>
    </w:p>
    <w:p>
      <w:pPr>
        <w:jc w:val="both"/>
        <w:ind w:left="-40" w:right="20" w:firstLine="233"/>
        <w:spacing w:after="0" w:line="256" w:lineRule="auto"/>
        <w:tabs>
          <w:tab w:leader="none" w:pos="36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shall have the right to deduct from any settlement made under the Plan, including the exercise of an option or the sale</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47" w:lineRule="exact"/>
        <w:rPr>
          <w:rFonts w:ascii="Arial" w:cs="Arial" w:eastAsia="Arial" w:hAnsi="Arial"/>
          <w:sz w:val="18"/>
          <w:szCs w:val="18"/>
          <w:color w:val="auto"/>
        </w:rPr>
      </w:pPr>
    </w:p>
    <w:p>
      <w:pPr>
        <w:ind w:left="-40" w:right="180" w:firstLine="233"/>
        <w:spacing w:after="0" w:line="282" w:lineRule="auto"/>
        <w:tabs>
          <w:tab w:leader="none" w:pos="36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and Term of Plan. </w:t>
      </w:r>
      <w:r>
        <w:rPr>
          <w:rFonts w:ascii="Arial" w:cs="Arial" w:eastAsia="Arial" w:hAnsi="Arial"/>
          <w:sz w:val="18"/>
          <w:szCs w:val="18"/>
          <w:color w:val="auto"/>
        </w:rPr>
        <w:t>The Plan first became effective March 14, 2001 and shall be perpetual, unless terminated by action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w:t>
      </w:r>
    </w:p>
    <w:p>
      <w:pPr>
        <w:spacing w:after="0" w:line="121" w:lineRule="exact"/>
        <w:rPr>
          <w:rFonts w:ascii="Arial" w:cs="Arial" w:eastAsia="Arial" w:hAnsi="Arial"/>
          <w:sz w:val="18"/>
          <w:szCs w:val="18"/>
          <w:color w:val="auto"/>
        </w:rPr>
      </w:pPr>
    </w:p>
    <w:p>
      <w:pPr>
        <w:ind w:left="-40" w:firstLine="233"/>
        <w:spacing w:after="0" w:line="261"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Board may amend, suspend or terminate the Plan at any time, with or without advance notice to Plan participants.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amendment to the Plan shall be the date of its adoption by the Board of Directors, subject to stockholder approval, if required. No amendment of the Plan shall adversely affect in a material manner any right of any option holder with respect to any option theretofore granted without such option holder’s written consent.</w:t>
      </w:r>
    </w:p>
    <w:p>
      <w:pPr>
        <w:spacing w:after="0" w:line="153" w:lineRule="exact"/>
        <w:rPr>
          <w:rFonts w:ascii="Arial" w:cs="Arial" w:eastAsia="Arial" w:hAnsi="Arial"/>
          <w:sz w:val="18"/>
          <w:szCs w:val="18"/>
          <w:color w:val="auto"/>
        </w:rPr>
      </w:pPr>
    </w:p>
    <w:p>
      <w:pPr>
        <w:jc w:val="both"/>
        <w:ind w:left="-40" w:right="500" w:firstLine="233"/>
        <w:spacing w:after="0" w:line="314" w:lineRule="auto"/>
        <w:tabs>
          <w:tab w:leader="none" w:pos="448"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Plan, Directors Shares, Directors Options and agreements entered into under the Plan shall be construed, administered and</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935" w:right="259" w:bottom="1440" w:gutter="0" w:footer="0" w:header="0"/>
        </w:sectPr>
      </w:pPr>
    </w:p>
    <w:bookmarkStart w:id="31" w:name="page32"/>
    <w:bookmarkEnd w:id="31"/>
    <w:p>
      <w:pPr>
        <w:jc w:val="center"/>
        <w:ind w:right="-139"/>
        <w:spacing w:after="0"/>
        <w:rPr>
          <w:sz w:val="20"/>
          <w:szCs w:val="20"/>
          <w:color w:val="auto"/>
        </w:rPr>
      </w:pPr>
      <w:r>
        <w:rPr>
          <w:rFonts w:ascii="Arial" w:cs="Arial" w:eastAsia="Arial" w:hAnsi="Arial"/>
          <w:sz w:val="18"/>
          <w:szCs w:val="18"/>
          <w:b w:val="1"/>
          <w:bCs w:val="1"/>
          <w:color w:val="auto"/>
        </w:rPr>
        <w:t>AMENDMENT NO. 3 TO MULTI-YEAR CREDIT AGREEMENT</w:t>
      </w:r>
    </w:p>
    <w:p>
      <w:pPr>
        <w:spacing w:after="0" w:line="198" w:lineRule="exact"/>
        <w:rPr>
          <w:sz w:val="20"/>
          <w:szCs w:val="20"/>
          <w:color w:val="auto"/>
        </w:rPr>
      </w:pPr>
    </w:p>
    <w:p>
      <w:pPr>
        <w:ind w:right="40" w:firstLine="222"/>
        <w:spacing w:after="0" w:line="258" w:lineRule="auto"/>
        <w:rPr>
          <w:sz w:val="20"/>
          <w:szCs w:val="20"/>
          <w:color w:val="auto"/>
        </w:rPr>
      </w:pPr>
      <w:r>
        <w:rPr>
          <w:rFonts w:ascii="Arial" w:cs="Arial" w:eastAsia="Arial" w:hAnsi="Arial"/>
          <w:sz w:val="18"/>
          <w:szCs w:val="18"/>
          <w:color w:val="auto"/>
        </w:rPr>
        <w:t xml:space="preserve">This Amendment No. 3 to Multi- Year Credit Agreement (this “Agreement ”) dated as of March 10, 2004 is made by and among </w:t>
      </w:r>
      <w:r>
        <w:rPr>
          <w:rFonts w:ascii="Arial" w:cs="Arial" w:eastAsia="Arial" w:hAnsi="Arial"/>
          <w:sz w:val="18"/>
          <w:szCs w:val="18"/>
          <w:b w:val="1"/>
          <w:bCs w:val="1"/>
          <w:color w:val="auto"/>
        </w:rPr>
        <w:t>THE TORO</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a Delaware corporation (“Toro”), the</w:t>
      </w:r>
      <w:r>
        <w:rPr>
          <w:rFonts w:ascii="Arial" w:cs="Arial" w:eastAsia="Arial" w:hAnsi="Arial"/>
          <w:sz w:val="18"/>
          <w:szCs w:val="18"/>
          <w:b w:val="1"/>
          <w:bCs w:val="1"/>
          <w:color w:val="auto"/>
        </w:rPr>
        <w:t xml:space="preserve"> SUBSIDIARY BORROWERS </w:t>
      </w:r>
      <w:r>
        <w:rPr>
          <w:rFonts w:ascii="Arial" w:cs="Arial" w:eastAsia="Arial" w:hAnsi="Arial"/>
          <w:sz w:val="18"/>
          <w:szCs w:val="18"/>
          <w:color w:val="auto"/>
        </w:rPr>
        <w:t>(as defined in the Credit Agreement, defined below),</w:t>
      </w:r>
      <w:r>
        <w:rPr>
          <w:rFonts w:ascii="Arial" w:cs="Arial" w:eastAsia="Arial" w:hAnsi="Arial"/>
          <w:sz w:val="18"/>
          <w:szCs w:val="18"/>
          <w:b w:val="1"/>
          <w:bCs w:val="1"/>
          <w:color w:val="auto"/>
        </w:rPr>
        <w:t xml:space="preserve"> TORO CREDIT COMPANY</w:t>
      </w:r>
      <w:r>
        <w:rPr>
          <w:rFonts w:ascii="Arial" w:cs="Arial" w:eastAsia="Arial" w:hAnsi="Arial"/>
          <w:sz w:val="18"/>
          <w:szCs w:val="18"/>
          <w:color w:val="auto"/>
        </w:rPr>
        <w:t>, a Minnesota corporation (“Credit” and together with Toro and the Subsidiary Borrowers, the “Companies”),</w:t>
      </w:r>
      <w:r>
        <w:rPr>
          <w:rFonts w:ascii="Arial" w:cs="Arial" w:eastAsia="Arial" w:hAnsi="Arial"/>
          <w:sz w:val="18"/>
          <w:szCs w:val="18"/>
          <w:b w:val="1"/>
          <w:bCs w:val="1"/>
          <w:color w:val="auto"/>
        </w:rPr>
        <w:t xml:space="preserve"> BANK OF AMERICA, N.A.</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its capacity as administrative agent (in such capacity, the “Agent”) and each of the Banks (as defined in the Credit Agreement, defined below) signatory hereto.</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WITNESSETH:</w:t>
      </w:r>
    </w:p>
    <w:p>
      <w:pPr>
        <w:spacing w:after="0" w:line="185"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Companies, the Agent and the Banks have entered into that certain Multi-Year Credit Agreement dated as of February 22, 2002,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that certain Amendment No. 1 to Multi-Year Credit Agreement dated December 11, 2002 and by that certain Amendment No. 2 to Multi- Year Credit Agreement dated July 9, 2003 (as hereby further amended and as from time to time hereafter further amended, modified, supplemented, restated, or amended and restated, the “Credit Agreement ”; the capitalized terms as used in this Agreement not otherwise defined herein shall have the respective meanings given thereto in the Credit Agreement), pursuant to which the Banks have made available to the Companies a revolving credit facility (including a letter of credit facility and a swing line facility); and</w:t>
      </w:r>
    </w:p>
    <w:p>
      <w:pPr>
        <w:spacing w:after="0" w:line="161"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Companies have requested that the Credit Agreement be amended to permit additional repurchases of Toro stock, and the Agent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Banks have agreed so to amend the Credit Agreement on the terms and conditions set forth herein;</w:t>
      </w:r>
    </w:p>
    <w:p>
      <w:pPr>
        <w:spacing w:after="0" w:line="121"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further valuable consideration, the receipt and sufficiency of which is hereby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as follows:</w:t>
      </w:r>
    </w:p>
    <w:p>
      <w:pPr>
        <w:spacing w:after="0" w:line="125" w:lineRule="exact"/>
        <w:rPr>
          <w:sz w:val="20"/>
          <w:szCs w:val="20"/>
          <w:color w:val="auto"/>
        </w:rPr>
      </w:pPr>
    </w:p>
    <w:p>
      <w:pPr>
        <w:ind w:left="400" w:hanging="167"/>
        <w:spacing w:after="0"/>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Amendment to Credit Agreement. Subject to the terms and conditions set forth herein, the Credit Agreement is hereby amended as follows:</w:t>
      </w:r>
    </w:p>
    <w:p>
      <w:pPr>
        <w:spacing w:after="0" w:line="209" w:lineRule="exact"/>
        <w:rPr>
          <w:rFonts w:ascii="Arial" w:cs="Arial" w:eastAsia="Arial" w:hAnsi="Arial"/>
          <w:sz w:val="17"/>
          <w:szCs w:val="17"/>
          <w:color w:val="auto"/>
        </w:rPr>
      </w:pPr>
    </w:p>
    <w:p>
      <w:pPr>
        <w:ind w:left="240" w:right="500" w:hanging="4"/>
        <w:spacing w:after="0" w:line="277" w:lineRule="auto"/>
        <w:tabs>
          <w:tab w:leader="none" w:pos="4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Section 7.10 of the Credit Agreement is hereby amended by deleting the text of such provision in its entirety and substituting in lieu thereof the following:</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Section 7.10 Use of Proceeds. Each Company shall use the proceeds of the Loans for (a) general working capital needs and capital expenditures and</w:t>
      </w:r>
    </w:p>
    <w:p>
      <w:pPr>
        <w:spacing w:after="0" w:line="46" w:lineRule="exact"/>
        <w:rPr>
          <w:sz w:val="20"/>
          <w:szCs w:val="20"/>
          <w:color w:val="auto"/>
        </w:rPr>
      </w:pPr>
    </w:p>
    <w:p>
      <w:pPr>
        <w:ind w:left="240"/>
        <w:spacing w:after="0" w:line="252" w:lineRule="auto"/>
        <w:rPr>
          <w:sz w:val="20"/>
          <w:szCs w:val="20"/>
          <w:color w:val="auto"/>
        </w:rPr>
      </w:pPr>
      <w:r>
        <w:rPr>
          <w:rFonts w:ascii="Arial" w:cs="Arial" w:eastAsia="Arial" w:hAnsi="Arial"/>
          <w:sz w:val="18"/>
          <w:szCs w:val="18"/>
          <w:color w:val="auto"/>
        </w:rPr>
        <w:t>(b) to replace and refinance outstanding indebtedness under the Existing Facilities, (c) subject to the proviso below, the purchase or other acquisition by Toro of shares of its capital stock and related preferred stock purchase rights to the extent permitted by Section 8.7(c), and (d) other lawful corporate purposes, other than, directly or indirectly, (i) for purposes of undertaking an Acquisition or Joint Venture in contravention of any Requirement of Law or of any Loan Document, (ii) to purchase or carry Margin Stock, (iii) to repay or otherwise refinance indebtedness of any Company or others incurred to purchase or carry Margin Stock, (iv) to extend credit for the purpose of purchasing or carrying any Margin Stock, or (v) to acquire any security in any transaction that is subject to Section 13 or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32" w:name="page33"/>
    <w:bookmarkEnd w:id="32"/>
    <w:p>
      <w:pPr>
        <w:ind w:left="220"/>
        <w:spacing w:after="0"/>
        <w:rPr>
          <w:sz w:val="20"/>
          <w:szCs w:val="20"/>
          <w:color w:val="auto"/>
        </w:rPr>
      </w:pPr>
      <w:r>
        <w:rPr>
          <w:rFonts w:ascii="Arial" w:cs="Arial" w:eastAsia="Arial" w:hAnsi="Arial"/>
          <w:sz w:val="17"/>
          <w:szCs w:val="17"/>
          <w:color w:val="auto"/>
        </w:rPr>
        <w:t>of the Exchange Act; provided, however, that notwithstanding clauses (ii) through (v) above, Toro may use proceeds of Loans as described in clause</w:t>
      </w:r>
    </w:p>
    <w:p>
      <w:pPr>
        <w:spacing w:after="0" w:line="35" w:lineRule="exact"/>
        <w:rPr>
          <w:sz w:val="20"/>
          <w:szCs w:val="20"/>
          <w:color w:val="auto"/>
        </w:rPr>
      </w:pPr>
    </w:p>
    <w:p>
      <w:pPr>
        <w:ind w:left="220" w:hanging="4"/>
        <w:spacing w:after="0" w:line="277" w:lineRule="auto"/>
        <w:tabs>
          <w:tab w:leader="none" w:pos="4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above so long as either (x) the Margin Stock so acquired is promptly retired following the purchase or other acquisition thereof or (y) at all times and after giving effect to each such purchase or acquisition, not more than twenty five percent (25%) of the total assets of the Companies and their Subsidiaries on a consolidated basis are represented by Margin Stock owned by the Companies and their Subsidiaries on a consolidated basis.”;</w:t>
      </w:r>
    </w:p>
    <w:p>
      <w:pPr>
        <w:spacing w:after="0" w:line="146" w:lineRule="exact"/>
        <w:rPr>
          <w:sz w:val="20"/>
          <w:szCs w:val="20"/>
          <w:color w:val="auto"/>
        </w:rPr>
      </w:pPr>
    </w:p>
    <w:p>
      <w:pPr>
        <w:ind w:left="480" w:hanging="264"/>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Section 8.4 of the Credit Agreement is hereby amended by (i) deleting “and” at the end of clause (f) thereof, (ii) deleting “.” at the end of clause</w:t>
      </w:r>
    </w:p>
    <w:p>
      <w:pPr>
        <w:spacing w:after="0" w:line="34" w:lineRule="exact"/>
        <w:rPr>
          <w:rFonts w:ascii="Arial" w:cs="Arial" w:eastAsia="Arial" w:hAnsi="Arial"/>
          <w:sz w:val="17"/>
          <w:szCs w:val="17"/>
          <w:color w:val="auto"/>
        </w:rPr>
      </w:pPr>
    </w:p>
    <w:p>
      <w:pPr>
        <w:ind w:left="480" w:hanging="264"/>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thereof and substituting in lieu thereof “; and”, and (iii) adding the following new clause (h):</w:t>
      </w:r>
    </w:p>
    <w:p>
      <w:pPr>
        <w:spacing w:after="0" w:line="170" w:lineRule="exact"/>
        <w:rPr>
          <w:sz w:val="20"/>
          <w:szCs w:val="20"/>
          <w:color w:val="auto"/>
        </w:rPr>
      </w:pPr>
    </w:p>
    <w:p>
      <w:pPr>
        <w:ind w:left="220" w:right="260" w:firstLine="225"/>
        <w:spacing w:after="0" w:line="277" w:lineRule="auto"/>
        <w:rPr>
          <w:sz w:val="20"/>
          <w:szCs w:val="20"/>
          <w:color w:val="auto"/>
        </w:rPr>
      </w:pPr>
      <w:r>
        <w:rPr>
          <w:rFonts w:ascii="Arial" w:cs="Arial" w:eastAsia="Arial" w:hAnsi="Arial"/>
          <w:sz w:val="18"/>
          <w:szCs w:val="18"/>
          <w:color w:val="auto"/>
        </w:rPr>
        <w:t>“(h) Purchases by Toro of shares of its capital stock and associated rights to purchase shares of Toro’s preferred stock pursuant to Toro’s shareholder rights plan to the extent permitted by Sections 7.10 and 8.7(c).”</w:t>
      </w:r>
    </w:p>
    <w:p>
      <w:pPr>
        <w:spacing w:after="0" w:line="130" w:lineRule="exact"/>
        <w:rPr>
          <w:sz w:val="20"/>
          <w:szCs w:val="20"/>
          <w:color w:val="auto"/>
        </w:rPr>
      </w:pPr>
    </w:p>
    <w:p>
      <w:pPr>
        <w:ind w:left="220" w:right="180" w:hanging="4"/>
        <w:spacing w:after="0" w:line="277" w:lineRule="auto"/>
        <w:tabs>
          <w:tab w:leader="none" w:pos="4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8.7 of the Credit Agreement is hereby amended by deleting clause (c) therefrom and inserting the following in lieu thereof the following new clause (c):</w:t>
      </w:r>
    </w:p>
    <w:p>
      <w:pPr>
        <w:spacing w:after="0" w:line="143" w:lineRule="exact"/>
        <w:rPr>
          <w:sz w:val="20"/>
          <w:szCs w:val="20"/>
          <w:color w:val="auto"/>
        </w:rPr>
      </w:pPr>
    </w:p>
    <w:p>
      <w:pPr>
        <w:ind w:left="220" w:firstLine="225"/>
        <w:spacing w:after="0" w:line="255" w:lineRule="auto"/>
        <w:rPr>
          <w:sz w:val="20"/>
          <w:szCs w:val="20"/>
          <w:color w:val="auto"/>
        </w:rPr>
      </w:pPr>
      <w:r>
        <w:rPr>
          <w:rFonts w:ascii="Arial" w:cs="Arial" w:eastAsia="Arial" w:hAnsi="Arial"/>
          <w:sz w:val="18"/>
          <w:szCs w:val="18"/>
          <w:color w:val="auto"/>
        </w:rPr>
        <w:t>“(c) Toro may declare and pay cash dividends to its stockholders and purchase, redeem or otherwise acquire shares of its capital stock or warrants, rights or options to acquire any such shares for cash up to an amount equal to (A) the sum of (i) 50% of the consolidated net income of Toro and its Subsidiaries arising after October 31, 2001 and computed on a cumulative consolidated basis, plus (ii) $50,000,000, plus (B) to the extent utilized solely to purchase, redeem or otherwise acquire shares of its capital stock and associated rights to purchase shares of Toro’s preferred stock pursuant to Toro’s shareholder rights plan, an additional $175,000,000; provided, that, immediately after giving effect to any such proposed action, no Default or Event of Default would exist; and”</w:t>
      </w:r>
    </w:p>
    <w:p>
      <w:pPr>
        <w:spacing w:after="0" w:line="13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920" w:type="dxa"/>
            <w:vAlign w:val="bottom"/>
            <w:gridSpan w:val="4"/>
          </w:tcPr>
          <w:p>
            <w:pPr>
              <w:spacing w:after="0"/>
              <w:rPr>
                <w:sz w:val="20"/>
                <w:szCs w:val="20"/>
                <w:color w:val="auto"/>
              </w:rPr>
            </w:pPr>
            <w:r>
              <w:rPr>
                <w:rFonts w:ascii="Arial" w:cs="Arial" w:eastAsia="Arial" w:hAnsi="Arial"/>
                <w:sz w:val="18"/>
                <w:szCs w:val="18"/>
                <w:color w:val="auto"/>
                <w:w w:val="93"/>
              </w:rPr>
              <w:t>(d) Section 4(d) of Exhibit C, the Form of Compliance Certificate, is amended by (i) amending the line denoted “Amount</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w w:val="89"/>
              </w:rPr>
              <w:t>” to read</w:t>
            </w:r>
          </w:p>
        </w:tc>
      </w:tr>
      <w:tr>
        <w:trPr>
          <w:trHeight w:val="372"/>
        </w:trPr>
        <w:tc>
          <w:tcPr>
            <w:tcW w:w="1300" w:type="dxa"/>
            <w:vAlign w:val="bottom"/>
          </w:tcPr>
          <w:p>
            <w:pPr>
              <w:spacing w:after="0"/>
              <w:rPr>
                <w:sz w:val="20"/>
                <w:szCs w:val="20"/>
                <w:color w:val="auto"/>
              </w:rPr>
            </w:pPr>
            <w:r>
              <w:rPr>
                <w:rFonts w:ascii="Arial" w:cs="Arial" w:eastAsia="Arial" w:hAnsi="Arial"/>
                <w:sz w:val="18"/>
                <w:szCs w:val="18"/>
                <w:color w:val="auto"/>
              </w:rPr>
              <w:t>“Total Amount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 and</w:t>
            </w:r>
          </w:p>
        </w:tc>
        <w:tc>
          <w:tcPr>
            <w:tcW w:w="2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(ii) amending the line immediately below the line decscribed in clause (i) to read as follows:</w:t>
      </w:r>
    </w:p>
    <w:p>
      <w:pPr>
        <w:spacing w:after="0" w:line="185" w:lineRule="exact"/>
        <w:rPr>
          <w:sz w:val="20"/>
          <w:szCs w:val="20"/>
          <w:color w:val="auto"/>
        </w:rPr>
      </w:pPr>
    </w:p>
    <w:p>
      <w:pPr>
        <w:ind w:left="220"/>
        <w:spacing w:after="0"/>
        <w:tabs>
          <w:tab w:leader="none" w:pos="4060" w:val="left"/>
          <w:tab w:leader="none" w:pos="4680" w:val="left"/>
        </w:tabs>
        <w:rPr>
          <w:sz w:val="20"/>
          <w:szCs w:val="20"/>
          <w:color w:val="auto"/>
        </w:rPr>
      </w:pPr>
      <w:r>
        <w:rPr>
          <w:rFonts w:ascii="Arial" w:cs="Arial" w:eastAsia="Arial" w:hAnsi="Arial"/>
          <w:sz w:val="18"/>
          <w:szCs w:val="18"/>
          <w:color w:val="auto"/>
        </w:rPr>
        <w:t>“Amount utilized for repurchases of Toro stock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-10160</wp:posOffset>
            </wp:positionV>
            <wp:extent cx="342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65" w:lineRule="exact"/>
        <w:rPr>
          <w:sz w:val="20"/>
          <w:szCs w:val="20"/>
          <w:color w:val="auto"/>
        </w:rPr>
      </w:pPr>
    </w:p>
    <w:p>
      <w:pPr>
        <w:ind w:left="-20" w:right="120" w:firstLine="233"/>
        <w:spacing w:after="0" w:line="277" w:lineRule="auto"/>
        <w:tabs>
          <w:tab w:leader="none" w:pos="3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Precedent. The effectiveness of this Agreement and the amendments to the Credit Agreement herein provided are subject to the satisfaction of the following conditions precedent:</w:t>
      </w:r>
    </w:p>
    <w:p>
      <w:pPr>
        <w:spacing w:after="0" w:line="143" w:lineRule="exact"/>
        <w:rPr>
          <w:rFonts w:ascii="Arial" w:cs="Arial" w:eastAsia="Arial" w:hAnsi="Arial"/>
          <w:sz w:val="18"/>
          <w:szCs w:val="18"/>
          <w:color w:val="auto"/>
        </w:rPr>
      </w:pPr>
    </w:p>
    <w:p>
      <w:pPr>
        <w:ind w:left="680" w:hanging="239"/>
        <w:spacing w:after="0"/>
        <w:tabs>
          <w:tab w:leader="none" w:pos="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Agent shall have received each of the following documents or instruments in form and substance reasonably acceptable to the Agent: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33" w:name="page34"/>
    <w:bookmarkEnd w:id="33"/>
    <w:p>
      <w:pPr>
        <w:ind w:left="460" w:firstLine="229"/>
        <w:spacing w:after="0" w:line="277" w:lineRule="auto"/>
        <w:tabs>
          <w:tab w:leader="none" w:pos="9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ten (10) original counterparts of this Agreement, duly executed by the Companies, the Agent, and the Required Banks, together with all schedules and exhibits thereto duly completed;</w:t>
      </w:r>
    </w:p>
    <w:p>
      <w:pPr>
        <w:spacing w:after="0" w:line="143" w:lineRule="exact"/>
        <w:rPr>
          <w:rFonts w:ascii="Arial" w:cs="Arial" w:eastAsia="Arial" w:hAnsi="Arial"/>
          <w:sz w:val="18"/>
          <w:szCs w:val="18"/>
          <w:color w:val="auto"/>
        </w:rPr>
      </w:pPr>
    </w:p>
    <w:p>
      <w:pPr>
        <w:ind w:left="460" w:right="360" w:firstLine="229"/>
        <w:spacing w:after="0" w:line="277" w:lineRule="auto"/>
        <w:tabs>
          <w:tab w:leader="none" w:pos="95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such other documents, instruments, opinions, certifications, undertakings, further assurances and other matters as the Agent shall reasonably require.</w:t>
      </w:r>
    </w:p>
    <w:p>
      <w:pPr>
        <w:spacing w:after="0" w:line="129" w:lineRule="exact"/>
        <w:rPr>
          <w:rFonts w:ascii="Arial" w:cs="Arial" w:eastAsia="Arial" w:hAnsi="Arial"/>
          <w:sz w:val="18"/>
          <w:szCs w:val="18"/>
          <w:color w:val="auto"/>
        </w:rPr>
      </w:pPr>
    </w:p>
    <w:p>
      <w:pPr>
        <w:ind w:left="240" w:right="220" w:firstLine="221"/>
        <w:spacing w:after="0" w:line="277" w:lineRule="auto"/>
        <w:tabs>
          <w:tab w:leader="none" w:pos="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fees and expenses payable to the Agent and the Banks (including the fees and expenses of counsel to the Agent) invoiced to date, including all fees associated with this Agreement, shall have been paid in full.</w:t>
      </w:r>
    </w:p>
    <w:p>
      <w:pPr>
        <w:spacing w:after="0" w:line="129" w:lineRule="exact"/>
        <w:rPr>
          <w:rFonts w:ascii="Arial" w:cs="Arial" w:eastAsia="Arial" w:hAnsi="Arial"/>
          <w:sz w:val="18"/>
          <w:szCs w:val="18"/>
          <w:color w:val="auto"/>
        </w:rPr>
      </w:pPr>
    </w:p>
    <w:p>
      <w:pPr>
        <w:ind w:right="840" w:firstLine="233"/>
        <w:spacing w:after="0" w:line="277" w:lineRule="auto"/>
        <w:tabs>
          <w:tab w:leader="none" w:pos="4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Reaffirmation by each of the Companies. Each of the Companies hereby consents, acknowledges and agrees to the amendments of the Credit Agreement set forth herein.</w:t>
      </w:r>
    </w:p>
    <w:p>
      <w:pPr>
        <w:spacing w:after="0" w:line="143" w:lineRule="exact"/>
        <w:rPr>
          <w:rFonts w:ascii="Arial" w:cs="Arial" w:eastAsia="Arial" w:hAnsi="Arial"/>
          <w:sz w:val="18"/>
          <w:szCs w:val="18"/>
          <w:color w:val="auto"/>
        </w:rPr>
      </w:pPr>
    </w:p>
    <w:p>
      <w:pPr>
        <w:ind w:firstLine="233"/>
        <w:spacing w:after="0" w:line="277" w:lineRule="auto"/>
        <w:tabs>
          <w:tab w:leader="none" w:pos="4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Representations and Warranties. In order to induce the Agent and the Banks to enter into this Agreement, each of the Companies represents and warrants to the Agent and the Banks as follows:</w:t>
      </w:r>
    </w:p>
    <w:p>
      <w:pPr>
        <w:spacing w:after="0" w:line="129" w:lineRule="exact"/>
        <w:rPr>
          <w:rFonts w:ascii="Arial" w:cs="Arial" w:eastAsia="Arial" w:hAnsi="Arial"/>
          <w:sz w:val="18"/>
          <w:szCs w:val="18"/>
          <w:color w:val="auto"/>
        </w:rPr>
      </w:pPr>
    </w:p>
    <w:p>
      <w:pPr>
        <w:jc w:val="both"/>
        <w:ind w:left="240" w:right="500" w:firstLine="221"/>
        <w:spacing w:after="0" w:line="264" w:lineRule="auto"/>
        <w:tabs>
          <w:tab w:leader="none" w:pos="7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representations and warranties in Article VI of the Credit Agreement (after giving effect to this Agreement) and in each of the other Loan Documents to which such Company is a party are true and correct in all material respects on and as of the date hereof, except to the extent that such representations and warranties expressly relate to an earlier date;</w:t>
      </w:r>
    </w:p>
    <w:p>
      <w:pPr>
        <w:spacing w:after="0" w:line="140" w:lineRule="exact"/>
        <w:rPr>
          <w:rFonts w:ascii="Arial" w:cs="Arial" w:eastAsia="Arial" w:hAnsi="Arial"/>
          <w:sz w:val="18"/>
          <w:szCs w:val="18"/>
          <w:color w:val="auto"/>
        </w:rPr>
      </w:pPr>
    </w:p>
    <w:p>
      <w:pPr>
        <w:ind w:left="240" w:right="100" w:firstLine="221"/>
        <w:spacing w:after="0" w:line="259" w:lineRule="auto"/>
        <w:tabs>
          <w:tab w:leader="none" w:pos="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There does not exist any pending or threatened action, suit, investigation or proceeding in any court or before any arbitrator or Governmental Authority that purports (A) to have a Material Adverse Effect on any of the Companies or their Subsidiaries, or (B) to affect any transaction contemplated under this Agreement or any Loan Document or the ability of any Company to perform its respective obligations under this Agreement or any Loan Document;</w:t>
      </w:r>
    </w:p>
    <w:p>
      <w:pPr>
        <w:spacing w:after="0" w:line="159" w:lineRule="exact"/>
        <w:rPr>
          <w:rFonts w:ascii="Arial" w:cs="Arial" w:eastAsia="Arial" w:hAnsi="Arial"/>
          <w:sz w:val="18"/>
          <w:szCs w:val="18"/>
          <w:color w:val="auto"/>
        </w:rPr>
      </w:pPr>
    </w:p>
    <w:p>
      <w:pPr>
        <w:ind w:left="240" w:right="20" w:firstLine="221"/>
        <w:spacing w:after="0" w:line="264" w:lineRule="auto"/>
        <w:tabs>
          <w:tab w:leader="none" w:pos="7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There has occurred since October 31, 2003, no event or circumstance that has resulted or could reasonably be expected to result in a Material Adverse Effect or a material adverse change in or a material adverse effect upon the business, assets, liabilities (actual or contingent), operations, condition (financial or otherwise), or prospects of Toro and its Subsidiaries taken as a whole; and</w:t>
      </w:r>
    </w:p>
    <w:p>
      <w:pPr>
        <w:spacing w:after="0" w:line="140" w:lineRule="exact"/>
        <w:rPr>
          <w:rFonts w:ascii="Arial" w:cs="Arial" w:eastAsia="Arial" w:hAnsi="Arial"/>
          <w:sz w:val="18"/>
          <w:szCs w:val="18"/>
          <w:color w:val="auto"/>
        </w:rPr>
      </w:pPr>
    </w:p>
    <w:p>
      <w:pPr>
        <w:ind w:left="720" w:hanging="259"/>
        <w:spacing w:after="0"/>
        <w:tabs>
          <w:tab w:leader="none" w:pos="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84" w:lineRule="exact"/>
        <w:rPr>
          <w:rFonts w:ascii="Arial" w:cs="Arial" w:eastAsia="Arial" w:hAnsi="Arial"/>
          <w:sz w:val="18"/>
          <w:szCs w:val="18"/>
          <w:color w:val="auto"/>
        </w:rPr>
      </w:pPr>
    </w:p>
    <w:p>
      <w:pPr>
        <w:ind w:right="140" w:firstLine="233"/>
        <w:spacing w:after="0" w:line="297" w:lineRule="auto"/>
        <w:tabs>
          <w:tab w:leader="none" w:pos="4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Entire Agreement. This Agreement, together with all the other Loan Documents (collectively, the “Relevant Documents”),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not one of them has relied on any such promise, condition, representation or warranty. Each of the parties hereto acknowledges that, except as otherwise expressly stated in the Relevant Documents, no representations, warranties or commitments, express or implied, have been made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260"/>
        <w:spacing w:after="0" w:line="277" w:lineRule="auto"/>
        <w:rPr>
          <w:sz w:val="20"/>
          <w:szCs w:val="20"/>
          <w:color w:val="auto"/>
        </w:rPr>
      </w:pPr>
      <w:r>
        <w:rPr>
          <w:rFonts w:ascii="Arial" w:cs="Arial" w:eastAsia="Arial" w:hAnsi="Arial"/>
          <w:sz w:val="18"/>
          <w:szCs w:val="18"/>
          <w:color w:val="auto"/>
        </w:rPr>
        <w:t>by any party to the other. None of the terms or conditions of this Agreement may be changed, modified, waived or canceled orally or otherwise, except as permitted pursuant to Section 12.1 of the Credit Agreement.</w:t>
      </w:r>
    </w:p>
    <w:p>
      <w:pPr>
        <w:spacing w:after="0" w:line="143" w:lineRule="exact"/>
        <w:rPr>
          <w:sz w:val="20"/>
          <w:szCs w:val="20"/>
          <w:color w:val="auto"/>
        </w:rPr>
      </w:pPr>
    </w:p>
    <w:p>
      <w:pPr>
        <w:ind w:right="20" w:firstLine="233"/>
        <w:spacing w:after="0" w:line="264" w:lineRule="auto"/>
        <w:tabs>
          <w:tab w:leader="none" w:pos="4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 Force and Effect of Agreement. Except as hereby specifically amended, modified or supplemented, the Credit Agreement and all other Loan Documents are hereby confirmed and ratified in all respects by each party hereto and shall be and remain in full force and effect according to their respective terms.</w:t>
      </w:r>
    </w:p>
    <w:p>
      <w:pPr>
        <w:spacing w:after="0" w:line="140" w:lineRule="exact"/>
        <w:rPr>
          <w:rFonts w:ascii="Arial" w:cs="Arial" w:eastAsia="Arial" w:hAnsi="Arial"/>
          <w:sz w:val="18"/>
          <w:szCs w:val="18"/>
          <w:color w:val="auto"/>
        </w:rPr>
      </w:pPr>
    </w:p>
    <w:p>
      <w:pPr>
        <w:ind w:right="180" w:firstLine="233"/>
        <w:spacing w:after="0" w:line="277" w:lineRule="auto"/>
        <w:tabs>
          <w:tab w:leader="none" w:pos="4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Counterparts. This Agreement may be executed in any number of counterparts, each of which shall be deemed an original as against any party whose signature appears thereon, and all of which shall together constitute one and the same instrument.</w:t>
      </w:r>
    </w:p>
    <w:p>
      <w:pPr>
        <w:spacing w:after="0" w:line="129" w:lineRule="exact"/>
        <w:rPr>
          <w:rFonts w:ascii="Arial" w:cs="Arial" w:eastAsia="Arial" w:hAnsi="Arial"/>
          <w:sz w:val="18"/>
          <w:szCs w:val="18"/>
          <w:color w:val="auto"/>
        </w:rPr>
      </w:pPr>
    </w:p>
    <w:p>
      <w:pPr>
        <w:ind w:left="420" w:hanging="187"/>
        <w:spacing w:after="0"/>
        <w:tabs>
          <w:tab w:leader="none" w:pos="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Governing Law. This Agreement shall in all respects be governed by, and construed in accordance with, the laws of the state of New York.</w:t>
      </w:r>
    </w:p>
    <w:p>
      <w:pPr>
        <w:spacing w:after="0" w:line="209" w:lineRule="exact"/>
        <w:rPr>
          <w:rFonts w:ascii="Arial" w:cs="Arial" w:eastAsia="Arial" w:hAnsi="Arial"/>
          <w:sz w:val="17"/>
          <w:szCs w:val="17"/>
          <w:color w:val="auto"/>
        </w:rPr>
      </w:pPr>
    </w:p>
    <w:p>
      <w:pPr>
        <w:ind w:firstLine="233"/>
        <w:spacing w:after="0" w:line="277" w:lineRule="auto"/>
        <w:tabs>
          <w:tab w:leader="none" w:pos="4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Enforceability. Should any one or more of the provisions of this Agreement be determined to be illegal or unenforceable as to one or more of the parties hereto, all other provisions nevertheless shall remain effective and binding on the parties hereto.</w:t>
      </w:r>
    </w:p>
    <w:p>
      <w:pPr>
        <w:spacing w:after="0" w:line="129" w:lineRule="exact"/>
        <w:rPr>
          <w:rFonts w:ascii="Arial" w:cs="Arial" w:eastAsia="Arial" w:hAnsi="Arial"/>
          <w:sz w:val="18"/>
          <w:szCs w:val="18"/>
          <w:color w:val="auto"/>
        </w:rPr>
      </w:pPr>
    </w:p>
    <w:p>
      <w:pPr>
        <w:ind w:left="500" w:hanging="267"/>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References. All references in any of the Loan Documents to the “Credit Agreement” shall mean the Credit Agreement, as amended hereby.</w:t>
      </w:r>
    </w:p>
    <w:p>
      <w:pPr>
        <w:spacing w:after="0" w:line="196" w:lineRule="exact"/>
        <w:rPr>
          <w:rFonts w:ascii="Arial" w:cs="Arial" w:eastAsia="Arial" w:hAnsi="Arial"/>
          <w:sz w:val="17"/>
          <w:szCs w:val="17"/>
          <w:color w:val="auto"/>
        </w:rPr>
      </w:pPr>
    </w:p>
    <w:p>
      <w:pPr>
        <w:jc w:val="both"/>
        <w:ind w:right="100" w:firstLine="233"/>
        <w:spacing w:after="0" w:line="264" w:lineRule="auto"/>
        <w:tabs>
          <w:tab w:leader="none" w:pos="4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Successors and Assigns. This Agreement shall be binding upon and inure to the benefit of the Companies, the Agent and each of the Banks, and their respective successors, assigns and legal representatives; provided, however, that no Company, without the prior consent of the Required Banks, may assign any rights, powers, duties or obligations hereunder.</w:t>
      </w:r>
    </w:p>
    <w:p>
      <w:pPr>
        <w:spacing w:after="0" w:line="154" w:lineRule="exact"/>
        <w:rPr>
          <w:rFonts w:ascii="Arial" w:cs="Arial" w:eastAsia="Arial" w:hAnsi="Arial"/>
          <w:sz w:val="18"/>
          <w:szCs w:val="18"/>
          <w:color w:val="auto"/>
        </w:rPr>
      </w:pPr>
    </w:p>
    <w:p>
      <w:pPr>
        <w:ind w:right="140" w:firstLine="233"/>
        <w:spacing w:after="0" w:line="277" w:lineRule="auto"/>
        <w:tabs>
          <w:tab w:leader="none" w:pos="4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The Companies agree to pay to the Agent all reasonable out-of-pocket expenses incurred or arising in connection with the negotiation and preparation of this Agreement.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 Pages Follow.]</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35" w:name="page36"/>
    <w:bookmarkEnd w:id="35"/>
    <w:p>
      <w:pPr>
        <w:ind w:right="40" w:firstLine="22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No. 3 to Multi-Year Credit Agreement to be made, executed and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their duly authorized officers as of the day and year first above written.</w:t>
      </w:r>
    </w:p>
    <w:p>
      <w:pPr>
        <w:spacing w:after="0" w:line="35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/s/ THOMAS J. LARSON</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spacing w:after="0"/>
              <w:rPr>
                <w:sz w:val="20"/>
                <w:szCs w:val="20"/>
                <w:color w:val="auto"/>
              </w:rPr>
            </w:pPr>
            <w:r>
              <w:rPr>
                <w:rFonts w:ascii="Arial" w:cs="Arial" w:eastAsia="Arial" w:hAnsi="Arial"/>
                <w:sz w:val="18"/>
                <w:szCs w:val="18"/>
                <w:color w:val="auto"/>
              </w:rPr>
              <w:t>Thomas J. Larson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Assistant Treasurer</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TORO CREDIT COMPANY</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/s/ THOMAS J. LARSON</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spacing w:after="0"/>
              <w:rPr>
                <w:sz w:val="20"/>
                <w:szCs w:val="20"/>
                <w:color w:val="auto"/>
              </w:rPr>
            </w:pPr>
            <w:r>
              <w:rPr>
                <w:rFonts w:ascii="Arial" w:cs="Arial" w:eastAsia="Arial" w:hAnsi="Arial"/>
                <w:sz w:val="18"/>
                <w:szCs w:val="18"/>
                <w:color w:val="auto"/>
              </w:rPr>
              <w:t>Thomas J. Larson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Secretary-Treasurer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TORO INTERNATIONAL COMPANY</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/s/ STEPHEN P. WOLFE</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spacing w:after="0"/>
              <w:rPr>
                <w:sz w:val="20"/>
                <w:szCs w:val="20"/>
                <w:color w:val="auto"/>
              </w:rPr>
            </w:pPr>
            <w:r>
              <w:rPr>
                <w:rFonts w:ascii="Arial" w:cs="Arial" w:eastAsia="Arial" w:hAnsi="Arial"/>
                <w:sz w:val="18"/>
                <w:szCs w:val="18"/>
                <w:color w:val="auto"/>
              </w:rPr>
              <w:t>Stephen P. Wolfe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V.P. and Treasurer</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TOVER OVERSEAS, B.V.</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/s/ ROBERT BUITENDIJK</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spacing w:after="0"/>
              <w:rPr>
                <w:sz w:val="20"/>
                <w:szCs w:val="20"/>
                <w:color w:val="auto"/>
              </w:rPr>
            </w:pPr>
            <w:r>
              <w:rPr>
                <w:rFonts w:ascii="Arial" w:cs="Arial" w:eastAsia="Arial" w:hAnsi="Arial"/>
                <w:sz w:val="18"/>
                <w:szCs w:val="18"/>
                <w:color w:val="auto"/>
              </w:rPr>
              <w:t>Temmes Management Services BV</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TORO FACTORING COMPANY LIMITED (formerly TORO</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FACTORING COMPANY, N.V.)</w:t>
      </w:r>
    </w:p>
    <w:p>
      <w:pPr>
        <w:spacing w:after="0" w:line="211" w:lineRule="exact"/>
        <w:rPr>
          <w:sz w:val="20"/>
          <w:szCs w:val="20"/>
          <w:color w:val="auto"/>
        </w:rPr>
      </w:pPr>
    </w:p>
    <w:p>
      <w:pPr>
        <w:ind w:left="676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14605</wp:posOffset>
            </wp:positionV>
            <wp:extent cx="25126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0" w:lineRule="exact"/>
        <w:rPr>
          <w:sz w:val="20"/>
          <w:szCs w:val="20"/>
          <w:color w:val="auto"/>
        </w:rPr>
      </w:pPr>
    </w:p>
    <w:p>
      <w:pPr>
        <w:ind w:left="6760"/>
        <w:spacing w:after="0"/>
        <w:tabs>
          <w:tab w:leader="none" w:pos="7440" w:val="left"/>
        </w:tabs>
        <w:rPr>
          <w:sz w:val="20"/>
          <w:szCs w:val="20"/>
          <w:color w:val="auto"/>
        </w:rPr>
      </w:pPr>
      <w:r>
        <w:rPr>
          <w:rFonts w:ascii="Arial" w:cs="Arial" w:eastAsia="Arial" w:hAnsi="Arial"/>
          <w:sz w:val="18"/>
          <w:szCs w:val="18"/>
          <w:color w:val="auto"/>
        </w:rPr>
        <w:t>Name:</w:t>
        <w:tab/>
        <w:t>J. Lawrence McIntyre</w:t>
      </w:r>
    </w:p>
    <w:p>
      <w:pPr>
        <w:spacing w:after="0" w:line="23" w:lineRule="exact"/>
        <w:rPr>
          <w:sz w:val="20"/>
          <w:szCs w:val="20"/>
          <w:color w:val="auto"/>
        </w:rPr>
      </w:pPr>
    </w:p>
    <w:p>
      <w:pPr>
        <w:ind w:left="6760"/>
        <w:spacing w:after="0"/>
        <w:tabs>
          <w:tab w:leader="none" w:pos="7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6" w:name="page37"/>
    <w:bookmarkEnd w:id="36"/>
    <w:p>
      <w:pPr>
        <w:ind w:left="4160"/>
        <w:spacing w:after="0"/>
        <w:rPr>
          <w:sz w:val="20"/>
          <w:szCs w:val="20"/>
          <w:color w:val="auto"/>
        </w:rPr>
      </w:pPr>
      <w:r>
        <w:rPr>
          <w:rFonts w:ascii="Arial" w:cs="Arial" w:eastAsia="Arial" w:hAnsi="Arial"/>
          <w:sz w:val="18"/>
          <w:szCs w:val="18"/>
          <w:color w:val="auto"/>
        </w:rPr>
        <w:t>TORO MANUFACTURING LLC</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STEPHEN P. WOLFE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EXMARK MANUFACTURING COMPANY</w:t>
      </w:r>
    </w:p>
    <w:p>
      <w:pPr>
        <w:spacing w:after="0" w:line="3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J. LAWRENCE MCINTYRE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 And Secretary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37" w:name="page38"/>
    <w:bookmarkEnd w:id="37"/>
    <w:p>
      <w:pPr>
        <w:ind w:left="4300"/>
        <w:spacing w:after="0"/>
        <w:rPr>
          <w:sz w:val="20"/>
          <w:szCs w:val="20"/>
          <w:color w:val="auto"/>
        </w:rPr>
      </w:pPr>
      <w:r>
        <w:rPr>
          <w:rFonts w:ascii="Arial" w:cs="Arial" w:eastAsia="Arial" w:hAnsi="Arial"/>
          <w:sz w:val="17"/>
          <w:szCs w:val="17"/>
          <w:color w:val="auto"/>
        </w:rPr>
        <w:t>BANK OF AMERICA, N.A., as Administrative Agent</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RENITA CUMMINGS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Renita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Assistant Vice President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38" w:name="page39"/>
    <w:bookmarkEnd w:id="38"/>
    <w:p>
      <w:pPr>
        <w:ind w:left="43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as Issuing Bank, Swing Line Bank and a Bank</w:t>
      </w:r>
    </w:p>
    <w:p>
      <w:pPr>
        <w:spacing w:after="0" w:line="23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JEFFREY A. ARMITAGE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Jeffrey A. Armitage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Principal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39" w:name="page40"/>
    <w:bookmarkEnd w:id="39"/>
    <w:p>
      <w:pPr>
        <w:ind w:left="430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Bank</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SCOTT D. BJELDE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Scott D. Bjelde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68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JENNIFER D. BARRET</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Jennifer 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Vice President and Loan Team Manager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8" w:right="1440" w:bottom="1440" w:gutter="0" w:footer="0" w:header="0"/>
        </w:sectPr>
      </w:pPr>
    </w:p>
    <w:bookmarkStart w:id="40" w:name="page41"/>
    <w:bookmarkEnd w:id="40"/>
    <w:p>
      <w:pPr>
        <w:ind w:left="4300"/>
        <w:spacing w:after="0"/>
        <w:rPr>
          <w:sz w:val="20"/>
          <w:szCs w:val="20"/>
          <w:color w:val="auto"/>
        </w:rPr>
      </w:pPr>
      <w:r>
        <w:rPr>
          <w:rFonts w:ascii="Arial" w:cs="Arial" w:eastAsia="Arial" w:hAnsi="Arial"/>
          <w:sz w:val="17"/>
          <w:szCs w:val="17"/>
          <w:color w:val="auto"/>
        </w:rPr>
        <w:t>THE BANK OF NEW YORK, as a Bank</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JOHN PAUL MAROTTA</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John Paul Marotta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684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Vice President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41" w:name="page42"/>
    <w:bookmarkEnd w:id="41"/>
    <w:p>
      <w:pPr>
        <w:ind w:left="4300"/>
        <w:spacing w:after="0"/>
        <w:rPr>
          <w:sz w:val="20"/>
          <w:szCs w:val="20"/>
          <w:color w:val="auto"/>
        </w:rPr>
      </w:pPr>
      <w:r>
        <w:rPr>
          <w:rFonts w:ascii="Arial" w:cs="Arial" w:eastAsia="Arial" w:hAnsi="Arial"/>
          <w:sz w:val="17"/>
          <w:szCs w:val="17"/>
          <w:color w:val="auto"/>
        </w:rPr>
        <w:t>HARRIS TRUST AND SAVINGS BANK, as a Bank</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ANDREW T. CLAAR</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Andrew T. Claar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68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Vice President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42" w:name="page43"/>
    <w:bookmarkEnd w:id="42"/>
    <w:p>
      <w:pPr>
        <w:ind w:left="4300"/>
        <w:spacing w:after="0"/>
        <w:rPr>
          <w:sz w:val="20"/>
          <w:szCs w:val="20"/>
          <w:color w:val="auto"/>
        </w:rPr>
      </w:pPr>
      <w:r>
        <w:rPr>
          <w:rFonts w:ascii="Arial" w:cs="Arial" w:eastAsia="Arial" w:hAnsi="Arial"/>
          <w:sz w:val="17"/>
          <w:szCs w:val="17"/>
          <w:color w:val="auto"/>
        </w:rPr>
        <w:t>U.S. BANK NATIONAL ASSOCIATION, as a Bank</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SAM S. PEPPER, JR.</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Sam S. Pepper,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Vice President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43" w:name="page44"/>
    <w:bookmarkEnd w:id="43"/>
    <w:p>
      <w:pPr>
        <w:jc w:val="right"/>
        <w:ind w:right="2459"/>
        <w:spacing w:after="0"/>
        <w:rPr>
          <w:sz w:val="20"/>
          <w:szCs w:val="20"/>
          <w:color w:val="auto"/>
        </w:rPr>
      </w:pPr>
      <w:r>
        <w:rPr>
          <w:rFonts w:ascii="Arial" w:cs="Arial" w:eastAsia="Arial" w:hAnsi="Arial"/>
          <w:sz w:val="18"/>
          <w:szCs w:val="18"/>
          <w:color w:val="auto"/>
        </w:rPr>
        <w:t>SUNTRUST BANK, as a Bank</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BY: /s/ MOLLY J. DRENNAN</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Molly J. Drennan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Director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9 of 9</w:t>
      </w:r>
    </w:p>
    <w:p>
      <w:pPr>
        <w:sectPr>
          <w:pgSz w:w="11900" w:h="16838" w:orient="portrait"/>
          <w:cols w:equalWidth="0" w:num="1">
            <w:col w:w="9019"/>
          </w:cols>
          <w:pgMar w:left="1440" w:top="1152"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Kendrick B. Melrose, certify that:</w:t>
      </w:r>
    </w:p>
    <w:p>
      <w:pPr>
        <w:spacing w:after="0" w:line="18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firstLine="8"/>
        <w:spacing w:after="0" w:line="277"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436"/>
        <w:spacing w:after="0" w:line="342"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9, 2004</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Kendrick B. Melrose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26073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18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29" w:lineRule="exact"/>
        <w:rPr>
          <w:rFonts w:ascii="Arial" w:cs="Arial" w:eastAsia="Arial" w:hAnsi="Arial"/>
          <w:sz w:val="18"/>
          <w:szCs w:val="18"/>
          <w:color w:val="auto"/>
        </w:rPr>
      </w:pPr>
    </w:p>
    <w:p>
      <w:pPr>
        <w:ind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436"/>
        <w:spacing w:after="0" w:line="342"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9, 2004</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22466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April 30, 2004 as filed with the Securities and Exchange Commission on the date hereof (the “Report”), we, Kendrick B. Melrose, Chairman and Chief Executive Officer of the Company, and Stephen P. Wolfe, Vice President-Finance, Treasurer and Chief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800" w:hanging="454"/>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1780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Kendrick B. Melrose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1780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2004</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3"/>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2"/>
    </w:lvl>
    <w:lvl w:ilvl="1">
      <w:lvlJc w:val="left"/>
      <w:lvlText w:val="%2."/>
      <w:numFmt w:val="decimal"/>
      <w:start w:val="1"/>
    </w:lvl>
  </w:abstractNum>
  <w:abstractNum w:abstractNumId="6">
    <w:nsid w:val="519B500D"/>
    <w:multiLevelType w:val="hybridMultilevel"/>
    <w:lvl w:ilvl="0">
      <w:lvlJc w:val="left"/>
      <w:lvlText w:val="%1"/>
      <w:numFmt w:val="decimal"/>
      <w:start w:val="32"/>
    </w:lvl>
  </w:abstractNum>
  <w:abstractNum w:abstractNumId="7">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8">
    <w:nsid w:val="3F2DBA31"/>
    <w:multiLevelType w:val="hybridMultilevel"/>
    <w:lvl w:ilvl="0">
      <w:lvlJc w:val="left"/>
      <w:lvlText w:val="(%1)"/>
      <w:numFmt w:val="lowerLetter"/>
      <w:start w:val="3"/>
    </w:lvl>
    <w:lvl w:ilvl="1">
      <w:lvlJc w:val="left"/>
      <w:lvlText w:val="(%2)"/>
      <w:numFmt w:val="decimal"/>
      <w:start w:val="1"/>
    </w:lvl>
  </w:abstractNum>
  <w:abstractNum w:abstractNumId="9">
    <w:nsid w:val="7C83E458"/>
    <w:multiLevelType w:val="hybridMultilevel"/>
    <w:lvl w:ilvl="0">
      <w:lvlJc w:val="left"/>
      <w:lvlText w:val="%1"/>
      <w:numFmt w:val="lowerLetter"/>
      <w:start w:val="1"/>
    </w:lvl>
    <w:lvl w:ilvl="1">
      <w:lvlJc w:val="left"/>
      <w:lvlText w:val="%2."/>
      <w:numFmt w:val="decimal"/>
      <w:start w:val="4"/>
    </w:lvl>
  </w:abstractNum>
  <w:abstractNum w:abstractNumId="10">
    <w:nsid w:val="257130A3"/>
    <w:multiLevelType w:val="hybridMultilevel"/>
    <w:lvl w:ilvl="0">
      <w:lvlJc w:val="left"/>
      <w:lvlText w:val="(%1)"/>
      <w:numFmt w:val="lowerLetter"/>
      <w:start w:val="3"/>
    </w:lvl>
    <w:lvl w:ilvl="1">
      <w:lvlJc w:val="left"/>
      <w:lvlText w:val="%2."/>
      <w:numFmt w:val="decimal"/>
      <w:start w:val="6"/>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decimal"/>
      <w:start w:val="1"/>
    </w:lvl>
    <w:lvl w:ilvl="1">
      <w:lvlJc w:val="left"/>
      <w:lvlText w:val="%2."/>
      <w:numFmt w:val="lowerLetter"/>
      <w:start w:val="4"/>
    </w:lvl>
  </w:abstractNum>
  <w:abstractNum w:abstractNumId="13">
    <w:nsid w:val="628C895D"/>
    <w:multiLevelType w:val="hybridMultilevel"/>
    <w:lvl w:ilvl="0">
      <w:lvlJc w:val="left"/>
      <w:lvlText w:val="%1."/>
      <w:numFmt w:val="decimal"/>
      <w:start w:val="7"/>
    </w:lvl>
    <w:lvl w:ilvl="1">
      <w:lvlJc w:val="left"/>
      <w:lvlText w:val="%2"/>
      <w:numFmt w:val="lowerLetter"/>
      <w:start w:val="1"/>
    </w:lvl>
  </w:abstractNum>
  <w:abstractNum w:abstractNumId="14">
    <w:nsid w:val="333AB105"/>
    <w:multiLevelType w:val="hybridMultilevel"/>
    <w:lvl w:ilvl="0">
      <w:lvlJc w:val="left"/>
      <w:lvlText w:val="%1."/>
      <w:numFmt w:val="decimal"/>
      <w:start w:val="1"/>
    </w:lvl>
    <w:lvl w:ilvl="1">
      <w:lvlJc w:val="left"/>
      <w:lvlText w:val="(%2)"/>
      <w:numFmt w:val="lowerLetter"/>
      <w:start w:val="1"/>
    </w:lvl>
  </w:abstractNum>
  <w:abstractNum w:abstractNumId="15">
    <w:nsid w:val="721DA317"/>
    <w:multiLevelType w:val="hybridMultilevel"/>
    <w:lvl w:ilvl="0">
      <w:lvlJc w:val="left"/>
      <w:lvlText w:val="\ldblquote"/>
      <w:numFmt w:val="bullet"/>
      <w:start w:val="1"/>
    </w:lvl>
  </w:abstractNum>
  <w:abstractNum w:abstractNumId="16">
    <w:nsid w:val="2443A858"/>
    <w:multiLevelType w:val="hybridMultilevel"/>
    <w:lvl w:ilvl="0">
      <w:lvlJc w:val="left"/>
      <w:lvlText w:val="(%1)"/>
      <w:numFmt w:val="lowerLetter"/>
      <w:start w:val="3"/>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lowerLetter"/>
      <w:start w:val="7"/>
    </w:lvl>
  </w:abstractNum>
  <w:abstractNum w:abstractNumId="19">
    <w:nsid w:val="75A2A8D4"/>
    <w:multiLevelType w:val="hybridMultilevel"/>
    <w:lvl w:ilvl="0">
      <w:lvlJc w:val="left"/>
      <w:lvlText w:val="(%1)"/>
      <w:numFmt w:val="lowerLetter"/>
      <w:start w:val="3"/>
    </w:lvl>
  </w:abstractNum>
  <w:abstractNum w:abstractNumId="20">
    <w:nsid w:val="8EDBDAB"/>
    <w:multiLevelType w:val="hybridMultilevel"/>
    <w:lvl w:ilvl="0">
      <w:lvlJc w:val="left"/>
      <w:lvlText w:val="%1."/>
      <w:numFmt w:val="decimal"/>
      <w:start w:val="2"/>
    </w:lvl>
    <w:lvl w:ilvl="1">
      <w:lvlJc w:val="left"/>
      <w:lvlText w:val="(%2)"/>
      <w:numFmt w:val="low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4353D0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
    <w:nsid w:val="B03E0C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189A769B"/>
    <w:multiLevelType w:val="hybridMultilevel"/>
    <w:lvl w:ilvl="0">
      <w:lvlJc w:val="left"/>
      <w:lvlText w:val="%1."/>
      <w:numFmt w:val="decimal"/>
      <w:start w:val="6"/>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2019-12-13T13:57:00Z</dcterms:created>
  <dcterms:modified xsi:type="dcterms:W3CDTF">2019-12-13T13:57:00Z</dcterms:modified>
</cp:coreProperties>
</file>