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942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BURKART PHILIP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12/07/2010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VP, Irrigation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50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12/07/2010</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rPr>
              <w:t>680</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jc w:val="center"/>
              <w:ind w:right="17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41,853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12/07/2010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132"/>
              <w:spacing w:after="0"/>
              <w:rPr>
                <w:sz w:val="20"/>
                <w:szCs w:val="20"/>
                <w:color w:val="auto"/>
              </w:rPr>
            </w:pPr>
            <w:r>
              <w:rPr>
                <w:rFonts w:ascii="Arial" w:cs="Arial" w:eastAsia="Arial" w:hAnsi="Arial"/>
                <w:sz w:val="18"/>
                <w:szCs w:val="18"/>
                <w:color w:val="0000FF"/>
              </w:rPr>
              <w:t>220</w:t>
            </w:r>
          </w:p>
        </w:tc>
        <w:tc>
          <w:tcPr>
            <w:tcW w:w="640" w:type="dxa"/>
            <w:vAlign w:val="bottom"/>
          </w:tcPr>
          <w:p>
            <w:pPr>
              <w:jc w:val="center"/>
              <w:spacing w:after="0"/>
              <w:rPr>
                <w:sz w:val="20"/>
                <w:szCs w:val="20"/>
                <w:color w:val="auto"/>
              </w:rPr>
            </w:pPr>
            <w:r>
              <w:rPr>
                <w:rFonts w:ascii="Arial" w:cs="Arial" w:eastAsia="Arial" w:hAnsi="Arial"/>
                <w:sz w:val="18"/>
                <w:szCs w:val="18"/>
                <w:color w:val="0000FF"/>
              </w:rPr>
              <w:t>D</w:t>
            </w:r>
          </w:p>
        </w:tc>
        <w:tc>
          <w:tcPr>
            <w:tcW w:w="620" w:type="dxa"/>
            <w:vAlign w:val="bottom"/>
          </w:tcPr>
          <w:p>
            <w:pPr>
              <w:jc w:val="center"/>
              <w:ind w:right="1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64.38</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41,633</w:t>
            </w: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22,260.367</w:t>
            </w:r>
            <w:r>
              <w:rPr>
                <w:rFonts w:ascii="Arial" w:cs="Arial" w:eastAsia="Arial" w:hAnsi="Arial"/>
                <w:sz w:val="22"/>
                <w:szCs w:val="22"/>
                <w:color w:val="008000"/>
                <w:w w:val="85"/>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80" w:type="dxa"/>
            <w:vAlign w:val="bottom"/>
            <w:tcBorders>
              <w:bottom w:val="single" w:sz="8" w:color="2C2C2C"/>
            </w:tcBorders>
            <w:gridSpan w:val="11"/>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63.52</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12/08/2010</w:t>
            </w:r>
          </w:p>
        </w:tc>
        <w:tc>
          <w:tcPr>
            <w:tcW w:w="1140" w:type="dxa"/>
            <w:vAlign w:val="bottom"/>
          </w:tcPr>
          <w:p>
            <w:pPr>
              <w:spacing w:after="0"/>
              <w:rPr>
                <w:sz w:val="16"/>
                <w:szCs w:val="16"/>
                <w:color w:val="auto"/>
              </w:rPr>
            </w:pPr>
          </w:p>
        </w:tc>
        <w:tc>
          <w:tcPr>
            <w:tcW w:w="46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440" w:type="dxa"/>
            <w:vAlign w:val="bottom"/>
          </w:tcPr>
          <w:p>
            <w:pPr>
              <w:spacing w:after="0"/>
              <w:rPr>
                <w:sz w:val="16"/>
                <w:szCs w:val="16"/>
                <w:color w:val="auto"/>
              </w:rPr>
            </w:pPr>
          </w:p>
        </w:tc>
        <w:tc>
          <w:tcPr>
            <w:tcW w:w="420" w:type="dxa"/>
            <w:vAlign w:val="bottom"/>
            <w:vMerge w:val="restart"/>
          </w:tcPr>
          <w:p>
            <w:pPr>
              <w:ind w:left="20"/>
              <w:spacing w:after="0"/>
              <w:rPr>
                <w:sz w:val="20"/>
                <w:szCs w:val="20"/>
                <w:color w:val="auto"/>
              </w:rPr>
            </w:pPr>
            <w:r>
              <w:rPr>
                <w:rFonts w:ascii="Arial" w:cs="Arial" w:eastAsia="Arial" w:hAnsi="Arial"/>
                <w:sz w:val="14"/>
                <w:szCs w:val="14"/>
                <w:color w:val="0000FF"/>
              </w:rPr>
              <w:t>4,500</w:t>
            </w:r>
          </w:p>
        </w:tc>
        <w:tc>
          <w:tcPr>
            <w:tcW w:w="300" w:type="dxa"/>
            <w:vAlign w:val="bottom"/>
          </w:tcPr>
          <w:p>
            <w:pPr>
              <w:spacing w:after="0"/>
              <w:rPr>
                <w:sz w:val="16"/>
                <w:szCs w:val="16"/>
                <w:color w:val="auto"/>
              </w:rPr>
            </w:pPr>
          </w:p>
        </w:tc>
        <w:tc>
          <w:tcPr>
            <w:tcW w:w="82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60"/>
              <w:spacing w:after="0"/>
              <w:rPr>
                <w:sz w:val="20"/>
                <w:szCs w:val="20"/>
                <w:color w:val="auto"/>
              </w:rPr>
            </w:pPr>
            <w:r>
              <w:rPr>
                <w:rFonts w:ascii="Arial" w:cs="Arial" w:eastAsia="Arial" w:hAnsi="Arial"/>
                <w:sz w:val="14"/>
                <w:szCs w:val="14"/>
                <w:color w:val="0000FF"/>
                <w:w w:val="94"/>
              </w:rPr>
              <w:t>12/08/2020</w:t>
            </w:r>
          </w:p>
        </w:tc>
        <w:tc>
          <w:tcPr>
            <w:tcW w:w="640" w:type="dxa"/>
            <w:vAlign w:val="bottom"/>
          </w:tcPr>
          <w:p>
            <w:pPr>
              <w:ind w:left="80"/>
              <w:spacing w:after="0"/>
              <w:rPr>
                <w:sz w:val="20"/>
                <w:szCs w:val="20"/>
                <w:color w:val="auto"/>
              </w:rPr>
            </w:pPr>
            <w:r>
              <w:rPr>
                <w:rFonts w:ascii="Arial" w:cs="Arial" w:eastAsia="Arial" w:hAnsi="Arial"/>
                <w:sz w:val="14"/>
                <w:szCs w:val="14"/>
                <w:color w:val="0000FF"/>
                <w:w w:val="95"/>
              </w:rPr>
              <w:t>Common</w:t>
            </w:r>
          </w:p>
        </w:tc>
        <w:tc>
          <w:tcPr>
            <w:tcW w:w="620" w:type="dxa"/>
            <w:vAlign w:val="bottom"/>
            <w:vMerge w:val="restart"/>
          </w:tcPr>
          <w:p>
            <w:pPr>
              <w:ind w:left="120"/>
              <w:spacing w:after="0"/>
              <w:rPr>
                <w:sz w:val="20"/>
                <w:szCs w:val="20"/>
                <w:color w:val="auto"/>
              </w:rPr>
            </w:pPr>
            <w:r>
              <w:rPr>
                <w:rFonts w:ascii="Arial" w:cs="Arial" w:eastAsia="Arial" w:hAnsi="Arial"/>
                <w:sz w:val="18"/>
                <w:szCs w:val="18"/>
                <w:color w:val="0000FF"/>
              </w:rPr>
              <w:t>4,500</w:t>
            </w:r>
          </w:p>
        </w:tc>
        <w:tc>
          <w:tcPr>
            <w:tcW w:w="7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gridSpan w:val="2"/>
            <w:vMerge w:val="restart"/>
          </w:tcPr>
          <w:p>
            <w:pPr>
              <w:ind w:left="300"/>
              <w:spacing w:after="0"/>
              <w:rPr>
                <w:sz w:val="20"/>
                <w:szCs w:val="20"/>
                <w:color w:val="auto"/>
              </w:rPr>
            </w:pPr>
            <w:r>
              <w:rPr>
                <w:rFonts w:ascii="Arial" w:cs="Arial" w:eastAsia="Arial" w:hAnsi="Arial"/>
                <w:sz w:val="14"/>
                <w:szCs w:val="14"/>
                <w:color w:val="0000FF"/>
              </w:rPr>
              <w:t>4,500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0000FF"/>
                <w:w w:val="91"/>
              </w:rPr>
              <w:t>Stock</w:t>
            </w:r>
          </w:p>
        </w:tc>
        <w:tc>
          <w:tcPr>
            <w:tcW w:w="6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5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payout of Performance Share Awards for the Fiscal 2008 to Fiscal 2010 Performance Period under The Toro Company Performance Share Plan (the "PSP"), as approved by the registrant's Compensation &amp; Human Resources Committee of its Board of Directors and conditioned upon and subject to confirmation by the registrant's Fiscal 2010 financial results released on December 7, 2010. Performance Share Awards are paid in Shares of Common Stock under the PSP.</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69.123 shares of common stock acquired by the reporting person under the dividend reinvestment feature of The Toro Company Investment, Savings &amp; ESOP since the date of his last report.</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12/09/2010</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2019-12-17T00:33:01Z</dcterms:created>
  <dcterms:modified xsi:type="dcterms:W3CDTF">2019-12-17T00:33:01Z</dcterms:modified>
</cp:coreProperties>
</file>