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63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63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HAMILTON BRADLEY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Group VP, Comm, Intl &amp; Irrig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08/30/2019</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48"/>
              <w:spacing w:after="0"/>
              <w:rPr>
                <w:sz w:val="20"/>
                <w:szCs w:val="20"/>
                <w:color w:val="auto"/>
              </w:rPr>
            </w:pPr>
            <w:r>
              <w:rPr>
                <w:rFonts w:ascii="Arial" w:cs="Arial" w:eastAsia="Arial" w:hAnsi="Arial"/>
                <w:sz w:val="18"/>
                <w:szCs w:val="18"/>
                <w:color w:val="0000FF"/>
              </w:rPr>
              <w:t>3,340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15.88</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5,190.72</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8"/>
                <w:szCs w:val="18"/>
                <w:color w:val="0000FF"/>
                <w:w w:val="88"/>
              </w:rPr>
              <w:t>08/30/2019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right"/>
              <w:ind w:right="148"/>
              <w:spacing w:after="0"/>
              <w:rPr>
                <w:sz w:val="20"/>
                <w:szCs w:val="20"/>
                <w:color w:val="auto"/>
              </w:rPr>
            </w:pPr>
            <w:r>
              <w:rPr>
                <w:rFonts w:ascii="Arial" w:cs="Arial" w:eastAsia="Arial" w:hAnsi="Arial"/>
                <w:sz w:val="18"/>
                <w:szCs w:val="18"/>
                <w:color w:val="0000FF"/>
              </w:rPr>
              <w:t>3,340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71.965</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1,850.72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08/30/2019</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48"/>
              <w:spacing w:after="0"/>
              <w:rPr>
                <w:sz w:val="20"/>
                <w:szCs w:val="20"/>
                <w:color w:val="auto"/>
              </w:rPr>
            </w:pPr>
            <w:r>
              <w:rPr>
                <w:rFonts w:ascii="Arial" w:cs="Arial" w:eastAsia="Arial" w:hAnsi="Arial"/>
                <w:sz w:val="18"/>
                <w:szCs w:val="18"/>
                <w:color w:val="0000FF"/>
              </w:rPr>
              <w:t>3,340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15.88</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5,190.72</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8"/>
                <w:szCs w:val="18"/>
                <w:color w:val="0000FF"/>
                <w:w w:val="88"/>
              </w:rPr>
              <w:t>08/30/2019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right"/>
              <w:ind w:right="148"/>
              <w:spacing w:after="0"/>
              <w:rPr>
                <w:sz w:val="20"/>
                <w:szCs w:val="20"/>
                <w:color w:val="auto"/>
              </w:rPr>
            </w:pPr>
            <w:r>
              <w:rPr>
                <w:rFonts w:ascii="Arial" w:cs="Arial" w:eastAsia="Arial" w:hAnsi="Arial"/>
                <w:sz w:val="18"/>
                <w:szCs w:val="18"/>
                <w:color w:val="0000FF"/>
              </w:rPr>
              <w:t>3,340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72.038</w:t>
            </w:r>
            <w:r>
              <w:rPr>
                <w:rFonts w:ascii="Arial" w:cs="Arial" w:eastAsia="Arial" w:hAnsi="Arial"/>
                <w:sz w:val="22"/>
                <w:szCs w:val="22"/>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1,850.72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991.627</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3,576.978</w:t>
            </w:r>
            <w:r>
              <w:rPr>
                <w:rFonts w:ascii="Arial" w:cs="Arial" w:eastAsia="Arial" w:hAnsi="Arial"/>
                <w:sz w:val="22"/>
                <w:szCs w:val="22"/>
                <w:color w:val="008000"/>
                <w:w w:val="83"/>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08/30/2019</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3,340</w:t>
            </w:r>
          </w:p>
        </w:tc>
        <w:tc>
          <w:tcPr>
            <w:tcW w:w="860" w:type="dxa"/>
            <w:vAlign w:val="bottom"/>
          </w:tcPr>
          <w:p>
            <w:pPr>
              <w:ind w:left="420"/>
              <w:spacing w:after="0"/>
              <w:rPr>
                <w:sz w:val="20"/>
                <w:szCs w:val="20"/>
                <w:color w:val="auto"/>
              </w:rPr>
            </w:pPr>
            <w:r>
              <w:rPr>
                <w:rFonts w:ascii="Arial" w:cs="Arial" w:eastAsia="Arial" w:hAnsi="Arial"/>
                <w:sz w:val="11"/>
                <w:szCs w:val="11"/>
                <w:color w:val="008000"/>
              </w:rPr>
              <w:t>(5)</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12/08/2020</w:t>
            </w:r>
          </w:p>
        </w:tc>
        <w:tc>
          <w:tcPr>
            <w:tcW w:w="720" w:type="dxa"/>
            <w:vAlign w:val="bottom"/>
            <w:gridSpan w:val="2"/>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3,340</w:t>
            </w:r>
          </w:p>
        </w:tc>
        <w:tc>
          <w:tcPr>
            <w:tcW w:w="4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180"/>
              <w:spacing w:after="0" w:line="97" w:lineRule="exact"/>
              <w:rPr>
                <w:sz w:val="20"/>
                <w:szCs w:val="20"/>
                <w:color w:val="auto"/>
              </w:rPr>
            </w:pPr>
            <w:r>
              <w:rPr>
                <w:rFonts w:ascii="Arial" w:cs="Arial" w:eastAsia="Arial" w:hAnsi="Arial"/>
                <w:sz w:val="11"/>
                <w:szCs w:val="11"/>
                <w:color w:val="0000FF"/>
              </w:rPr>
              <w:t>Stock</w:t>
            </w: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08/30/2019</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3,340</w:t>
            </w:r>
          </w:p>
        </w:tc>
        <w:tc>
          <w:tcPr>
            <w:tcW w:w="860" w:type="dxa"/>
            <w:vAlign w:val="bottom"/>
          </w:tcPr>
          <w:p>
            <w:pPr>
              <w:ind w:left="420"/>
              <w:spacing w:after="0"/>
              <w:rPr>
                <w:sz w:val="20"/>
                <w:szCs w:val="20"/>
                <w:color w:val="auto"/>
              </w:rPr>
            </w:pPr>
            <w:r>
              <w:rPr>
                <w:rFonts w:ascii="Arial" w:cs="Arial" w:eastAsia="Arial" w:hAnsi="Arial"/>
                <w:sz w:val="11"/>
                <w:szCs w:val="11"/>
                <w:color w:val="008000"/>
              </w:rPr>
              <w:t>(6)</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12/08/2020</w:t>
            </w:r>
          </w:p>
        </w:tc>
        <w:tc>
          <w:tcPr>
            <w:tcW w:w="720" w:type="dxa"/>
            <w:vAlign w:val="bottom"/>
            <w:gridSpan w:val="2"/>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3,340</w:t>
            </w:r>
          </w:p>
        </w:tc>
        <w:tc>
          <w:tcPr>
            <w:tcW w:w="4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$71.86 to $72.22,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$71.90 to $72.37, inclusive.</w:t>
      </w:r>
    </w:p>
    <w:p>
      <w:pPr>
        <w:spacing w:after="0" w:line="41"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9.839 net shares acquired under the dividend reinvestment feature of The Toro Company Investment, Savings &amp; ESOP (the "IS&amp;ESOP") less non-discretionary quarterly administrative fees; and 60.273 shares acquired through issuer annual investment fund contributions to the IS&amp;ESOP.</w:t>
      </w: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36.978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8,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8,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09/03/2019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52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757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2019-12-23T21:26:15Z</dcterms:created>
  <dcterms:modified xsi:type="dcterms:W3CDTF">2019-12-23T21:26:15Z</dcterms:modified>
</cp:coreProperties>
</file>