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11-K</w:t>
      </w:r>
    </w:p>
    <w:p>
      <w:pPr>
        <w:spacing w:after="0" w:line="236"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1500" w:right="460" w:hanging="803"/>
        <w:spacing w:after="0" w:line="237" w:lineRule="auto"/>
        <w:tabs>
          <w:tab w:leader="none" w:pos="15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15(d) OF THE SECURITIES EXCHANGE ACT OF 1934</w:t>
      </w:r>
    </w:p>
    <w:p>
      <w:pPr>
        <w:spacing w:after="0" w:line="18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31, 2005.</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500" w:hanging="803"/>
        <w:spacing w:after="0" w:line="256" w:lineRule="auto"/>
        <w:tabs>
          <w:tab w:leader="none" w:pos="15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15(d) OF THE SECURITIES EXCHANGE ACT OF 1934</w:t>
      </w:r>
    </w:p>
    <w:p>
      <w:pPr>
        <w:spacing w:after="0" w:line="199" w:lineRule="exact"/>
        <w:rPr>
          <w:sz w:val="24"/>
          <w:szCs w:val="24"/>
          <w:color w:val="auto"/>
        </w:rPr>
      </w:pPr>
    </w:p>
    <w:p>
      <w:pPr>
        <w:ind w:left="3700"/>
        <w:spacing w:after="0"/>
        <w:tabs>
          <w:tab w:leader="none" w:pos="6780" w:val="left"/>
          <w:tab w:leader="none" w:pos="7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79"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1-8649.</w:t>
      </w:r>
    </w:p>
    <w:p>
      <w:pPr>
        <w:spacing w:after="0" w:line="229"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address of the plan if different from that of the issuer named below:</w:t>
      </w:r>
    </w:p>
    <w:p>
      <w:pPr>
        <w:spacing w:after="0" w:line="221" w:lineRule="exact"/>
        <w:rPr>
          <w:sz w:val="24"/>
          <w:szCs w:val="24"/>
          <w:color w:val="auto"/>
        </w:rPr>
      </w:pPr>
    </w:p>
    <w:p>
      <w:pPr>
        <w:ind w:left="2700"/>
        <w:spacing w:after="0"/>
        <w:rPr>
          <w:sz w:val="20"/>
          <w:szCs w:val="20"/>
          <w:color w:val="auto"/>
        </w:rPr>
      </w:pPr>
      <w:r>
        <w:rPr>
          <w:rFonts w:ascii="Arial" w:cs="Arial" w:eastAsia="Arial" w:hAnsi="Arial"/>
          <w:sz w:val="18"/>
          <w:szCs w:val="18"/>
          <w:b w:val="1"/>
          <w:bCs w:val="1"/>
          <w:color w:val="auto"/>
        </w:rPr>
        <w:t>The Toro Company Investment, Savings, and Employee Stock Ownership Plan</w:t>
      </w:r>
    </w:p>
    <w:p>
      <w:pPr>
        <w:spacing w:after="0" w:line="11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Minneapolis, MN 55420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Attn: Director, Tax Accounting</w:t>
      </w:r>
    </w:p>
    <w:p>
      <w:pPr>
        <w:spacing w:after="0" w:line="103"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Minneapolis,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706755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THE TORO COMPANY INVESTMENT, SAVINGS,</w:t>
      </w:r>
    </w:p>
    <w:p>
      <w:pPr>
        <w:spacing w:after="0" w:line="36"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AND EMPLOYEE STOCK OWNERSHIP PLAN</w:t>
      </w: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Financial Statements and Supplemental Schedules</w:t>
      </w:r>
    </w:p>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December 31, 2005 and 2004</w:t>
      </w:r>
    </w:p>
    <w:p>
      <w:pPr>
        <w:spacing w:after="0" w:line="29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(With Report of Independent Registered Public Accounting Firm Thereon)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AND EMPLOYEE STOCK OWNERSHIP PLAN</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5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Independent Registered Public Accounting Firm’s Report</w:t>
        </w:r>
      </w:hyperlink>
    </w:p>
    <w:p>
      <w:pPr>
        <w:spacing w:after="0" w:line="225" w:lineRule="exact"/>
        <w:rPr>
          <w:sz w:val="24"/>
          <w:szCs w:val="24"/>
          <w:color w:val="auto"/>
        </w:rPr>
      </w:pPr>
    </w:p>
    <w:p>
      <w:pPr>
        <w:spacing w:after="0"/>
        <w:rPr>
          <w:rFonts w:ascii="Arial" w:cs="Arial" w:eastAsia="Arial" w:hAnsi="Arial"/>
          <w:sz w:val="18"/>
          <w:szCs w:val="18"/>
          <w:u w:val="single" w:color="auto"/>
          <w:color w:val="0000EE"/>
        </w:rPr>
      </w:pPr>
      <w:hyperlink r:id="rId14">
        <w:r>
          <w:rPr>
            <w:rFonts w:ascii="Arial" w:cs="Arial" w:eastAsia="Arial" w:hAnsi="Arial"/>
            <w:sz w:val="18"/>
            <w:szCs w:val="18"/>
            <w:u w:val="single" w:color="auto"/>
            <w:color w:val="0000EE"/>
          </w:rPr>
          <w:t>Statements of Net Assets Available for Benefits</w:t>
        </w:r>
      </w:hyperlink>
    </w:p>
    <w:p>
      <w:pPr>
        <w:spacing w:after="0" w:line="225" w:lineRule="exact"/>
        <w:rPr>
          <w:sz w:val="24"/>
          <w:szCs w:val="24"/>
          <w:color w:val="auto"/>
        </w:rPr>
      </w:pPr>
    </w:p>
    <w:p>
      <w:pPr>
        <w:spacing w:after="0"/>
        <w:rPr>
          <w:rFonts w:ascii="Arial" w:cs="Arial" w:eastAsia="Arial" w:hAnsi="Arial"/>
          <w:sz w:val="18"/>
          <w:szCs w:val="18"/>
          <w:u w:val="single" w:color="auto"/>
          <w:color w:val="0000EE"/>
        </w:rPr>
      </w:pPr>
      <w:hyperlink r:id="rId15">
        <w:r>
          <w:rPr>
            <w:rFonts w:ascii="Arial" w:cs="Arial" w:eastAsia="Arial" w:hAnsi="Arial"/>
            <w:sz w:val="18"/>
            <w:szCs w:val="18"/>
            <w:u w:val="single" w:color="auto"/>
            <w:color w:val="0000EE"/>
          </w:rPr>
          <w:t>Statements of Changes in Net Assets Available for Benefits</w:t>
        </w:r>
      </w:hyperlink>
    </w:p>
    <w:p>
      <w:pPr>
        <w:spacing w:after="0" w:line="225" w:lineRule="exact"/>
        <w:rPr>
          <w:sz w:val="24"/>
          <w:szCs w:val="24"/>
          <w:color w:val="auto"/>
        </w:rPr>
      </w:pPr>
    </w:p>
    <w:p>
      <w:pPr>
        <w:spacing w:after="0"/>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Notes to Financial Statements</w:t>
        </w:r>
      </w:hyperlink>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Schedules*</w:t>
      </w:r>
    </w:p>
    <w:p>
      <w:pPr>
        <w:sectPr>
          <w:pgSz w:w="11900" w:h="16838" w:orient="portrait"/>
          <w:cols w:equalWidth="0" w:num="1">
            <w:col w:w="11380"/>
          </w:cols>
          <w:pgMar w:left="240" w:top="314" w:right="279" w:bottom="0" w:gutter="0" w:footer="0" w:header="0"/>
        </w:sectPr>
      </w:pPr>
    </w:p>
    <w:bookmarkStart w:id="1" w:name="page2"/>
    <w:bookmarkEnd w:id="1"/>
    <w:p>
      <w:pPr>
        <w:ind w:left="240" w:hanging="232"/>
        <w:spacing w:after="0"/>
        <w:tabs>
          <w:tab w:leader="none" w:pos="240" w:val="left"/>
        </w:tabs>
        <w:numPr>
          <w:ilvl w:val="0"/>
          <w:numId w:val="3"/>
        </w:numPr>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Schedule of Assets (Held at End of the Year)</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2  Schedule of Reportable Transactions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3893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19" w:lineRule="exact"/>
        <w:rPr>
          <w:rFonts w:ascii="Arial" w:cs="Arial" w:eastAsia="Arial" w:hAnsi="Arial"/>
          <w:sz w:val="18"/>
          <w:szCs w:val="18"/>
          <w:u w:val="single" w:color="auto"/>
          <w:color w:val="0000EE"/>
        </w:rPr>
      </w:pPr>
    </w:p>
    <w:p>
      <w:pPr>
        <w:ind w:left="360" w:right="540" w:hanging="352"/>
        <w:spacing w:after="0" w:line="277"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 schedules required by 29 CFR 2520.103-10 of the Department of Labor’s Rules and Regulations for Reporting and Disclosure under the Employee Retirement Income Security Act of 1974 are not included because they are not applicable.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76"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Report</w:t>
      </w:r>
    </w:p>
    <w:p>
      <w:pPr>
        <w:spacing w:after="0" w:line="200" w:lineRule="exact"/>
        <w:rPr>
          <w:rFonts w:ascii="Arial" w:cs="Arial" w:eastAsia="Arial" w:hAnsi="Arial"/>
          <w:sz w:val="18"/>
          <w:szCs w:val="18"/>
          <w:u w:val="single" w:color="auto"/>
          <w:color w:val="0000EE"/>
        </w:rPr>
      </w:pPr>
    </w:p>
    <w:p>
      <w:pPr>
        <w:ind w:left="340"/>
        <w:spacing w:after="0"/>
        <w:rPr>
          <w:sz w:val="20"/>
          <w:szCs w:val="20"/>
          <w:color w:val="auto"/>
        </w:rPr>
      </w:pPr>
      <w:r>
        <w:rPr>
          <w:rFonts w:ascii="Arial" w:cs="Arial" w:eastAsia="Arial" w:hAnsi="Arial"/>
          <w:sz w:val="18"/>
          <w:szCs w:val="18"/>
          <w:color w:val="auto"/>
        </w:rPr>
        <w:t>The Plan Administrator</w:t>
      </w:r>
    </w:p>
    <w:p>
      <w:pPr>
        <w:ind w:left="340"/>
        <w:spacing w:after="0" w:line="219" w:lineRule="auto"/>
        <w:rPr>
          <w:sz w:val="20"/>
          <w:szCs w:val="20"/>
          <w:color w:val="auto"/>
        </w:rPr>
      </w:pPr>
      <w:r>
        <w:rPr>
          <w:rFonts w:ascii="Arial" w:cs="Arial" w:eastAsia="Arial" w:hAnsi="Arial"/>
          <w:sz w:val="18"/>
          <w:szCs w:val="18"/>
          <w:color w:val="auto"/>
        </w:rPr>
        <w:t>The Toro Company Investment, Savings,</w:t>
      </w:r>
    </w:p>
    <w:p>
      <w:pPr>
        <w:ind w:left="600"/>
        <w:spacing w:after="0"/>
        <w:rPr>
          <w:sz w:val="20"/>
          <w:szCs w:val="20"/>
          <w:color w:val="auto"/>
        </w:rPr>
      </w:pPr>
      <w:r>
        <w:rPr>
          <w:rFonts w:ascii="Arial" w:cs="Arial" w:eastAsia="Arial" w:hAnsi="Arial"/>
          <w:sz w:val="18"/>
          <w:szCs w:val="18"/>
          <w:color w:val="auto"/>
        </w:rPr>
        <w:t>and Employee Stock Ownership Plan:</w:t>
      </w:r>
    </w:p>
    <w:p>
      <w:pPr>
        <w:spacing w:after="0" w:line="182" w:lineRule="exact"/>
        <w:rPr>
          <w:rFonts w:ascii="Arial" w:cs="Arial" w:eastAsia="Arial" w:hAnsi="Arial"/>
          <w:sz w:val="18"/>
          <w:szCs w:val="18"/>
          <w:u w:val="single" w:color="auto"/>
          <w:color w:val="0000EE"/>
        </w:rPr>
      </w:pPr>
    </w:p>
    <w:p>
      <w:pPr>
        <w:ind w:left="340" w:right="500"/>
        <w:spacing w:after="0" w:line="231"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Investment, Savings, and Employee Stock Ownership Plan (the Plan) as of December 31, 2005 and 2004,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75" w:lineRule="exact"/>
        <w:rPr>
          <w:rFonts w:ascii="Arial" w:cs="Arial" w:eastAsia="Arial" w:hAnsi="Arial"/>
          <w:sz w:val="18"/>
          <w:szCs w:val="18"/>
          <w:u w:val="single" w:color="auto"/>
          <w:color w:val="0000EE"/>
        </w:rPr>
      </w:pPr>
    </w:p>
    <w:p>
      <w:pPr>
        <w:ind w:left="340" w:right="540"/>
        <w:spacing w:after="0" w:line="24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6" w:lineRule="exact"/>
        <w:rPr>
          <w:rFonts w:ascii="Arial" w:cs="Arial" w:eastAsia="Arial" w:hAnsi="Arial"/>
          <w:sz w:val="18"/>
          <w:szCs w:val="18"/>
          <w:u w:val="single" w:color="auto"/>
          <w:color w:val="0000EE"/>
        </w:rPr>
      </w:pPr>
    </w:p>
    <w:p>
      <w:pPr>
        <w:ind w:left="340" w:right="960"/>
        <w:spacing w:after="0" w:line="23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as of December 31, 2005 and 2004, and the changes in net assets available for benefits for the years then ended, in conformity with U.S. generally accepted accounting principles.</w:t>
      </w:r>
    </w:p>
    <w:p>
      <w:pPr>
        <w:spacing w:after="0" w:line="175" w:lineRule="exact"/>
        <w:rPr>
          <w:rFonts w:ascii="Arial" w:cs="Arial" w:eastAsia="Arial" w:hAnsi="Arial"/>
          <w:sz w:val="18"/>
          <w:szCs w:val="18"/>
          <w:u w:val="single" w:color="auto"/>
          <w:color w:val="0000EE"/>
        </w:rPr>
      </w:pPr>
    </w:p>
    <w:p>
      <w:pPr>
        <w:ind w:left="340" w:right="560"/>
        <w:spacing w:after="0" w:line="239" w:lineRule="auto"/>
        <w:rPr>
          <w:sz w:val="20"/>
          <w:szCs w:val="20"/>
          <w:color w:val="auto"/>
        </w:rPr>
      </w:pPr>
      <w:r>
        <w:rPr>
          <w:rFonts w:ascii="Arial" w:cs="Arial" w:eastAsia="Arial" w:hAnsi="Arial"/>
          <w:sz w:val="17"/>
          <w:szCs w:val="17"/>
          <w:color w:val="auto"/>
        </w:rPr>
        <w:t>Our audits were performed for the purpose of forming an opinion on the basic financial statements taken as a whole. The supplemental schedules of assets (held at end of the year) as of December 31, 2005 and reportable transactions as of and for the year ended December 31, 2005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supplemental schedules have been subjected to the auditing procedures applied in the audits of the basic financial statements and, in our opinion, are fairly stated in all material respects in relation to the basic financial statements taken as a whole.</w:t>
      </w:r>
    </w:p>
    <w:p>
      <w:pPr>
        <w:spacing w:after="0" w:line="177" w:lineRule="exact"/>
        <w:rPr>
          <w:rFonts w:ascii="Arial" w:cs="Arial" w:eastAsia="Arial" w:hAnsi="Arial"/>
          <w:sz w:val="18"/>
          <w:szCs w:val="18"/>
          <w:u w:val="single" w:color="auto"/>
          <w:color w:val="0000EE"/>
        </w:rPr>
      </w:pPr>
    </w:p>
    <w:p>
      <w:pPr>
        <w:ind w:left="340"/>
        <w:spacing w:after="0"/>
        <w:rPr>
          <w:sz w:val="20"/>
          <w:szCs w:val="20"/>
          <w:color w:val="auto"/>
        </w:rPr>
      </w:pPr>
      <w:r>
        <w:rPr>
          <w:rFonts w:ascii="Arial" w:cs="Arial" w:eastAsia="Arial" w:hAnsi="Arial"/>
          <w:sz w:val="18"/>
          <w:szCs w:val="18"/>
          <w:color w:val="auto"/>
        </w:rPr>
        <w:t>/s/ KPMG LLP</w:t>
      </w:r>
    </w:p>
    <w:p>
      <w:pPr>
        <w:spacing w:after="0" w:line="198" w:lineRule="exact"/>
        <w:rPr>
          <w:rFonts w:ascii="Arial" w:cs="Arial" w:eastAsia="Arial" w:hAnsi="Arial"/>
          <w:sz w:val="18"/>
          <w:szCs w:val="18"/>
          <w:u w:val="single" w:color="auto"/>
          <w:color w:val="0000EE"/>
        </w:rPr>
      </w:pPr>
    </w:p>
    <w:p>
      <w:pPr>
        <w:ind w:left="340"/>
        <w:spacing w:after="0"/>
        <w:rPr>
          <w:sz w:val="20"/>
          <w:szCs w:val="20"/>
          <w:color w:val="auto"/>
        </w:rPr>
      </w:pPr>
      <w:r>
        <w:rPr>
          <w:rFonts w:ascii="Arial" w:cs="Arial" w:eastAsia="Arial" w:hAnsi="Arial"/>
          <w:sz w:val="18"/>
          <w:szCs w:val="18"/>
          <w:color w:val="auto"/>
        </w:rPr>
        <w:t>Minneapolis, Minnesota</w:t>
      </w:r>
    </w:p>
    <w:p>
      <w:pPr>
        <w:spacing w:after="0" w:line="196" w:lineRule="exact"/>
        <w:rPr>
          <w:rFonts w:ascii="Arial" w:cs="Arial" w:eastAsia="Arial" w:hAnsi="Arial"/>
          <w:sz w:val="18"/>
          <w:szCs w:val="18"/>
          <w:u w:val="single" w:color="auto"/>
          <w:color w:val="0000EE"/>
        </w:rPr>
      </w:pPr>
    </w:p>
    <w:p>
      <w:pPr>
        <w:ind w:left="340"/>
        <w:spacing w:after="0"/>
        <w:rPr>
          <w:sz w:val="20"/>
          <w:szCs w:val="20"/>
          <w:color w:val="auto"/>
        </w:rPr>
      </w:pPr>
      <w:r>
        <w:rPr>
          <w:rFonts w:ascii="Arial" w:cs="Arial" w:eastAsia="Arial" w:hAnsi="Arial"/>
          <w:sz w:val="20"/>
          <w:szCs w:val="20"/>
          <w:color w:val="auto"/>
        </w:rPr>
        <w:t>June 23, 2006</w:t>
      </w:r>
    </w:p>
    <w:p>
      <w:pPr>
        <w:spacing w:after="0" w:line="200" w:lineRule="exact"/>
        <w:rPr>
          <w:rFonts w:ascii="Arial" w:cs="Arial" w:eastAsia="Arial" w:hAnsi="Arial"/>
          <w:sz w:val="18"/>
          <w:szCs w:val="18"/>
          <w:u w:val="single" w:color="auto"/>
          <w:color w:val="0000EE"/>
        </w:rPr>
      </w:pPr>
    </w:p>
    <w:p>
      <w:pPr>
        <w:spacing w:after="0" w:line="207"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28"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December 31, 2005 and 2004</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35"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171"/>
        </w:trPr>
        <w:tc>
          <w:tcPr>
            <w:tcW w:w="576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2005</w:t>
            </w:r>
          </w:p>
        </w:tc>
        <w:tc>
          <w:tcPr>
            <w:tcW w:w="2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2004</w:t>
            </w:r>
          </w:p>
        </w:tc>
        <w:tc>
          <w:tcPr>
            <w:tcW w:w="40" w:type="dxa"/>
            <w:vAlign w:val="bottom"/>
            <w:tcBorders>
              <w:bottom w:val="single" w:sz="8" w:color="CCEEFF"/>
            </w:tcBorders>
          </w:tcPr>
          <w:p>
            <w:pPr>
              <w:spacing w:after="0"/>
              <w:rPr>
                <w:sz w:val="14"/>
                <w:szCs w:val="14"/>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 held by Trustee:</w:t>
            </w:r>
          </w:p>
        </w:tc>
        <w:tc>
          <w:tcPr>
            <w:tcW w:w="2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101,157</w:t>
            </w:r>
          </w:p>
        </w:tc>
        <w:tc>
          <w:tcPr>
            <w:tcW w:w="2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at fair value</w:t>
            </w: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Mutual funds</w:t>
            </w: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227,893,705</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197,327,369</w:t>
            </w: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Toro Company Common Stock</w:t>
            </w: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219,066,721</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215,455,478</w:t>
            </w:r>
          </w:p>
        </w:tc>
        <w:tc>
          <w:tcPr>
            <w:tcW w:w="40" w:type="dxa"/>
            <w:vAlign w:val="bottom"/>
            <w:shd w:val="clear" w:color="auto" w:fill="CCEEFF"/>
          </w:tcPr>
          <w:p>
            <w:pPr>
              <w:spacing w:after="0"/>
              <w:rPr>
                <w:sz w:val="18"/>
                <w:szCs w:val="18"/>
                <w:color w:val="auto"/>
              </w:rPr>
            </w:pP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Bond collective funds</w:t>
            </w: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17,845,756</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14,560,204</w:t>
            </w: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Master Trust fund</w:t>
            </w: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79,736,010</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76,578,056</w:t>
            </w:r>
          </w:p>
        </w:tc>
        <w:tc>
          <w:tcPr>
            <w:tcW w:w="40" w:type="dxa"/>
            <w:vAlign w:val="bottom"/>
            <w:shd w:val="clear" w:color="auto" w:fill="CCEEFF"/>
          </w:tcPr>
          <w:p>
            <w:pPr>
              <w:spacing w:after="0"/>
              <w:rPr>
                <w:sz w:val="18"/>
                <w:szCs w:val="18"/>
                <w:color w:val="auto"/>
              </w:rPr>
            </w:pPr>
          </w:p>
        </w:tc>
      </w:tr>
      <w:tr>
        <w:trPr>
          <w:trHeight w:val="216"/>
        </w:trPr>
        <w:tc>
          <w:tcPr>
            <w:tcW w:w="5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Loans</w:t>
            </w:r>
          </w:p>
        </w:tc>
        <w:tc>
          <w:tcPr>
            <w:tcW w:w="2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30,622</w:t>
            </w:r>
          </w:p>
        </w:tc>
        <w:tc>
          <w:tcPr>
            <w:tcW w:w="2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42,748</w:t>
            </w:r>
          </w:p>
        </w:tc>
        <w:tc>
          <w:tcPr>
            <w:tcW w:w="40" w:type="dxa"/>
            <w:vAlign w:val="bottom"/>
            <w:tcBorders>
              <w:bottom w:val="single" w:sz="8" w:color="CCEEFF"/>
            </w:tcBorders>
          </w:tcPr>
          <w:p>
            <w:pPr>
              <w:spacing w:after="0"/>
              <w:rPr>
                <w:sz w:val="18"/>
                <w:szCs w:val="18"/>
                <w:color w:val="auto"/>
              </w:rPr>
            </w:pPr>
          </w:p>
        </w:tc>
      </w:tr>
      <w:tr>
        <w:trPr>
          <w:trHeight w:val="21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investments</w:t>
            </w: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544,572,814</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503,963,855</w:t>
            </w:r>
          </w:p>
        </w:tc>
        <w:tc>
          <w:tcPr>
            <w:tcW w:w="4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Employee contribution receivable</w:t>
            </w: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44,272</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40,279</w:t>
            </w: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 receivable</w:t>
            </w:r>
          </w:p>
        </w:tc>
        <w:tc>
          <w:tcPr>
            <w:tcW w:w="28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11,852,788</w:t>
            </w:r>
          </w:p>
        </w:tc>
        <w:tc>
          <w:tcPr>
            <w:tcW w:w="26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11,958,915</w:t>
            </w:r>
          </w:p>
        </w:tc>
        <w:tc>
          <w:tcPr>
            <w:tcW w:w="40" w:type="dxa"/>
            <w:vAlign w:val="bottom"/>
            <w:shd w:val="clear" w:color="auto" w:fill="CCEEFF"/>
          </w:tcPr>
          <w:p>
            <w:pPr>
              <w:spacing w:after="0"/>
              <w:rPr>
                <w:sz w:val="18"/>
                <w:szCs w:val="18"/>
                <w:color w:val="auto"/>
              </w:rPr>
            </w:pPr>
          </w:p>
        </w:tc>
      </w:tr>
      <w:tr>
        <w:trPr>
          <w:trHeight w:val="210"/>
        </w:trPr>
        <w:tc>
          <w:tcPr>
            <w:tcW w:w="5760" w:type="dxa"/>
            <w:vAlign w:val="bottom"/>
          </w:tcPr>
          <w:p>
            <w:pPr>
              <w:ind w:left="540"/>
              <w:spacing w:after="0"/>
              <w:rPr>
                <w:sz w:val="20"/>
                <w:szCs w:val="20"/>
                <w:color w:val="auto"/>
              </w:rPr>
            </w:pPr>
            <w:r>
              <w:rPr>
                <w:rFonts w:ascii="Arial" w:cs="Arial" w:eastAsia="Arial" w:hAnsi="Arial"/>
                <w:sz w:val="18"/>
                <w:szCs w:val="18"/>
                <w:color w:val="auto"/>
              </w:rPr>
              <w:t>Net assets available for benefits</w:t>
            </w:r>
          </w:p>
        </w:tc>
        <w:tc>
          <w:tcPr>
            <w:tcW w:w="28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556,571,031</w:t>
            </w:r>
          </w:p>
        </w:tc>
        <w:tc>
          <w:tcPr>
            <w:tcW w:w="2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515,963,049</w:t>
            </w:r>
          </w:p>
        </w:tc>
        <w:tc>
          <w:tcPr>
            <w:tcW w:w="4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rFonts w:ascii="Arial" w:cs="Arial" w:eastAsia="Arial" w:hAnsi="Arial"/>
          <w:sz w:val="18"/>
          <w:szCs w:val="18"/>
          <w:u w:val="single" w:color="auto"/>
          <w:color w:val="0000EE"/>
        </w:rPr>
      </w:pPr>
    </w:p>
    <w:p>
      <w:pPr>
        <w:spacing w:after="0" w:line="218"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420"/>
          </w:cols>
          <w:pgMar w:left="240" w:top="125" w:right="239" w:bottom="464"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2005 and 2004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2005</w:t>
            </w:r>
          </w:p>
        </w:tc>
        <w:tc>
          <w:tcPr>
            <w:tcW w:w="2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CCEEFF"/>
            </w:tcBorders>
          </w:tcPr>
          <w:p>
            <w:pPr>
              <w:spacing w:after="0"/>
              <w:rPr>
                <w:sz w:val="14"/>
                <w:szCs w:val="14"/>
                <w:color w:val="auto"/>
              </w:rPr>
            </w:pPr>
          </w:p>
        </w:tc>
      </w:tr>
      <w:tr>
        <w:trPr>
          <w:trHeight w:val="196"/>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2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Interest and dividends</w:t>
            </w:r>
          </w:p>
        </w:tc>
        <w:tc>
          <w:tcPr>
            <w:tcW w:w="22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8,500,775</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4,517,908</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realized/unrealized gain in the fair value of investments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26,907,407</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120,932,082</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 rata share of income from Master Trust</w:t>
            </w:r>
          </w:p>
        </w:tc>
        <w:tc>
          <w:tcPr>
            <w:tcW w:w="20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3,195,154</w:t>
            </w:r>
          </w:p>
        </w:tc>
        <w:tc>
          <w:tcPr>
            <w:tcW w:w="2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2,856,668</w:t>
            </w:r>
          </w:p>
        </w:tc>
        <w:tc>
          <w:tcPr>
            <w:tcW w:w="100" w:type="dxa"/>
            <w:vAlign w:val="bottom"/>
            <w:tcBorders>
              <w:bottom w:val="single" w:sz="8" w:color="CCEEFF"/>
            </w:tcBorders>
          </w:tcPr>
          <w:p>
            <w:pPr>
              <w:spacing w:after="0"/>
              <w:rPr>
                <w:sz w:val="18"/>
                <w:szCs w:val="18"/>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20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38,603,336</w:t>
            </w:r>
          </w:p>
        </w:tc>
        <w:tc>
          <w:tcPr>
            <w:tcW w:w="26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128,306,658</w:t>
            </w:r>
          </w:p>
        </w:tc>
        <w:tc>
          <w:tcPr>
            <w:tcW w:w="100" w:type="dxa"/>
            <w:vAlign w:val="bottom"/>
            <w:shd w:val="clear" w:color="auto" w:fill="CCEEFF"/>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Employer contributions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14,695,150</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15,357,212</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Participant contributions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11,994,170</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11,177,119</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Rollover contributions</w:t>
            </w:r>
          </w:p>
        </w:tc>
        <w:tc>
          <w:tcPr>
            <w:tcW w:w="20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856,776</w:t>
            </w:r>
          </w:p>
        </w:tc>
        <w:tc>
          <w:tcPr>
            <w:tcW w:w="2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515,300</w:t>
            </w:r>
          </w:p>
        </w:tc>
        <w:tc>
          <w:tcPr>
            <w:tcW w:w="100" w:type="dxa"/>
            <w:vAlign w:val="bottom"/>
            <w:tcBorders>
              <w:bottom w:val="single" w:sz="8" w:color="CCEEFF"/>
            </w:tcBorders>
          </w:tcPr>
          <w:p>
            <w:pPr>
              <w:spacing w:after="0"/>
              <w:rPr>
                <w:sz w:val="18"/>
                <w:szCs w:val="18"/>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contributions</w:t>
            </w:r>
          </w:p>
        </w:tc>
        <w:tc>
          <w:tcPr>
            <w:tcW w:w="20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27,546,096</w:t>
            </w:r>
          </w:p>
        </w:tc>
        <w:tc>
          <w:tcPr>
            <w:tcW w:w="26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27,049,631</w:t>
            </w:r>
          </w:p>
        </w:tc>
        <w:tc>
          <w:tcPr>
            <w:tcW w:w="100" w:type="dxa"/>
            <w:vAlign w:val="bottom"/>
            <w:shd w:val="clear" w:color="auto" w:fill="CCEEFF"/>
          </w:tcPr>
          <w:p>
            <w:pPr>
              <w:spacing w:after="0"/>
              <w:rPr>
                <w:sz w:val="18"/>
                <w:szCs w:val="18"/>
                <w:color w:val="auto"/>
              </w:rPr>
            </w:pPr>
          </w:p>
        </w:tc>
      </w:tr>
      <w:tr>
        <w:trPr>
          <w:trHeight w:val="21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Benefit payments</w:t>
            </w:r>
          </w:p>
        </w:tc>
        <w:tc>
          <w:tcPr>
            <w:tcW w:w="20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(25,541,450)</w:t>
            </w:r>
          </w:p>
        </w:tc>
        <w:tc>
          <w:tcPr>
            <w:tcW w:w="2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(28,929,292)</w:t>
            </w:r>
          </w:p>
        </w:tc>
        <w:tc>
          <w:tcPr>
            <w:tcW w:w="100" w:type="dxa"/>
            <w:vAlign w:val="bottom"/>
            <w:tcBorders>
              <w:bottom w:val="single" w:sz="8" w:color="CCEEFF"/>
            </w:tcBorders>
          </w:tcPr>
          <w:p>
            <w:pPr>
              <w:spacing w:after="0"/>
              <w:rPr>
                <w:sz w:val="18"/>
                <w:szCs w:val="18"/>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in net assets available for benefits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40,607,982</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126,426,997</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of year</w:t>
            </w:r>
          </w:p>
        </w:tc>
        <w:tc>
          <w:tcPr>
            <w:tcW w:w="20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515,963,049</w:t>
            </w:r>
          </w:p>
        </w:tc>
        <w:tc>
          <w:tcPr>
            <w:tcW w:w="26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389,536,052</w:t>
            </w:r>
          </w:p>
        </w:tc>
        <w:tc>
          <w:tcPr>
            <w:tcW w:w="100" w:type="dxa"/>
            <w:vAlign w:val="bottom"/>
            <w:shd w:val="clear" w:color="auto" w:fill="CCEEFF"/>
          </w:tcPr>
          <w:p>
            <w:pPr>
              <w:spacing w:after="0"/>
              <w:rPr>
                <w:sz w:val="18"/>
                <w:szCs w:val="18"/>
                <w:color w:val="auto"/>
              </w:rPr>
            </w:pPr>
          </w:p>
        </w:tc>
      </w:tr>
      <w:tr>
        <w:trPr>
          <w:trHeight w:val="210"/>
        </w:trPr>
        <w:tc>
          <w:tcPr>
            <w:tcW w:w="6520" w:type="dxa"/>
            <w:vAlign w:val="bottom"/>
          </w:tcPr>
          <w:p>
            <w:pPr>
              <w:ind w:left="180"/>
              <w:spacing w:after="0"/>
              <w:rPr>
                <w:sz w:val="20"/>
                <w:szCs w:val="20"/>
                <w:color w:val="auto"/>
              </w:rPr>
            </w:pPr>
            <w:r>
              <w:rPr>
                <w:rFonts w:ascii="Arial" w:cs="Arial" w:eastAsia="Arial" w:hAnsi="Arial"/>
                <w:sz w:val="18"/>
                <w:szCs w:val="18"/>
                <w:color w:val="auto"/>
              </w:rPr>
              <w:t>End of year</w:t>
            </w:r>
          </w:p>
        </w:tc>
        <w:tc>
          <w:tcPr>
            <w:tcW w:w="20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556,571,031</w:t>
            </w:r>
          </w:p>
        </w:tc>
        <w:tc>
          <w:tcPr>
            <w:tcW w:w="2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515,963,049</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2005 and 2004</w:t>
      </w:r>
    </w:p>
    <w:p>
      <w:pPr>
        <w:spacing w:after="0" w:line="208" w:lineRule="exact"/>
        <w:rPr>
          <w:sz w:val="20"/>
          <w:szCs w:val="20"/>
          <w:color w:val="auto"/>
        </w:rPr>
      </w:pPr>
    </w:p>
    <w:p>
      <w:pPr>
        <w:ind w:left="620" w:hanging="612"/>
        <w:spacing w:after="0"/>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43" w:lineRule="exact"/>
        <w:rPr>
          <w:sz w:val="20"/>
          <w:szCs w:val="20"/>
          <w:color w:val="auto"/>
        </w:rPr>
      </w:pPr>
    </w:p>
    <w:p>
      <w:pPr>
        <w:ind w:left="580" w:right="20"/>
        <w:spacing w:after="0" w:line="255" w:lineRule="auto"/>
        <w:rPr>
          <w:sz w:val="20"/>
          <w:szCs w:val="20"/>
          <w:color w:val="auto"/>
        </w:rPr>
      </w:pPr>
      <w:r>
        <w:rPr>
          <w:rFonts w:ascii="Arial" w:cs="Arial" w:eastAsia="Arial" w:hAnsi="Arial"/>
          <w:sz w:val="16"/>
          <w:szCs w:val="16"/>
          <w:color w:val="auto"/>
        </w:rPr>
        <w:t>The following description of the Toro Company Investment, Savings, and Employee Stock Ownership Plan (the Plan) is provided for general information purposes only. Participants should refer to the Plan document restated as of January 1, 2003 for more complete information. The Plan is subject to the provisions of the Employee Retirement Income Security Act of 1974 (ERISA). Effective January 1, 2002, The Toro Company Employee Stock Ownership Plan was merged into The Toro Company Investment and Savings Plan to become The Toro Company Investment, Savings, and Employee Stock Ownership Plan. However, there continues to be an Employee Stock Ownership (ESOP) portion and a profit sharing portion of the Plan. Effective September 2, 2003, the Exmark Manufacturing Company, Inc. 401(k) Profit Sharing Plan was merged into the Plan. The Exmark Manufacturing Company, Inc. 401(k) Profit Sharing Plan offered loans to participants. Since loans are not offered under the Plan, outstanding loan balances were transferred as a result of the merger into the Plan and continue to be repaid by participants.</w:t>
      </w:r>
    </w:p>
    <w:p>
      <w:pPr>
        <w:spacing w:after="0" w:line="178" w:lineRule="exact"/>
        <w:rPr>
          <w:sz w:val="20"/>
          <w:szCs w:val="20"/>
          <w:color w:val="auto"/>
        </w:rPr>
      </w:pPr>
    </w:p>
    <w:p>
      <w:pPr>
        <w:ind w:left="580" w:right="20"/>
        <w:spacing w:after="0" w:line="259" w:lineRule="auto"/>
        <w:rPr>
          <w:sz w:val="20"/>
          <w:szCs w:val="20"/>
          <w:color w:val="auto"/>
        </w:rPr>
      </w:pPr>
      <w:r>
        <w:rPr>
          <w:rFonts w:ascii="Arial" w:cs="Arial" w:eastAsia="Arial" w:hAnsi="Arial"/>
          <w:sz w:val="18"/>
          <w:szCs w:val="18"/>
          <w:color w:val="auto"/>
        </w:rPr>
        <w:t>The primary purpose of the ESOP portion of the Plan is to provide employees who become participants in the Plan an opportunity to have their account balances invested in Common Stock of The Toro Company (the Company). The portions of participant accounts that hold Company Common Stock are included in the ESOP portion of the Plan. The portions of participant accounts that do not hold such stock are included in the profit sharing portion of the Plan.</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Participants may make their own contributions to the Plan. These are initially made to the profit sharing portion of the Plan.</w:t>
      </w:r>
    </w:p>
    <w:p>
      <w:pPr>
        <w:spacing w:after="0" w:line="225" w:lineRule="exact"/>
        <w:rPr>
          <w:sz w:val="20"/>
          <w:szCs w:val="20"/>
          <w:color w:val="auto"/>
        </w:rPr>
      </w:pPr>
    </w:p>
    <w:p>
      <w:pPr>
        <w:ind w:left="580" w:right="60"/>
        <w:spacing w:after="0" w:line="293" w:lineRule="auto"/>
        <w:rPr>
          <w:sz w:val="20"/>
          <w:szCs w:val="20"/>
          <w:color w:val="auto"/>
        </w:rPr>
      </w:pPr>
      <w:r>
        <w:rPr>
          <w:rFonts w:ascii="Arial" w:cs="Arial" w:eastAsia="Arial" w:hAnsi="Arial"/>
          <w:sz w:val="16"/>
          <w:szCs w:val="16"/>
          <w:color w:val="auto"/>
        </w:rPr>
        <w:t>Plan participants are also eligible to have the Company make ESOP and Investment Fund Contributions to the Plan on their behalf after two years of qualifying service with the Company. Participants are fully vested in the entire balance of their individual accounts attributable to those contributions. The Company also makes matching contributions to the Plan with respect to Participant contributions. Participants are eligible for matching contributions after completing one year of qualifying service with the Company. Company matching contributions, together with income attributable thereto, vest at a rate of 20% after one year of vesting service, with an additional 20% being accumulated annually thereafter until the participant is 100% vested. ESOP Contributions and Matching Contributions are initially invested in Company Common Stock.</w:t>
      </w:r>
    </w:p>
    <w:p>
      <w:pPr>
        <w:spacing w:after="0" w:line="165" w:lineRule="exact"/>
        <w:rPr>
          <w:sz w:val="20"/>
          <w:szCs w:val="20"/>
          <w:color w:val="auto"/>
        </w:rPr>
      </w:pPr>
    </w:p>
    <w:p>
      <w:pPr>
        <w:ind w:left="580" w:right="100"/>
        <w:spacing w:after="0" w:line="264" w:lineRule="auto"/>
        <w:rPr>
          <w:sz w:val="20"/>
          <w:szCs w:val="20"/>
          <w:color w:val="auto"/>
        </w:rPr>
      </w:pPr>
      <w:r>
        <w:rPr>
          <w:rFonts w:ascii="Arial" w:cs="Arial" w:eastAsia="Arial" w:hAnsi="Arial"/>
          <w:sz w:val="18"/>
          <w:szCs w:val="18"/>
          <w:color w:val="auto"/>
        </w:rPr>
        <w:t>Participants may choose to have their accounts including those initially invested in Company Common Stock invested in any of the investment funds made available under the Plan or in Company Common Stock. All contributions under the Plan are made to a trust that holds all of the assets of the Plan.</w:t>
      </w:r>
    </w:p>
    <w:p>
      <w:pPr>
        <w:sectPr>
          <w:pgSz w:w="11900" w:h="16838" w:orient="portrait"/>
          <w:cols w:equalWidth="0" w:num="1">
            <w:col w:w="11420"/>
          </w:cols>
          <w:pgMar w:left="240" w:top="125" w:right="239" w:bottom="96" w:gutter="0" w:footer="0" w:header="0"/>
        </w:sectPr>
      </w:pPr>
    </w:p>
    <w:bookmarkStart w:id="3" w:name="page4"/>
    <w:bookmarkEnd w:id="3"/>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December 31, 2005 and 2004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72"/>
        <w:spacing w:after="0"/>
        <w:rPr>
          <w:sz w:val="20"/>
          <w:szCs w:val="20"/>
          <w:color w:val="auto"/>
        </w:rPr>
      </w:pPr>
      <w:r>
        <w:rPr>
          <w:rFonts w:ascii="Arial" w:cs="Arial" w:eastAsia="Arial" w:hAnsi="Arial"/>
          <w:sz w:val="17"/>
          <w:szCs w:val="17"/>
          <w:color w:val="auto"/>
        </w:rPr>
        <w:t>Effective September 3, 2004, a new Trustee was appointed, (JP Morgan Retirement Plan Services) to the Plan. Plan assets transferred to the new Trustee were transferred into funds comparable to those offered by the former Trustee (Putnam Fiduciary Trust Company). The conversion initiated a “Black Out” period beginning August 30, 2004 and continued through September 7, 2004. Prior to this period, employees were notified and able to select funds with the new Trustee. During the Black Out period, fund elections could not be changed or withdrawn from the Plan until the Trustee had time to accurately complete the conversion. Employee contributions continued to be made through payroll deductions and contributions were deposited directly into the participant accounts based on their elections until the completion of the Black Out period.</w:t>
      </w:r>
    </w:p>
    <w:p>
      <w:pPr>
        <w:spacing w:after="0" w:line="178" w:lineRule="exact"/>
        <w:rPr>
          <w:sz w:val="20"/>
          <w:szCs w:val="20"/>
          <w:color w:val="auto"/>
        </w:rPr>
      </w:pPr>
    </w:p>
    <w:p>
      <w:pPr>
        <w:ind w:left="572"/>
        <w:spacing w:after="0"/>
        <w:rPr>
          <w:sz w:val="20"/>
          <w:szCs w:val="20"/>
          <w:color w:val="auto"/>
        </w:rPr>
      </w:pPr>
      <w:r>
        <w:rPr>
          <w:rFonts w:ascii="Arial" w:cs="Arial" w:eastAsia="Arial" w:hAnsi="Arial"/>
          <w:sz w:val="18"/>
          <w:szCs w:val="18"/>
          <w:color w:val="auto"/>
        </w:rPr>
        <w:t>Benefit payments and transfers of participants’ interests are made by the Trustee.</w:t>
      </w:r>
    </w:p>
    <w:p>
      <w:pPr>
        <w:spacing w:after="0" w:line="198" w:lineRule="exact"/>
        <w:rPr>
          <w:sz w:val="20"/>
          <w:szCs w:val="20"/>
          <w:color w:val="auto"/>
        </w:rPr>
      </w:pPr>
    </w:p>
    <w:p>
      <w:pPr>
        <w:ind w:left="572"/>
        <w:spacing w:after="0" w:line="246" w:lineRule="auto"/>
        <w:rPr>
          <w:sz w:val="20"/>
          <w:szCs w:val="20"/>
          <w:color w:val="auto"/>
        </w:rPr>
      </w:pPr>
      <w:r>
        <w:rPr>
          <w:rFonts w:ascii="Arial" w:cs="Arial" w:eastAsia="Arial" w:hAnsi="Arial"/>
          <w:sz w:val="18"/>
          <w:szCs w:val="18"/>
          <w:color w:val="auto"/>
        </w:rPr>
        <w:t>During the year ended December 31, 2005 and 2004, forfeited nonvested accounts totaled $10,400 and $88,911, respectively. These accounts are used to offset future employer contributions.</w:t>
      </w:r>
    </w:p>
    <w:p>
      <w:pPr>
        <w:spacing w:after="0" w:line="170" w:lineRule="exact"/>
        <w:rPr>
          <w:sz w:val="20"/>
          <w:szCs w:val="20"/>
          <w:color w:val="auto"/>
        </w:rPr>
      </w:pPr>
    </w:p>
    <w:p>
      <w:pPr>
        <w:ind w:left="572" w:right="240"/>
        <w:spacing w:after="0" w:line="246" w:lineRule="auto"/>
        <w:rPr>
          <w:sz w:val="20"/>
          <w:szCs w:val="20"/>
          <w:color w:val="auto"/>
        </w:rPr>
      </w:pPr>
      <w:r>
        <w:rPr>
          <w:rFonts w:ascii="Arial" w:cs="Arial" w:eastAsia="Arial" w:hAnsi="Arial"/>
          <w:sz w:val="18"/>
          <w:szCs w:val="18"/>
          <w:color w:val="auto"/>
        </w:rPr>
        <w:t>The Company absorbs all administrative costs of the Plan, with the exception of investment management fees, which are netted against investment income.</w:t>
      </w:r>
    </w:p>
    <w:p>
      <w:pPr>
        <w:spacing w:after="0" w:line="166" w:lineRule="exact"/>
        <w:rPr>
          <w:sz w:val="20"/>
          <w:szCs w:val="20"/>
          <w:color w:val="auto"/>
        </w:rPr>
      </w:pPr>
    </w:p>
    <w:p>
      <w:pPr>
        <w:ind w:left="612" w:hanging="612"/>
        <w:spacing w:after="0"/>
        <w:tabs>
          <w:tab w:leader="none" w:pos="61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42" w:lineRule="exact"/>
        <w:rPr>
          <w:rFonts w:ascii="Arial" w:cs="Arial" w:eastAsia="Arial" w:hAnsi="Arial"/>
          <w:sz w:val="18"/>
          <w:szCs w:val="18"/>
          <w:b w:val="1"/>
          <w:bCs w:val="1"/>
          <w:color w:val="auto"/>
        </w:rPr>
      </w:pPr>
    </w:p>
    <w:p>
      <w:pPr>
        <w:ind w:left="992" w:hanging="421"/>
        <w:spacing w:after="0"/>
        <w:tabs>
          <w:tab w:leader="none" w:pos="992" w:val="left"/>
        </w:tabs>
        <w:numPr>
          <w:ilvl w:val="1"/>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238" w:lineRule="exact"/>
        <w:rPr>
          <w:rFonts w:ascii="Arial" w:cs="Arial" w:eastAsia="Arial" w:hAnsi="Arial"/>
          <w:sz w:val="18"/>
          <w:szCs w:val="18"/>
          <w:b w:val="1"/>
          <w:bCs w:val="1"/>
          <w:i w:val="1"/>
          <w:iCs w:val="1"/>
          <w:color w:val="auto"/>
        </w:rPr>
      </w:pPr>
    </w:p>
    <w:p>
      <w:pPr>
        <w:ind w:left="972" w:right="420"/>
        <w:spacing w:after="0" w:line="307"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accompanying financial statements of The Toro Company Investment, Savings, and Employee Stock Ownership Plan are presented in accordance with U.S. generally accepted accounting principles. The accounting records of the Plan are maintained on the accrual basis.</w:t>
      </w:r>
    </w:p>
    <w:p>
      <w:pPr>
        <w:spacing w:after="0" w:line="123" w:lineRule="exact"/>
        <w:rPr>
          <w:rFonts w:ascii="Arial" w:cs="Arial" w:eastAsia="Arial" w:hAnsi="Arial"/>
          <w:sz w:val="18"/>
          <w:szCs w:val="18"/>
          <w:b w:val="1"/>
          <w:bCs w:val="1"/>
          <w:i w:val="1"/>
          <w:iCs w:val="1"/>
          <w:color w:val="auto"/>
        </w:rPr>
      </w:pPr>
    </w:p>
    <w:p>
      <w:pPr>
        <w:ind w:left="992" w:hanging="421"/>
        <w:spacing w:after="0"/>
        <w:tabs>
          <w:tab w:leader="none" w:pos="992" w:val="left"/>
        </w:tabs>
        <w:numPr>
          <w:ilvl w:val="1"/>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238" w:lineRule="exact"/>
        <w:rPr>
          <w:rFonts w:ascii="Arial" w:cs="Arial" w:eastAsia="Arial" w:hAnsi="Arial"/>
          <w:sz w:val="18"/>
          <w:szCs w:val="18"/>
          <w:b w:val="1"/>
          <w:bCs w:val="1"/>
          <w:i w:val="1"/>
          <w:iCs w:val="1"/>
          <w:color w:val="auto"/>
        </w:rPr>
      </w:pPr>
    </w:p>
    <w:p>
      <w:pPr>
        <w:jc w:val="both"/>
        <w:ind w:left="972" w:right="260"/>
        <w:spacing w:after="0" w:line="343" w:lineRule="auto"/>
        <w:rPr>
          <w:rFonts w:ascii="Arial" w:cs="Arial" w:eastAsia="Arial" w:hAnsi="Arial"/>
          <w:sz w:val="18"/>
          <w:szCs w:val="18"/>
          <w:b w:val="1"/>
          <w:bCs w:val="1"/>
          <w:i w:val="1"/>
          <w:iCs w:val="1"/>
          <w:color w:val="auto"/>
        </w:rPr>
      </w:pPr>
      <w:r>
        <w:rPr>
          <w:rFonts w:ascii="Arial" w:cs="Arial" w:eastAsia="Arial" w:hAnsi="Arial"/>
          <w:sz w:val="15"/>
          <w:szCs w:val="15"/>
          <w:color w:val="auto"/>
        </w:rPr>
        <w:t>The Plan’s investments are held by the Trustee. The investment securities are stated at fair values based upon published quotations or, in the absence of available quotations, at fair values determined by the Trustee. Purchases and sales of securities are recorded on a trade-date basis.</w:t>
      </w:r>
    </w:p>
    <w:p>
      <w:pPr>
        <w:spacing w:after="0" w:line="101" w:lineRule="exact"/>
        <w:rPr>
          <w:rFonts w:ascii="Arial" w:cs="Arial" w:eastAsia="Arial" w:hAnsi="Arial"/>
          <w:sz w:val="18"/>
          <w:szCs w:val="18"/>
          <w:b w:val="1"/>
          <w:bCs w:val="1"/>
          <w:i w:val="1"/>
          <w:iCs w:val="1"/>
          <w:color w:val="auto"/>
        </w:rPr>
      </w:pPr>
    </w:p>
    <w:p>
      <w:pPr>
        <w:ind w:left="972" w:right="100"/>
        <w:spacing w:after="0" w:line="231"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maintains one Master Trust, the Wells Fargo Stable Value Fund (Master Trust) for three profit sharing and retirement plans that are sponsored by the Company. The three plans are the Plan, The Toro Company Profit Sharing Plan for Plymouth Union Employees and the Hahn Equipment Company Savings Plan for Union Employees. The purpose of the Master Trust is to pool investment transactions and achieve uniform rates of return on comparable funds under all plans.</w:t>
      </w:r>
    </w:p>
    <w:p>
      <w:pPr>
        <w:spacing w:after="0" w:line="175" w:lineRule="exact"/>
        <w:rPr>
          <w:rFonts w:ascii="Arial" w:cs="Arial" w:eastAsia="Arial" w:hAnsi="Arial"/>
          <w:sz w:val="18"/>
          <w:szCs w:val="18"/>
          <w:b w:val="1"/>
          <w:bCs w:val="1"/>
          <w:i w:val="1"/>
          <w:iCs w:val="1"/>
          <w:color w:val="auto"/>
        </w:rPr>
      </w:pPr>
    </w:p>
    <w:p>
      <w:pPr>
        <w:ind w:left="972" w:right="380"/>
        <w:spacing w:after="0" w:line="235"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Plan’s proportionate share of net investment income from the Master Trust is based upon the percentage of the fair value of the Plan’s investment in the master trust’s net assets. The Plan’s percentage interest in the net assets of the Master Trust was approximately 99% as of December 31, 2005 and 2004.</w:t>
      </w:r>
    </w:p>
    <w:p>
      <w:pPr>
        <w:spacing w:after="0" w:line="200" w:lineRule="exact"/>
        <w:rPr>
          <w:sz w:val="20"/>
          <w:szCs w:val="20"/>
          <w:color w:val="auto"/>
        </w:rPr>
      </w:pPr>
    </w:p>
    <w:p>
      <w:pPr>
        <w:spacing w:after="0" w:line="2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December 31, 2005 and 2004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92" w:hanging="421"/>
        <w:spacing w:after="0"/>
        <w:tabs>
          <w:tab w:leader="none" w:pos="992"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Estimates</w:t>
      </w:r>
    </w:p>
    <w:p>
      <w:pPr>
        <w:spacing w:after="0" w:line="238" w:lineRule="exact"/>
        <w:rPr>
          <w:rFonts w:ascii="Arial" w:cs="Arial" w:eastAsia="Arial" w:hAnsi="Arial"/>
          <w:sz w:val="18"/>
          <w:szCs w:val="18"/>
          <w:b w:val="1"/>
          <w:bCs w:val="1"/>
          <w:i w:val="1"/>
          <w:iCs w:val="1"/>
          <w:color w:val="auto"/>
        </w:rPr>
      </w:pPr>
    </w:p>
    <w:p>
      <w:pPr>
        <w:ind w:left="972" w:right="140"/>
        <w:spacing w:after="0" w:line="231"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preparation of financial statements in conformity with U.S. generally accepted accounting principles requires the Plan Administrator to make estimates and assumptions that 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spacing w:after="0" w:line="175" w:lineRule="exact"/>
        <w:rPr>
          <w:rFonts w:ascii="Arial" w:cs="Arial" w:eastAsia="Arial" w:hAnsi="Arial"/>
          <w:sz w:val="18"/>
          <w:szCs w:val="18"/>
          <w:b w:val="1"/>
          <w:bCs w:val="1"/>
          <w:i w:val="1"/>
          <w:iCs w:val="1"/>
          <w:color w:val="auto"/>
        </w:rPr>
      </w:pPr>
    </w:p>
    <w:p>
      <w:pPr>
        <w:ind w:left="992" w:hanging="421"/>
        <w:spacing w:after="0"/>
        <w:tabs>
          <w:tab w:leader="none" w:pos="992"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Reclassifications</w:t>
      </w:r>
    </w:p>
    <w:p>
      <w:pPr>
        <w:spacing w:after="0" w:line="238" w:lineRule="exact"/>
        <w:rPr>
          <w:rFonts w:ascii="Arial" w:cs="Arial" w:eastAsia="Arial" w:hAnsi="Arial"/>
          <w:sz w:val="18"/>
          <w:szCs w:val="18"/>
          <w:b w:val="1"/>
          <w:bCs w:val="1"/>
          <w:i w:val="1"/>
          <w:iCs w:val="1"/>
          <w:color w:val="auto"/>
        </w:rPr>
      </w:pPr>
    </w:p>
    <w:p>
      <w:pPr>
        <w:ind w:left="972"/>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Certain amounts from prior years’ financial statements have been reclassified to conform to the current year presentation.</w:t>
      </w:r>
    </w:p>
    <w:p>
      <w:pPr>
        <w:spacing w:after="0" w:line="198" w:lineRule="exact"/>
        <w:rPr>
          <w:rFonts w:ascii="Arial" w:cs="Arial" w:eastAsia="Arial" w:hAnsi="Arial"/>
          <w:sz w:val="18"/>
          <w:szCs w:val="18"/>
          <w:b w:val="1"/>
          <w:bCs w:val="1"/>
          <w:i w:val="1"/>
          <w:iCs w:val="1"/>
          <w:color w:val="auto"/>
        </w:rPr>
      </w:pPr>
    </w:p>
    <w:p>
      <w:pPr>
        <w:ind w:left="992" w:hanging="421"/>
        <w:spacing w:after="0"/>
        <w:tabs>
          <w:tab w:leader="none" w:pos="992"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238" w:lineRule="exact"/>
        <w:rPr>
          <w:rFonts w:ascii="Arial" w:cs="Arial" w:eastAsia="Arial" w:hAnsi="Arial"/>
          <w:sz w:val="18"/>
          <w:szCs w:val="18"/>
          <w:b w:val="1"/>
          <w:bCs w:val="1"/>
          <w:i w:val="1"/>
          <w:iCs w:val="1"/>
          <w:color w:val="auto"/>
        </w:rPr>
      </w:pPr>
    </w:p>
    <w:p>
      <w:pPr>
        <w:jc w:val="both"/>
        <w:ind w:left="972" w:right="120"/>
        <w:spacing w:after="0" w:line="307"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w:t>
      </w:r>
    </w:p>
    <w:p>
      <w:pPr>
        <w:sectPr>
          <w:pgSz w:w="11900" w:h="16838" w:orient="portrait"/>
          <w:cols w:equalWidth="0" w:num="1">
            <w:col w:w="11372"/>
          </w:cols>
          <w:pgMar w:left="248" w:top="125" w:right="279" w:bottom="0" w:gutter="0" w:footer="0" w:header="0"/>
        </w:sectPr>
      </w:pPr>
    </w:p>
    <w:bookmarkStart w:id="4" w:name="page5"/>
    <w:bookmarkEnd w:id="4"/>
    <w:p>
      <w:pPr>
        <w:ind w:left="980" w:right="480"/>
        <w:spacing w:after="0" w:line="246" w:lineRule="auto"/>
        <w:rPr>
          <w:sz w:val="20"/>
          <w:szCs w:val="20"/>
          <w:color w:val="auto"/>
        </w:rPr>
      </w:pPr>
      <w:r>
        <w:rPr>
          <w:rFonts w:ascii="Arial" w:cs="Arial" w:eastAsia="Arial" w:hAnsi="Arial"/>
          <w:sz w:val="18"/>
          <w:szCs w:val="18"/>
          <w:color w:val="auto"/>
        </w:rPr>
        <w:t>investments will occur in the near term and that such changes could materially affect the amounts reported in the Statements of Net Assets Available for Benefits.</w:t>
      </w:r>
    </w:p>
    <w:p>
      <w:pPr>
        <w:spacing w:after="0" w:line="170" w:lineRule="exact"/>
        <w:rPr>
          <w:sz w:val="20"/>
          <w:szCs w:val="20"/>
          <w:color w:val="auto"/>
        </w:rPr>
      </w:pPr>
    </w:p>
    <w:p>
      <w:pPr>
        <w:ind w:left="980" w:right="280"/>
        <w:spacing w:after="0" w:line="235" w:lineRule="auto"/>
        <w:rPr>
          <w:sz w:val="20"/>
          <w:szCs w:val="20"/>
          <w:color w:val="auto"/>
        </w:rPr>
      </w:pPr>
      <w:r>
        <w:rPr>
          <w:rFonts w:ascii="Arial" w:cs="Arial" w:eastAsia="Arial" w:hAnsi="Arial"/>
          <w:sz w:val="18"/>
          <w:szCs w:val="18"/>
          <w:color w:val="auto"/>
        </w:rPr>
        <w:t>Since the assets held by the Trust include The Toro Company Common Stock, the anticipated assets available for benefits in 2006 will be the result of the Company’s future stock market performance, which is subject to various risk factors described more fully in the Company’s periodic filings with the Securities and Exchange Commission.</w:t>
      </w:r>
    </w:p>
    <w:p>
      <w:pPr>
        <w:spacing w:after="0" w:line="171" w:lineRule="exact"/>
        <w:rPr>
          <w:sz w:val="20"/>
          <w:szCs w:val="20"/>
          <w:color w:val="auto"/>
        </w:rPr>
      </w:pPr>
    </w:p>
    <w:p>
      <w:pPr>
        <w:ind w:left="620" w:hanging="612"/>
        <w:spacing w:after="0"/>
        <w:tabs>
          <w:tab w:leader="none" w:pos="6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Funding Policy, Contributions, and Plan Transfers</w:t>
      </w:r>
    </w:p>
    <w:p>
      <w:pPr>
        <w:spacing w:after="0" w:line="243" w:lineRule="exact"/>
        <w:rPr>
          <w:sz w:val="20"/>
          <w:szCs w:val="20"/>
          <w:color w:val="auto"/>
        </w:rPr>
      </w:pPr>
    </w:p>
    <w:p>
      <w:pPr>
        <w:ind w:left="580" w:right="160"/>
        <w:spacing w:after="0" w:line="231" w:lineRule="auto"/>
        <w:rPr>
          <w:sz w:val="20"/>
          <w:szCs w:val="20"/>
          <w:color w:val="auto"/>
        </w:rPr>
      </w:pPr>
      <w:r>
        <w:rPr>
          <w:rFonts w:ascii="Arial" w:cs="Arial" w:eastAsia="Arial" w:hAnsi="Arial"/>
          <w:sz w:val="18"/>
          <w:szCs w:val="18"/>
          <w:color w:val="auto"/>
        </w:rPr>
        <w:t>For the ESOP portion of the plan, the funding policy is to make annual contributions pursuant to a formula and to make matching contributions. The formula contribution is made by the Company and equals 1.5% of total participant compensation earned during the plan year. The formula contribution is allocated to participants based on the participants’ compensation earned during the plan year as a percentage of total plan year compensation.</w:t>
      </w:r>
    </w:p>
    <w:p>
      <w:pPr>
        <w:spacing w:after="0" w:line="175" w:lineRule="exact"/>
        <w:rPr>
          <w:sz w:val="20"/>
          <w:szCs w:val="20"/>
          <w:color w:val="auto"/>
        </w:rPr>
      </w:pPr>
    </w:p>
    <w:p>
      <w:pPr>
        <w:ind w:left="580" w:right="60"/>
        <w:spacing w:after="0" w:line="231" w:lineRule="auto"/>
        <w:rPr>
          <w:sz w:val="20"/>
          <w:szCs w:val="20"/>
          <w:color w:val="auto"/>
        </w:rPr>
      </w:pPr>
      <w:r>
        <w:rPr>
          <w:rFonts w:ascii="Arial" w:cs="Arial" w:eastAsia="Arial" w:hAnsi="Arial"/>
          <w:sz w:val="18"/>
          <w:szCs w:val="18"/>
          <w:color w:val="auto"/>
        </w:rPr>
        <w:t>For the profit sharing portion of the Plan, the funding policy is to make annual investment fund contributions to the Plan in amounts determined by a formula set forth in the Plan. The contribution formula is based on 5.5% of the participants’ total compensation earned during the plan year plus 5.5% of the participants’ compensation above the Social Security taxable wage base as of the beginning of the plan year. Investment income is allocated based on participants’ account balances.</w:t>
      </w:r>
    </w:p>
    <w:p>
      <w:pPr>
        <w:spacing w:after="0" w:line="175" w:lineRule="exact"/>
        <w:rPr>
          <w:sz w:val="20"/>
          <w:szCs w:val="20"/>
          <w:color w:val="auto"/>
        </w:rPr>
      </w:pPr>
    </w:p>
    <w:p>
      <w:pPr>
        <w:ind w:left="580" w:right="240"/>
        <w:spacing w:after="0" w:line="231" w:lineRule="auto"/>
        <w:rPr>
          <w:sz w:val="20"/>
          <w:szCs w:val="20"/>
          <w:color w:val="auto"/>
        </w:rPr>
      </w:pPr>
      <w:r>
        <w:rPr>
          <w:rFonts w:ascii="Arial" w:cs="Arial" w:eastAsia="Arial" w:hAnsi="Arial"/>
          <w:sz w:val="18"/>
          <w:szCs w:val="18"/>
          <w:color w:val="auto"/>
        </w:rPr>
        <w:t>Participant contributions are made to the profit sharing portion of the Plan. They consist of salary reduction elections under a 401(k) feature, voluntary after-tax contributions, and rollover funds from other qualified plans. The Company is required to make a matching contribution into the ESOP portion of the plan equal to 50% of the participants’ contributions to the Plan not to exceed 2% of the participants’ total compensation made. That contribution is invested in Company Common Stock.</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Transfers to/from other funds represent participant elected rollovers to/from plans of other employers or other transfers to/from other plans.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2005 and 2004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20" w:hanging="612"/>
        <w:spacing w:after="0"/>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43" w:lineRule="exact"/>
        <w:rPr>
          <w:sz w:val="20"/>
          <w:szCs w:val="20"/>
          <w:color w:val="auto"/>
        </w:rPr>
      </w:pPr>
    </w:p>
    <w:p>
      <w:pPr>
        <w:ind w:left="580"/>
        <w:spacing w:after="0" w:line="253" w:lineRule="auto"/>
        <w:rPr>
          <w:sz w:val="20"/>
          <w:szCs w:val="20"/>
          <w:color w:val="auto"/>
        </w:rPr>
      </w:pPr>
      <w:r>
        <w:rPr>
          <w:rFonts w:ascii="Arial" w:cs="Arial" w:eastAsia="Arial" w:hAnsi="Arial"/>
          <w:sz w:val="17"/>
          <w:szCs w:val="17"/>
          <w:color w:val="auto"/>
        </w:rPr>
        <w:t>JP Morgan Retirement Plan Services (Trustee of the Plan effective September 3, 2004), Putnam Fiduciary Trust Company (former Trustee of the Plan) and The Toro Company are parties-in-interest with respect to the Plan. In the opinion of the Plan’s legal counsel, certain transactions between the Plan, the Trustee, and the Company are exempt from being considered as “prohibited transactions” under ERISA Section 408(b).</w:t>
      </w:r>
    </w:p>
    <w:p>
      <w:pPr>
        <w:spacing w:after="0" w:line="161" w:lineRule="exact"/>
        <w:rPr>
          <w:sz w:val="20"/>
          <w:szCs w:val="20"/>
          <w:color w:val="auto"/>
        </w:rPr>
      </w:pPr>
    </w:p>
    <w:p>
      <w:pPr>
        <w:ind w:left="620" w:hanging="612"/>
        <w:spacing w:after="0"/>
        <w:tabs>
          <w:tab w:leader="none" w:pos="6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43" w:lineRule="exact"/>
        <w:rPr>
          <w:sz w:val="20"/>
          <w:szCs w:val="20"/>
          <w:color w:val="auto"/>
        </w:rPr>
      </w:pPr>
    </w:p>
    <w:p>
      <w:pPr>
        <w:jc w:val="both"/>
        <w:ind w:left="580" w:right="120"/>
        <w:spacing w:after="0" w:line="253" w:lineRule="auto"/>
        <w:rPr>
          <w:sz w:val="20"/>
          <w:szCs w:val="20"/>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61" w:lineRule="exact"/>
        <w:rPr>
          <w:sz w:val="20"/>
          <w:szCs w:val="20"/>
          <w:color w:val="auto"/>
        </w:rPr>
      </w:pPr>
    </w:p>
    <w:p>
      <w:pPr>
        <w:ind w:left="620" w:hanging="612"/>
        <w:spacing w:after="0"/>
        <w:tabs>
          <w:tab w:leader="none" w:pos="6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43" w:lineRule="exact"/>
        <w:rPr>
          <w:sz w:val="20"/>
          <w:szCs w:val="20"/>
          <w:color w:val="auto"/>
        </w:rPr>
      </w:pPr>
    </w:p>
    <w:p>
      <w:pPr>
        <w:ind w:left="580" w:right="60"/>
        <w:spacing w:after="0" w:line="231" w:lineRule="auto"/>
        <w:rPr>
          <w:sz w:val="20"/>
          <w:szCs w:val="20"/>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certain assets of the Plan are held together with assets of other plans sponsored by the Company in the Master Trust.</w:t>
      </w:r>
    </w:p>
    <w:p>
      <w:pPr>
        <w:spacing w:after="0" w:line="175" w:lineRule="exact"/>
        <w:rPr>
          <w:sz w:val="20"/>
          <w:szCs w:val="20"/>
          <w:color w:val="auto"/>
        </w:rPr>
      </w:pPr>
    </w:p>
    <w:p>
      <w:pPr>
        <w:ind w:left="580" w:right="440"/>
        <w:spacing w:after="0" w:line="246" w:lineRule="auto"/>
        <w:rPr>
          <w:sz w:val="20"/>
          <w:szCs w:val="20"/>
          <w:color w:val="auto"/>
        </w:rPr>
      </w:pPr>
      <w:r>
        <w:rPr>
          <w:rFonts w:ascii="Arial" w:cs="Arial" w:eastAsia="Arial" w:hAnsi="Arial"/>
          <w:sz w:val="18"/>
          <w:szCs w:val="18"/>
          <w:color w:val="auto"/>
        </w:rPr>
        <w:t>The net assets available for benefits of the Master Trust as of December 31, 2005 and 2004 were $80,018,240 and $76,765,065, respectively. All assets of the Master Trust were held in short-term investment funds.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changes in net assets available for benefits of the Master Trust for the years ended December 31, 2005 and 2004 were as follows:</w:t>
      </w:r>
    </w:p>
    <w:p>
      <w:pPr>
        <w:spacing w:after="0" w:line="190" w:lineRule="exact"/>
        <w:rPr>
          <w:sz w:val="20"/>
          <w:szCs w:val="20"/>
          <w:color w:val="auto"/>
        </w:rPr>
      </w:pPr>
    </w:p>
    <w:tbl>
      <w:tblPr>
        <w:tblLayout w:type="fixed"/>
        <w:tblInd w:w="148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r>
      <w:tr>
        <w:trPr>
          <w:trHeight w:val="129"/>
        </w:trPr>
        <w:tc>
          <w:tcPr>
            <w:tcW w:w="6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Realized gain on investments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342,341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7,570,260</w:t>
            </w: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Unrealized gain/(loss) on investments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2,861,851</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(4,702,956)</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Deposits by participating plans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19,104,981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54,088,643</w:t>
            </w: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Withdrawals by participating plans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(19,055,998)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(47,971,479)</w:t>
            </w:r>
          </w:p>
        </w:tc>
      </w:tr>
      <w:tr>
        <w:trPr>
          <w:trHeight w:val="210"/>
        </w:trPr>
        <w:tc>
          <w:tcPr>
            <w:tcW w:w="63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 in net assets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3,253,175</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8,984,468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of year</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76,765,065</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67,780,597</w:t>
            </w:r>
          </w:p>
        </w:tc>
        <w:tc>
          <w:tcPr>
            <w:tcW w:w="80" w:type="dxa"/>
            <w:vAlign w:val="bottom"/>
            <w:shd w:val="clear" w:color="auto" w:fill="CCEEFF"/>
          </w:tcPr>
          <w:p>
            <w:pPr>
              <w:spacing w:after="0"/>
              <w:rPr>
                <w:sz w:val="18"/>
                <w:szCs w:val="18"/>
                <w:color w:val="auto"/>
              </w:rPr>
            </w:pPr>
          </w:p>
        </w:tc>
      </w:tr>
      <w:tr>
        <w:trPr>
          <w:trHeight w:val="210"/>
        </w:trPr>
        <w:tc>
          <w:tcPr>
            <w:tcW w:w="6300" w:type="dxa"/>
            <w:vAlign w:val="bottom"/>
          </w:tcPr>
          <w:p>
            <w:pPr>
              <w:ind w:left="360"/>
              <w:spacing w:after="0"/>
              <w:rPr>
                <w:sz w:val="20"/>
                <w:szCs w:val="20"/>
                <w:color w:val="auto"/>
              </w:rPr>
            </w:pPr>
            <w:r>
              <w:rPr>
                <w:rFonts w:ascii="Arial" w:cs="Arial" w:eastAsia="Arial" w:hAnsi="Arial"/>
                <w:sz w:val="18"/>
                <w:szCs w:val="18"/>
                <w:color w:val="auto"/>
              </w:rPr>
              <w:t>End of year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80,018,240</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76,765,065</w:t>
            </w:r>
          </w:p>
        </w:tc>
        <w:tc>
          <w:tcPr>
            <w:tcW w:w="8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2" w:right="239" w:bottom="111"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11" w:gutter="0" w:footer="0" w:header="0"/>
          <w:type w:val="continuous"/>
        </w:sectPr>
      </w:pPr>
    </w:p>
    <w:bookmarkStart w:id="5" w:name="page6"/>
    <w:bookmarkEnd w:id="5"/>
    <w:p>
      <w:pPr>
        <w:jc w:val="center"/>
        <w:ind w:right="56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December 31, 2005 and 2004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investments represent more than 5% of the Plan’s net assets available for benefits as of December 31, 2005 and 2004:</w:t>
      </w:r>
    </w:p>
    <w:p>
      <w:pPr>
        <w:spacing w:after="0" w:line="190"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56,368,332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48,556,136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Vanguard Institutional Index</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31,062,763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27,337,545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American Century Large Company Value Fund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57,941,563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57,737,164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ICM Small Company</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25,006,040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25,310,277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Fidelity Diversified International Fund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34,135,926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25,000,869</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219,066,721</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215,455,478</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13893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**Party-in-interest, participant and nonparticipant directed investment.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During 2005 and 2004, the Plan’s investments (including gains and losses on investments bought and sold, as well as held during the year)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appreciated in value by $26,907,407 and $120,932,082, respectively,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384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Mutual funds</w:t>
            </w:r>
          </w:p>
        </w:tc>
        <w:tc>
          <w:tcPr>
            <w:tcW w:w="29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$ 11,270,293</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16,905,641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15,276,179</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103,805,571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Bond collective funds</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360,935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26,907,407</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120,932,082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900" w:type="dxa"/>
            <w:vAlign w:val="bottom"/>
            <w:vMerge w:val="restart"/>
          </w:tcPr>
          <w:p>
            <w:pPr>
              <w:jc w:val="right"/>
              <w:ind w:right="1934"/>
              <w:spacing w:after="0"/>
              <w:rPr>
                <w:sz w:val="20"/>
                <w:szCs w:val="20"/>
                <w:color w:val="auto"/>
              </w:rPr>
            </w:pPr>
            <w:r>
              <w:rPr>
                <w:rFonts w:ascii="Arial" w:cs="Arial" w:eastAsia="Arial" w:hAnsi="Arial"/>
                <w:sz w:val="18"/>
                <w:szCs w:val="18"/>
                <w:color w:val="auto"/>
              </w:rPr>
              <w:t>8</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3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220980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December 31, 2005 and 2004</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Information about the net assets and the significant components of the changes in net assets relating to the investment in The Toro Company Common Stock is as follows:</w:t>
      </w:r>
    </w:p>
    <w:p>
      <w:pPr>
        <w:spacing w:after="0" w:line="200" w:lineRule="exact"/>
        <w:rPr>
          <w:sz w:val="20"/>
          <w:szCs w:val="20"/>
          <w:color w:val="auto"/>
        </w:rPr>
      </w:pPr>
    </w:p>
    <w:p>
      <w:pPr>
        <w:spacing w:after="0" w:line="37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Participant</w:t>
            </w: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participant</w:t>
            </w: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directed</w:t>
            </w:r>
          </w:p>
        </w:tc>
        <w:tc>
          <w:tcPr>
            <w:tcW w:w="11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directed</w:t>
            </w:r>
          </w:p>
        </w:tc>
        <w:tc>
          <w:tcPr>
            <w:tcW w:w="0" w:type="dxa"/>
            <w:vAlign w:val="bottom"/>
          </w:tcPr>
          <w:p>
            <w:pPr>
              <w:spacing w:after="0"/>
              <w:rPr>
                <w:sz w:val="1"/>
                <w:szCs w:val="1"/>
                <w:color w:val="auto"/>
              </w:rPr>
            </w:pPr>
          </w:p>
        </w:tc>
      </w:tr>
      <w:tr>
        <w:trPr>
          <w:trHeight w:val="162"/>
        </w:trPr>
        <w:tc>
          <w:tcPr>
            <w:tcW w:w="46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2005</w:t>
            </w: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80" w:type="dxa"/>
            <w:vAlign w:val="bottom"/>
          </w:tcPr>
          <w:p>
            <w:pPr>
              <w:ind w:left="180"/>
              <w:spacing w:after="0"/>
              <w:rPr>
                <w:sz w:val="20"/>
                <w:szCs w:val="20"/>
                <w:color w:val="auto"/>
              </w:rPr>
            </w:pPr>
            <w:r>
              <w:rPr>
                <w:rFonts w:ascii="Arial" w:cs="Arial" w:eastAsia="Arial" w:hAnsi="Arial"/>
                <w:sz w:val="18"/>
                <w:szCs w:val="18"/>
                <w:color w:val="auto"/>
              </w:rPr>
              <w:t>The Toro Company Common Stock</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219,066,721</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133,978,093</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85,088,628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6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Investment income:</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1,266,548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774,479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Net realized/unrealized gain in the fair value of investments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15,280,857</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9,413,770</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5,867,087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360"/>
              <w:spacing w:after="0"/>
              <w:rPr>
                <w:sz w:val="20"/>
                <w:szCs w:val="20"/>
                <w:color w:val="auto"/>
              </w:rPr>
            </w:pPr>
            <w:r>
              <w:rPr>
                <w:rFonts w:ascii="Arial" w:cs="Arial" w:eastAsia="Arial" w:hAnsi="Arial"/>
                <w:sz w:val="18"/>
                <w:szCs w:val="18"/>
                <w:color w:val="auto"/>
              </w:rPr>
              <w:t>Net investment income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16,547,405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10,188,249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6,359,156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contributions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7,264,491</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5,244,508</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Benefit payments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(8,459,051)</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(4,921,641)</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(3,537,410)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Transfers to/from other funds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(11,741,602)</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(9,042,308)</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(2,699,294)</w:t>
            </w:r>
          </w:p>
        </w:tc>
        <w:tc>
          <w:tcPr>
            <w:tcW w:w="0" w:type="dxa"/>
            <w:vAlign w:val="bottom"/>
          </w:tcPr>
          <w:p>
            <w:pPr>
              <w:spacing w:after="0"/>
              <w:rPr>
                <w:sz w:val="1"/>
                <w:szCs w:val="1"/>
                <w:color w:val="auto"/>
              </w:rPr>
            </w:pPr>
          </w:p>
        </w:tc>
      </w:tr>
      <w:tr>
        <w:trPr>
          <w:trHeight w:val="210"/>
        </w:trPr>
        <w:tc>
          <w:tcPr>
            <w:tcW w:w="4680" w:type="dxa"/>
            <w:vAlign w:val="bottom"/>
          </w:tcPr>
          <w:p>
            <w:pPr>
              <w:ind w:left="360"/>
              <w:spacing w:after="0"/>
              <w:rPr>
                <w:sz w:val="20"/>
                <w:szCs w:val="20"/>
                <w:color w:val="auto"/>
              </w:rPr>
            </w:pPr>
            <w:r>
              <w:rPr>
                <w:rFonts w:ascii="Arial" w:cs="Arial" w:eastAsia="Arial" w:hAnsi="Arial"/>
                <w:sz w:val="18"/>
                <w:szCs w:val="18"/>
                <w:color w:val="auto"/>
              </w:rPr>
              <w:t>Increase in net assets available for benefits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3,611,243</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1,468,808</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2,142,435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Beginning of year</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215,455,478</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132,509,285</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82,946,193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End of year</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219,066,721</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133,978,093</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85,088,628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58"/>
        </w:trPr>
        <w:tc>
          <w:tcPr>
            <w:tcW w:w="4680" w:type="dxa"/>
            <w:vAlign w:val="bottom"/>
          </w:tcPr>
          <w:p>
            <w:pPr>
              <w:ind w:left="42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220980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AND EMPLOYEE STOCK OWNERSHIP PLAN</w:t>
      </w:r>
    </w:p>
    <w:p>
      <w:pPr>
        <w:sectPr>
          <w:pgSz w:w="11900" w:h="16838" w:orient="portrait"/>
          <w:cols w:equalWidth="0" w:num="1">
            <w:col w:w="10820"/>
          </w:cols>
          <w:pgMar w:left="820" w:top="364" w:right="259" w:bottom="0" w:gutter="0" w:footer="0" w:header="0"/>
        </w:sectPr>
      </w:pPr>
    </w:p>
    <w:bookmarkStart w:id="6" w:name="page7"/>
    <w:bookmarkEnd w:id="6"/>
    <w:p>
      <w:pPr>
        <w:jc w:val="center"/>
        <w:ind w:right="-71"/>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December 31, 2005 and 2004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452"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Participant</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participant</w:t>
            </w: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directed</w:t>
            </w:r>
          </w:p>
        </w:tc>
        <w:tc>
          <w:tcPr>
            <w:tcW w:w="11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directed</w:t>
            </w:r>
          </w:p>
        </w:tc>
        <w:tc>
          <w:tcPr>
            <w:tcW w:w="0" w:type="dxa"/>
            <w:vAlign w:val="bottom"/>
          </w:tcPr>
          <w:p>
            <w:pPr>
              <w:spacing w:after="0"/>
              <w:rPr>
                <w:sz w:val="1"/>
                <w:szCs w:val="1"/>
                <w:color w:val="auto"/>
              </w:rPr>
            </w:pPr>
          </w:p>
        </w:tc>
      </w:tr>
      <w:tr>
        <w:trPr>
          <w:trHeight w:val="162"/>
        </w:trPr>
        <w:tc>
          <w:tcPr>
            <w:tcW w:w="4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2004</w:t>
            </w:r>
          </w:p>
        </w:tc>
        <w:tc>
          <w:tcPr>
            <w:tcW w:w="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assets: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60" w:type="dxa"/>
            <w:vAlign w:val="bottom"/>
          </w:tcPr>
          <w:p>
            <w:pPr>
              <w:ind w:left="180"/>
              <w:spacing w:after="0"/>
              <w:rPr>
                <w:sz w:val="20"/>
                <w:szCs w:val="20"/>
                <w:color w:val="auto"/>
              </w:rPr>
            </w:pPr>
            <w:r>
              <w:rPr>
                <w:rFonts w:ascii="Arial" w:cs="Arial" w:eastAsia="Arial" w:hAnsi="Arial"/>
                <w:sz w:val="18"/>
                <w:szCs w:val="18"/>
                <w:color w:val="auto"/>
              </w:rPr>
              <w:t>The Toro Company Common Stock</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215,455,478</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132,509,285</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82,946,193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6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Investment income:</w:t>
            </w: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728,610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330,995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Net realized/unrealized gain in thefair value of investments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103,805,570</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51,133,136</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52,672,434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ind w:left="36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104,534,180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51,464,131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53,070,049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contributions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6,447,971</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4,982,054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Benefit payments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(10,375,075)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(4,238,815)</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(6,136,260)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Transfers to/from other funds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(36,325,665)</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(27,614,695)</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(8,710,970)</w:t>
            </w:r>
          </w:p>
        </w:tc>
        <w:tc>
          <w:tcPr>
            <w:tcW w:w="0" w:type="dxa"/>
            <w:vAlign w:val="bottom"/>
          </w:tcPr>
          <w:p>
            <w:pPr>
              <w:spacing w:after="0"/>
              <w:rPr>
                <w:sz w:val="1"/>
                <w:szCs w:val="1"/>
                <w:color w:val="auto"/>
              </w:rPr>
            </w:pPr>
          </w:p>
        </w:tc>
      </w:tr>
      <w:tr>
        <w:trPr>
          <w:trHeight w:val="210"/>
        </w:trPr>
        <w:tc>
          <w:tcPr>
            <w:tcW w:w="4660" w:type="dxa"/>
            <w:vAlign w:val="bottom"/>
          </w:tcPr>
          <w:p>
            <w:pPr>
              <w:ind w:left="360"/>
              <w:spacing w:after="0"/>
              <w:rPr>
                <w:sz w:val="20"/>
                <w:szCs w:val="20"/>
                <w:color w:val="auto"/>
              </w:rPr>
            </w:pPr>
            <w:r>
              <w:rPr>
                <w:rFonts w:ascii="Arial" w:cs="Arial" w:eastAsia="Arial" w:hAnsi="Arial"/>
                <w:sz w:val="18"/>
                <w:szCs w:val="18"/>
                <w:color w:val="auto"/>
              </w:rPr>
              <w:t>Increase in net assetsavailable for benefits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64,281,411</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24,592,675</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39,688,736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Beginning of year</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151,174,067</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107,916,610</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43,257,457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 of year</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215,455,478</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132,509,285</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82,946,193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612" w:hanging="612"/>
        <w:spacing w:after="0"/>
        <w:tabs>
          <w:tab w:leader="none" w:pos="61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43" w:lineRule="exact"/>
        <w:rPr>
          <w:sz w:val="20"/>
          <w:szCs w:val="20"/>
          <w:color w:val="auto"/>
        </w:rPr>
      </w:pPr>
    </w:p>
    <w:p>
      <w:pPr>
        <w:ind w:left="572"/>
        <w:spacing w:after="0" w:line="242" w:lineRule="auto"/>
        <w:rPr>
          <w:sz w:val="20"/>
          <w:szCs w:val="20"/>
          <w:color w:val="auto"/>
        </w:rPr>
      </w:pPr>
      <w:r>
        <w:rPr>
          <w:rFonts w:ascii="Arial" w:cs="Arial" w:eastAsia="Arial" w:hAnsi="Arial"/>
          <w:sz w:val="17"/>
          <w:szCs w:val="17"/>
          <w:color w:val="auto"/>
        </w:rPr>
        <w:t>The Plan Administrator has received a determination letter from the Internal Revenue Service, dated October 23, 2002, stating that the Plan is qualified under Section 401(a) of the Internal Revenue Code (the Code), and that the trust created under the Plan is exempt from federal income taxes under Section 501(a) of the Code. The Plan has been amended since the date of this letter, however the Plan Administrator believes that the Plan and its related trust continue to qualify under the provisions of Sections 401(a) and 501(a) of the Code and are exempt from federal income taxes. Therefore, no provision for income taxes has been included in the Plan’s financial statements.</w:t>
      </w:r>
    </w:p>
    <w:p>
      <w:pPr>
        <w:spacing w:after="0" w:line="172" w:lineRule="exact"/>
        <w:rPr>
          <w:sz w:val="20"/>
          <w:szCs w:val="20"/>
          <w:color w:val="auto"/>
        </w:rPr>
      </w:pPr>
    </w:p>
    <w:p>
      <w:pPr>
        <w:ind w:left="572" w:hanging="504"/>
        <w:spacing w:after="0"/>
        <w:tabs>
          <w:tab w:leader="none" w:pos="57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w:t>
      </w:r>
    </w:p>
    <w:p>
      <w:pPr>
        <w:spacing w:after="0" w:line="242" w:lineRule="exact"/>
        <w:rPr>
          <w:rFonts w:ascii="Arial" w:cs="Arial" w:eastAsia="Arial" w:hAnsi="Arial"/>
          <w:sz w:val="18"/>
          <w:szCs w:val="18"/>
          <w:b w:val="1"/>
          <w:bCs w:val="1"/>
          <w:color w:val="auto"/>
        </w:rPr>
      </w:pPr>
    </w:p>
    <w:p>
      <w:pPr>
        <w:ind w:left="572" w:right="18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The Plan’s investments are held by JP Morgan Retirement Plan Services (Trustee of the Plan effective September 3, 2004) and Putnam Fiduciary Trust Company (former Trustee of the Plan). Some of the investment funds available to participants also include mutual funds managed by Putnam Investments and JP Morgan.</w:t>
      </w:r>
    </w:p>
    <w:p>
      <w:pPr>
        <w:spacing w:after="0" w:line="200" w:lineRule="exact"/>
        <w:rPr>
          <w:sz w:val="20"/>
          <w:szCs w:val="20"/>
          <w:color w:val="auto"/>
        </w:rPr>
      </w:pPr>
    </w:p>
    <w:p>
      <w:pPr>
        <w:spacing w:after="0" w:line="20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December 31, 2005 and 2004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72" w:hanging="572"/>
        <w:spacing w:after="0"/>
        <w:tabs>
          <w:tab w:leader="none" w:pos="57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Differences Between these Financial Statements and the Financial Information Required on Form 5500:</w:t>
      </w:r>
    </w:p>
    <w:p>
      <w:pPr>
        <w:sectPr>
          <w:pgSz w:w="11900" w:h="16838" w:orient="portrait"/>
          <w:cols w:equalWidth="0" w:num="1">
            <w:col w:w="11352"/>
          </w:cols>
          <w:pgMar w:left="248" w:top="125" w:right="299" w:bottom="406" w:gutter="0" w:footer="0" w:header="0"/>
        </w:sectPr>
      </w:pPr>
    </w:p>
    <w:p>
      <w:pPr>
        <w:spacing w:after="0" w:line="200" w:lineRule="exact"/>
        <w:rPr>
          <w:sz w:val="20"/>
          <w:szCs w:val="20"/>
          <w:color w:val="auto"/>
        </w:rPr>
      </w:pPr>
    </w:p>
    <w:p>
      <w:pPr>
        <w:spacing w:after="0" w:line="299" w:lineRule="exact"/>
        <w:rPr>
          <w:sz w:val="20"/>
          <w:szCs w:val="20"/>
          <w:color w:val="auto"/>
        </w:rPr>
      </w:pPr>
    </w:p>
    <w:p>
      <w:pPr>
        <w:ind w:left="1472" w:right="1300"/>
        <w:spacing w:after="0" w:line="266" w:lineRule="auto"/>
        <w:rPr>
          <w:sz w:val="20"/>
          <w:szCs w:val="20"/>
          <w:color w:val="auto"/>
        </w:rPr>
      </w:pPr>
      <w:r>
        <w:rPr>
          <w:rFonts w:ascii="Arial" w:cs="Arial" w:eastAsia="Arial" w:hAnsi="Arial"/>
          <w:sz w:val="18"/>
          <w:szCs w:val="18"/>
          <w:color w:val="auto"/>
        </w:rPr>
        <w:t>Net assets available for benefits as presented in these financial statements Adjustment for employer contribution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-281305</wp:posOffset>
            </wp:positionV>
            <wp:extent cx="536829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368290" cy="146050"/>
                    </a:xfrm>
                    <a:prstGeom prst="rect">
                      <a:avLst/>
                    </a:prstGeom>
                    <a:noFill/>
                  </pic:spPr>
                </pic:pic>
              </a:graphicData>
            </a:graphic>
          </wp:anchor>
        </w:drawing>
      </w:r>
    </w:p>
    <w:p>
      <w:pPr>
        <w:ind w:left="1472"/>
        <w:spacing w:after="0"/>
        <w:rPr>
          <w:sz w:val="20"/>
          <w:szCs w:val="20"/>
          <w:color w:val="auto"/>
        </w:rPr>
      </w:pPr>
      <w:r>
        <w:rPr>
          <w:rFonts w:ascii="Arial" w:cs="Arial" w:eastAsia="Arial" w:hAnsi="Arial"/>
          <w:sz w:val="18"/>
          <w:szCs w:val="18"/>
          <w:color w:val="auto"/>
        </w:rPr>
        <w:t>Adjustment for employee contribution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-130810</wp:posOffset>
            </wp:positionV>
            <wp:extent cx="536829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368290" cy="137160"/>
                    </a:xfrm>
                    <a:prstGeom prst="rect">
                      <a:avLst/>
                    </a:prstGeom>
                    <a:noFill/>
                  </pic:spPr>
                </pic:pic>
              </a:graphicData>
            </a:graphic>
          </wp:anchor>
        </w:drawing>
      </w:r>
    </w:p>
    <w:p>
      <w:pPr>
        <w:ind w:left="1472"/>
        <w:spacing w:after="0"/>
        <w:rPr>
          <w:sz w:val="20"/>
          <w:szCs w:val="20"/>
          <w:color w:val="auto"/>
        </w:rPr>
      </w:pPr>
      <w:r>
        <w:rPr>
          <w:rFonts w:ascii="Arial" w:cs="Arial" w:eastAsia="Arial" w:hAnsi="Arial"/>
          <w:sz w:val="18"/>
          <w:szCs w:val="18"/>
          <w:color w:val="auto"/>
        </w:rPr>
        <w:t>Net assets available for benefits as presented on Form 5500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72" w:right="220"/>
        <w:spacing w:after="0" w:line="282" w:lineRule="auto"/>
        <w:rPr>
          <w:sz w:val="20"/>
          <w:szCs w:val="20"/>
          <w:color w:val="auto"/>
        </w:rPr>
      </w:pPr>
      <w:r>
        <w:rPr>
          <w:rFonts w:ascii="Arial" w:cs="Arial" w:eastAsia="Arial" w:hAnsi="Arial"/>
          <w:sz w:val="17"/>
          <w:szCs w:val="17"/>
          <w:color w:val="auto"/>
        </w:rPr>
        <w:t>Net increase in net assets available for benefits as presented in these financial statements Adjustment for employer contribution receivable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-281940</wp:posOffset>
            </wp:positionV>
            <wp:extent cx="536829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368290" cy="146050"/>
                    </a:xfrm>
                    <a:prstGeom prst="rect">
                      <a:avLst/>
                    </a:prstGeom>
                    <a:noFill/>
                  </pic:spPr>
                </pic:pic>
              </a:graphicData>
            </a:graphic>
          </wp:anchor>
        </w:drawing>
      </w:r>
    </w:p>
    <w:p>
      <w:pPr>
        <w:ind w:left="1472"/>
        <w:spacing w:after="0"/>
        <w:rPr>
          <w:sz w:val="20"/>
          <w:szCs w:val="20"/>
          <w:color w:val="auto"/>
        </w:rPr>
      </w:pPr>
      <w:r>
        <w:rPr>
          <w:rFonts w:ascii="Arial" w:cs="Arial" w:eastAsia="Arial" w:hAnsi="Arial"/>
          <w:sz w:val="18"/>
          <w:szCs w:val="18"/>
          <w:color w:val="auto"/>
        </w:rPr>
        <w:t>Adjustment for employee contribution receivable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-130810</wp:posOffset>
            </wp:positionV>
            <wp:extent cx="536829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368290" cy="137160"/>
                    </a:xfrm>
                    <a:prstGeom prst="rect">
                      <a:avLst/>
                    </a:prstGeom>
                    <a:noFill/>
                  </pic:spPr>
                </pic:pic>
              </a:graphicData>
            </a:graphic>
          </wp:anchor>
        </w:drawing>
      </w:r>
    </w:p>
    <w:p>
      <w:pPr>
        <w:ind w:left="1472"/>
        <w:spacing w:after="0"/>
        <w:rPr>
          <w:sz w:val="20"/>
          <w:szCs w:val="20"/>
          <w:color w:val="auto"/>
        </w:rPr>
      </w:pPr>
      <w:r>
        <w:rPr>
          <w:rFonts w:ascii="Arial" w:cs="Arial" w:eastAsia="Arial" w:hAnsi="Arial"/>
          <w:sz w:val="18"/>
          <w:szCs w:val="18"/>
          <w:color w:val="auto"/>
        </w:rPr>
        <w:t>Adjustment for employer contribution receivable at December 31, 2004</w:t>
      </w:r>
    </w:p>
    <w:p>
      <w:pPr>
        <w:spacing w:after="0" w:line="9" w:lineRule="exact"/>
        <w:rPr>
          <w:sz w:val="20"/>
          <w:szCs w:val="20"/>
          <w:color w:val="auto"/>
        </w:rPr>
      </w:pPr>
    </w:p>
    <w:p>
      <w:pPr>
        <w:ind w:left="1472"/>
        <w:spacing w:after="0"/>
        <w:rPr>
          <w:sz w:val="20"/>
          <w:szCs w:val="20"/>
          <w:color w:val="auto"/>
        </w:rPr>
      </w:pPr>
      <w:r>
        <w:rPr>
          <w:rFonts w:ascii="Arial" w:cs="Arial" w:eastAsia="Arial" w:hAnsi="Arial"/>
          <w:sz w:val="18"/>
          <w:szCs w:val="18"/>
          <w:color w:val="auto"/>
        </w:rPr>
        <w:t>Adjustment for employee contribution receivable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-130810</wp:posOffset>
            </wp:positionV>
            <wp:extent cx="536829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368290" cy="137160"/>
                    </a:xfrm>
                    <a:prstGeom prst="rect">
                      <a:avLst/>
                    </a:prstGeom>
                    <a:noFill/>
                  </pic:spPr>
                </pic:pic>
              </a:graphicData>
            </a:graphic>
          </wp:anchor>
        </w:drawing>
      </w:r>
    </w:p>
    <w:p>
      <w:pPr>
        <w:ind w:left="1472"/>
        <w:spacing w:after="0"/>
        <w:rPr>
          <w:sz w:val="20"/>
          <w:szCs w:val="20"/>
          <w:color w:val="auto"/>
        </w:rPr>
      </w:pPr>
      <w:r>
        <w:rPr>
          <w:rFonts w:ascii="Arial" w:cs="Arial" w:eastAsia="Arial" w:hAnsi="Arial"/>
          <w:sz w:val="18"/>
          <w:szCs w:val="18"/>
          <w:color w:val="auto"/>
        </w:rPr>
        <w:t>Net increase in net assets available for benefits as presented on Form 5500</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520"/>
        <w:spacing w:after="0"/>
        <w:rPr>
          <w:sz w:val="20"/>
          <w:szCs w:val="20"/>
          <w:color w:val="auto"/>
        </w:rPr>
      </w:pPr>
      <w:r>
        <w:rPr>
          <w:rFonts w:ascii="Arial" w:cs="Arial" w:eastAsia="Arial" w:hAnsi="Arial"/>
          <w:sz w:val="14"/>
          <w:szCs w:val="14"/>
          <w:b w:val="1"/>
          <w:bCs w:val="1"/>
          <w:color w:val="auto"/>
        </w:rPr>
        <w:t>December 31,</w:t>
      </w:r>
    </w:p>
    <w:p>
      <w:pPr>
        <w:jc w:val="center"/>
        <w:ind w:right="1520"/>
        <w:spacing w:after="0"/>
        <w:rPr>
          <w:sz w:val="20"/>
          <w:szCs w:val="20"/>
          <w:color w:val="auto"/>
        </w:rPr>
      </w:pPr>
      <w:r>
        <w:rPr>
          <w:rFonts w:ascii="Arial" w:cs="Arial" w:eastAsia="Arial" w:hAnsi="Arial"/>
          <w:sz w:val="14"/>
          <w:szCs w:val="14"/>
          <w:b w:val="1"/>
          <w:bCs w:val="1"/>
          <w:color w:val="auto"/>
        </w:rPr>
        <w:t>2005</w:t>
      </w:r>
    </w:p>
    <w:p>
      <w:pPr>
        <w:spacing w:after="0" w:line="9" w:lineRule="exact"/>
        <w:rPr>
          <w:sz w:val="20"/>
          <w:szCs w:val="20"/>
          <w:color w:val="auto"/>
        </w:rPr>
      </w:pPr>
    </w:p>
    <w:p>
      <w:pPr>
        <w:ind w:left="140" w:hanging="133"/>
        <w:spacing w:after="0"/>
        <w:tabs>
          <w:tab w:leader="none" w:pos="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556,571,031</w:t>
      </w:r>
    </w:p>
    <w:p>
      <w:pPr>
        <w:spacing w:after="0" w:line="19"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6"/>
          <w:szCs w:val="16"/>
          <w:color w:val="auto"/>
        </w:rPr>
        <w:t>(12,963)</w:t>
      </w:r>
    </w:p>
    <w:p>
      <w:pPr>
        <w:spacing w:after="0" w:line="32"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6"/>
          <w:szCs w:val="16"/>
          <w:color w:val="auto"/>
        </w:rPr>
        <w:t>(44,272)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$ 556,513,796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660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-123190</wp:posOffset>
            </wp:positionV>
            <wp:extent cx="660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right="1480"/>
        <w:spacing w:after="0"/>
        <w:rPr>
          <w:sz w:val="20"/>
          <w:szCs w:val="20"/>
          <w:color w:val="auto"/>
        </w:rPr>
      </w:pPr>
      <w:r>
        <w:rPr>
          <w:rFonts w:ascii="Arial" w:cs="Arial" w:eastAsia="Arial" w:hAnsi="Arial"/>
          <w:sz w:val="14"/>
          <w:szCs w:val="14"/>
          <w:b w:val="1"/>
          <w:bCs w:val="1"/>
          <w:color w:val="auto"/>
        </w:rPr>
        <w:t>Year Ended</w:t>
      </w:r>
    </w:p>
    <w:p>
      <w:pPr>
        <w:jc w:val="center"/>
        <w:ind w:right="1480"/>
        <w:spacing w:after="0" w:line="201" w:lineRule="auto"/>
        <w:rPr>
          <w:sz w:val="20"/>
          <w:szCs w:val="20"/>
          <w:color w:val="auto"/>
        </w:rPr>
      </w:pPr>
      <w:r>
        <w:rPr>
          <w:rFonts w:ascii="Arial" w:cs="Arial" w:eastAsia="Arial" w:hAnsi="Arial"/>
          <w:sz w:val="14"/>
          <w:szCs w:val="14"/>
          <w:b w:val="1"/>
          <w:bCs w:val="1"/>
          <w:color w:val="auto"/>
        </w:rPr>
        <w:t>December 31,</w:t>
      </w:r>
    </w:p>
    <w:p>
      <w:pPr>
        <w:jc w:val="center"/>
        <w:ind w:right="1480"/>
        <w:spacing w:after="0"/>
        <w:rPr>
          <w:sz w:val="20"/>
          <w:szCs w:val="20"/>
          <w:color w:val="auto"/>
        </w:rPr>
      </w:pPr>
      <w:r>
        <w:rPr>
          <w:rFonts w:ascii="Arial" w:cs="Arial" w:eastAsia="Arial" w:hAnsi="Arial"/>
          <w:sz w:val="14"/>
          <w:szCs w:val="14"/>
          <w:b w:val="1"/>
          <w:bCs w:val="1"/>
          <w:color w:val="auto"/>
        </w:rPr>
        <w:t>2005</w:t>
      </w:r>
    </w:p>
    <w:p>
      <w:pPr>
        <w:spacing w:after="0" w:line="9" w:lineRule="exact"/>
        <w:rPr>
          <w:sz w:val="20"/>
          <w:szCs w:val="20"/>
          <w:color w:val="auto"/>
        </w:rPr>
      </w:pPr>
    </w:p>
    <w:p>
      <w:pPr>
        <w:ind w:left="220" w:hanging="159"/>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40,607,982</w:t>
      </w:r>
    </w:p>
    <w:p>
      <w:pPr>
        <w:spacing w:after="0" w:line="19"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6"/>
          <w:szCs w:val="16"/>
          <w:color w:val="auto"/>
        </w:rPr>
        <w:t>(12,963)</w:t>
      </w:r>
    </w:p>
    <w:p>
      <w:pPr>
        <w:spacing w:after="0" w:line="32"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6"/>
          <w:szCs w:val="16"/>
          <w:color w:val="auto"/>
        </w:rPr>
        <w:t>(44,272)</w:t>
      </w:r>
    </w:p>
    <w:p>
      <w:pPr>
        <w:spacing w:after="0" w:line="32"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11,312</w:t>
      </w:r>
    </w:p>
    <w:p>
      <w:pPr>
        <w:spacing w:after="0" w:line="9"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40,883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auto"/>
        </w:rPr>
        <w:t>$ 40,602,942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-123190</wp:posOffset>
            </wp:positionV>
            <wp:extent cx="6261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072" w:space="720"/>
            <w:col w:w="2560"/>
          </w:cols>
          <w:pgMar w:left="248" w:top="125" w:right="299" w:bottom="406"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51"/>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250190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52"/>
          </w:cols>
          <w:pgMar w:left="248" w:top="125" w:right="299" w:bottom="406"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THE TORO COMPANY INVESTMENT, SAVINGS,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2005 and 2004</w:t>
      </w:r>
    </w:p>
    <w:p>
      <w:pPr>
        <w:sectPr>
          <w:pgSz w:w="11900" w:h="16838" w:orient="portrait"/>
          <w:cols w:equalWidth="0" w:num="1">
            <w:col w:w="11420"/>
          </w:cols>
          <w:pgMar w:left="240" w:top="121" w:right="239" w:bottom="10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480" w:right="1300"/>
        <w:spacing w:after="0" w:line="266" w:lineRule="auto"/>
        <w:rPr>
          <w:sz w:val="20"/>
          <w:szCs w:val="20"/>
          <w:color w:val="auto"/>
        </w:rPr>
      </w:pPr>
      <w:r>
        <w:rPr>
          <w:rFonts w:ascii="Arial" w:cs="Arial" w:eastAsia="Arial" w:hAnsi="Arial"/>
          <w:sz w:val="18"/>
          <w:szCs w:val="18"/>
          <w:color w:val="auto"/>
        </w:rPr>
        <w:t>Net assets available for benefits as presented in these financial statements Adjustment for employer contribution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-281305</wp:posOffset>
            </wp:positionV>
            <wp:extent cx="536829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5368290" cy="14605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8"/>
          <w:szCs w:val="18"/>
          <w:color w:val="auto"/>
        </w:rPr>
        <w:t>Adjustment for employee contribution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-130810</wp:posOffset>
            </wp:positionV>
            <wp:extent cx="536829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5368290" cy="13716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8"/>
          <w:szCs w:val="18"/>
          <w:color w:val="auto"/>
        </w:rPr>
        <w:t>Net assets available for benefits as presented on Form 5500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80" w:right="220"/>
        <w:spacing w:after="0" w:line="282" w:lineRule="auto"/>
        <w:rPr>
          <w:sz w:val="20"/>
          <w:szCs w:val="20"/>
          <w:color w:val="auto"/>
        </w:rPr>
      </w:pPr>
      <w:r>
        <w:rPr>
          <w:rFonts w:ascii="Arial" w:cs="Arial" w:eastAsia="Arial" w:hAnsi="Arial"/>
          <w:sz w:val="17"/>
          <w:szCs w:val="17"/>
          <w:color w:val="auto"/>
        </w:rPr>
        <w:t>Net increase in net assets available for benefits as presented in these financial statements Adjustment for employer contribution receivable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-281940</wp:posOffset>
            </wp:positionV>
            <wp:extent cx="536829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5368290" cy="14605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8"/>
          <w:szCs w:val="18"/>
          <w:color w:val="auto"/>
        </w:rPr>
        <w:t>Adjustment for employee contribution receivable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-130810</wp:posOffset>
            </wp:positionV>
            <wp:extent cx="536829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5368290" cy="13716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8"/>
          <w:szCs w:val="18"/>
          <w:color w:val="auto"/>
        </w:rPr>
        <w:t>Adjustment for employer contribution receivable at December 31, 2003</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Adjustment for employee contribution receivable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-130810</wp:posOffset>
            </wp:positionV>
            <wp:extent cx="536829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368290" cy="13716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8"/>
          <w:szCs w:val="18"/>
          <w:color w:val="auto"/>
        </w:rPr>
        <w:t>Net increase in net assets available for benefits as presented on Form 5500</w:t>
      </w:r>
    </w:p>
    <w:p>
      <w:pPr>
        <w:spacing w:after="0" w:line="200" w:lineRule="exact"/>
        <w:rPr>
          <w:sz w:val="20"/>
          <w:szCs w:val="20"/>
          <w:color w:val="auto"/>
        </w:rPr>
      </w:pPr>
    </w:p>
    <w:p>
      <w:pPr>
        <w:spacing w:after="0" w:line="3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80"/>
        <w:spacing w:after="0"/>
        <w:rPr>
          <w:sz w:val="20"/>
          <w:szCs w:val="20"/>
          <w:color w:val="auto"/>
        </w:rPr>
      </w:pPr>
      <w:r>
        <w:rPr>
          <w:rFonts w:ascii="Arial" w:cs="Arial" w:eastAsia="Arial" w:hAnsi="Arial"/>
          <w:sz w:val="14"/>
          <w:szCs w:val="14"/>
          <w:b w:val="1"/>
          <w:bCs w:val="1"/>
          <w:color w:val="auto"/>
        </w:rPr>
        <w:t>December 31,</w:t>
      </w:r>
    </w:p>
    <w:p>
      <w:pPr>
        <w:jc w:val="center"/>
        <w:ind w:right="1580"/>
        <w:spacing w:after="0"/>
        <w:rPr>
          <w:sz w:val="20"/>
          <w:szCs w:val="20"/>
          <w:color w:val="auto"/>
        </w:rPr>
      </w:pPr>
      <w:r>
        <w:rPr>
          <w:rFonts w:ascii="Arial" w:cs="Arial" w:eastAsia="Arial" w:hAnsi="Arial"/>
          <w:sz w:val="14"/>
          <w:szCs w:val="14"/>
          <w:b w:val="1"/>
          <w:bCs w:val="1"/>
          <w:color w:val="auto"/>
        </w:rPr>
        <w:t>2004</w:t>
      </w:r>
    </w:p>
    <w:p>
      <w:pPr>
        <w:spacing w:after="0" w:line="9" w:lineRule="exact"/>
        <w:rPr>
          <w:sz w:val="20"/>
          <w:szCs w:val="20"/>
          <w:color w:val="auto"/>
        </w:rPr>
      </w:pPr>
    </w:p>
    <w:p>
      <w:pPr>
        <w:ind w:left="140" w:hanging="133"/>
        <w:spacing w:after="0"/>
        <w:tabs>
          <w:tab w:leader="none" w:pos="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515,963,049</w:t>
      </w:r>
    </w:p>
    <w:p>
      <w:pPr>
        <w:spacing w:after="0" w:line="19"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6"/>
          <w:szCs w:val="16"/>
          <w:color w:val="auto"/>
        </w:rPr>
        <w:t>(11,312)</w:t>
      </w:r>
    </w:p>
    <w:p>
      <w:pPr>
        <w:spacing w:after="0" w:line="32"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6"/>
          <w:szCs w:val="16"/>
          <w:color w:val="auto"/>
        </w:rPr>
        <w:t>(40,883)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$ 515,910,854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660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-123190</wp:posOffset>
            </wp:positionV>
            <wp:extent cx="660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right="1580"/>
        <w:spacing w:after="0"/>
        <w:rPr>
          <w:sz w:val="20"/>
          <w:szCs w:val="20"/>
          <w:color w:val="auto"/>
        </w:rPr>
      </w:pPr>
      <w:r>
        <w:rPr>
          <w:rFonts w:ascii="Arial" w:cs="Arial" w:eastAsia="Arial" w:hAnsi="Arial"/>
          <w:sz w:val="14"/>
          <w:szCs w:val="14"/>
          <w:b w:val="1"/>
          <w:bCs w:val="1"/>
          <w:color w:val="auto"/>
        </w:rPr>
        <w:t>Year Ended</w:t>
      </w:r>
    </w:p>
    <w:p>
      <w:pPr>
        <w:jc w:val="center"/>
        <w:ind w:right="1580"/>
        <w:spacing w:after="0" w:line="201" w:lineRule="auto"/>
        <w:rPr>
          <w:sz w:val="20"/>
          <w:szCs w:val="20"/>
          <w:color w:val="auto"/>
        </w:rPr>
      </w:pPr>
      <w:r>
        <w:rPr>
          <w:rFonts w:ascii="Arial" w:cs="Arial" w:eastAsia="Arial" w:hAnsi="Arial"/>
          <w:sz w:val="14"/>
          <w:szCs w:val="14"/>
          <w:b w:val="1"/>
          <w:bCs w:val="1"/>
          <w:color w:val="auto"/>
        </w:rPr>
        <w:t>December 31,</w:t>
      </w:r>
    </w:p>
    <w:p>
      <w:pPr>
        <w:jc w:val="center"/>
        <w:ind w:right="1580"/>
        <w:spacing w:after="0"/>
        <w:rPr>
          <w:sz w:val="20"/>
          <w:szCs w:val="20"/>
          <w:color w:val="auto"/>
        </w:rPr>
      </w:pPr>
      <w:r>
        <w:rPr>
          <w:rFonts w:ascii="Arial" w:cs="Arial" w:eastAsia="Arial" w:hAnsi="Arial"/>
          <w:sz w:val="14"/>
          <w:szCs w:val="14"/>
          <w:b w:val="1"/>
          <w:bCs w:val="1"/>
          <w:color w:val="auto"/>
        </w:rPr>
        <w:t>2004</w:t>
      </w:r>
    </w:p>
    <w:p>
      <w:pPr>
        <w:spacing w:after="0" w:line="9" w:lineRule="exact"/>
        <w:rPr>
          <w:sz w:val="20"/>
          <w:szCs w:val="20"/>
          <w:color w:val="auto"/>
        </w:rPr>
      </w:pPr>
    </w:p>
    <w:p>
      <w:pPr>
        <w:ind w:left="140" w:hanging="133"/>
        <w:spacing w:after="0"/>
        <w:tabs>
          <w:tab w:leader="none" w:pos="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126,426,997</w:t>
      </w:r>
    </w:p>
    <w:p>
      <w:pPr>
        <w:spacing w:after="0" w:line="19"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6"/>
          <w:szCs w:val="16"/>
          <w:color w:val="auto"/>
        </w:rPr>
        <w:t>(11,312)</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(40,883)</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10,907,437</w:t>
      </w:r>
    </w:p>
    <w:p>
      <w:pPr>
        <w:spacing w:after="0" w:line="21"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30,769</w:t>
      </w:r>
    </w:p>
    <w:p>
      <w:pPr>
        <w:spacing w:after="0" w:line="9" w:lineRule="exact"/>
        <w:rPr>
          <w:sz w:val="20"/>
          <w:szCs w:val="20"/>
          <w:color w:val="auto"/>
        </w:rPr>
      </w:pPr>
    </w:p>
    <w:p>
      <w:pPr>
        <w:jc w:val="right"/>
        <w:ind w:right="1580"/>
        <w:spacing w:after="0"/>
        <w:rPr>
          <w:sz w:val="20"/>
          <w:szCs w:val="20"/>
          <w:color w:val="auto"/>
        </w:rPr>
      </w:pPr>
      <w:r>
        <w:rPr>
          <w:rFonts w:ascii="Arial" w:cs="Arial" w:eastAsia="Arial" w:hAnsi="Arial"/>
          <w:sz w:val="16"/>
          <w:szCs w:val="16"/>
          <w:u w:val="single" w:color="auto"/>
          <w:color w:val="auto"/>
        </w:rPr>
        <w:t>$ 137,313,008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660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-116205</wp:posOffset>
            </wp:positionV>
            <wp:extent cx="6604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964" w:lineRule="exact"/>
        <w:rPr>
          <w:sz w:val="20"/>
          <w:szCs w:val="20"/>
          <w:color w:val="auto"/>
        </w:rPr>
      </w:pPr>
    </w:p>
    <w:p>
      <w:pPr>
        <w:sectPr>
          <w:pgSz w:w="11900" w:h="16838" w:orient="portrait"/>
          <w:cols w:equalWidth="0" w:num="2">
            <w:col w:w="8080" w:space="720"/>
            <w:col w:w="2620"/>
          </w:cols>
          <w:pgMar w:left="240" w:top="121" w:right="239" w:bottom="109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Assets (Held at End of the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Face</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7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1"/>
                <w:szCs w:val="11"/>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40" w:type="dxa"/>
            <w:vAlign w:val="bottom"/>
            <w:gridSpan w:val="3"/>
            <w:vMerge w:val="continue"/>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or shares</w:t>
            </w: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6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Barclays Global Investors</w:t>
            </w: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1,374,866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17,845,756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3"/>
          </w:tcPr>
          <w:p>
            <w:pPr>
              <w:spacing w:after="0"/>
              <w:rPr>
                <w:sz w:val="20"/>
                <w:szCs w:val="20"/>
                <w:color w:val="auto"/>
              </w:rPr>
            </w:pPr>
            <w:r>
              <w:rPr>
                <w:rFonts w:ascii="Arial" w:cs="Arial" w:eastAsia="Arial" w:hAnsi="Arial"/>
                <w:sz w:val="18"/>
                <w:szCs w:val="18"/>
                <w:color w:val="auto"/>
              </w:rPr>
              <w:t>Artisan Mid Cap Fund</w:t>
            </w:r>
          </w:p>
        </w:tc>
        <w:tc>
          <w:tcPr>
            <w:tcW w:w="1260" w:type="dxa"/>
            <w:vAlign w:val="bottom"/>
          </w:tcPr>
          <w:p>
            <w:pPr>
              <w:jc w:val="right"/>
              <w:spacing w:after="0"/>
              <w:rPr>
                <w:sz w:val="20"/>
                <w:szCs w:val="20"/>
                <w:color w:val="auto"/>
              </w:rPr>
            </w:pPr>
            <w:r>
              <w:rPr>
                <w:rFonts w:ascii="Arial" w:cs="Arial" w:eastAsia="Arial" w:hAnsi="Arial"/>
                <w:sz w:val="18"/>
                <w:szCs w:val="18"/>
                <w:color w:val="auto"/>
              </w:rPr>
              <w:t>208,268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6,459,007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JP Morgan MidCap Value*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11,755,247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3"/>
          </w:tcPr>
          <w:p>
            <w:pPr>
              <w:spacing w:after="0"/>
              <w:rPr>
                <w:sz w:val="20"/>
                <w:szCs w:val="20"/>
                <w:color w:val="auto"/>
              </w:rPr>
            </w:pPr>
            <w:r>
              <w:rPr>
                <w:rFonts w:ascii="Arial" w:cs="Arial" w:eastAsia="Arial" w:hAnsi="Arial"/>
                <w:sz w:val="18"/>
                <w:szCs w:val="18"/>
                <w:color w:val="auto"/>
              </w:rPr>
              <w:t>STI Classics Small Cap Growth Stock Fund</w:t>
            </w:r>
          </w:p>
        </w:tc>
        <w:tc>
          <w:tcPr>
            <w:tcW w:w="1260" w:type="dxa"/>
            <w:vAlign w:val="bottom"/>
          </w:tcPr>
          <w:p>
            <w:pPr>
              <w:jc w:val="right"/>
              <w:spacing w:after="0"/>
              <w:rPr>
                <w:sz w:val="20"/>
                <w:szCs w:val="20"/>
                <w:color w:val="auto"/>
              </w:rPr>
            </w:pPr>
            <w:r>
              <w:rPr>
                <w:rFonts w:ascii="Arial" w:cs="Arial" w:eastAsia="Arial" w:hAnsi="Arial"/>
                <w:sz w:val="18"/>
                <w:szCs w:val="18"/>
                <w:color w:val="auto"/>
              </w:rPr>
              <w:t>246,296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5,164,827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Fidelity Diversified International Fund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1,049,045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34,135,926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3"/>
          </w:tcPr>
          <w:p>
            <w:pPr>
              <w:spacing w:after="0"/>
              <w:rPr>
                <w:sz w:val="20"/>
                <w:szCs w:val="20"/>
                <w:color w:val="auto"/>
              </w:rPr>
            </w:pPr>
            <w:r>
              <w:rPr>
                <w:rFonts w:ascii="Arial" w:cs="Arial" w:eastAsia="Arial" w:hAnsi="Arial"/>
                <w:sz w:val="18"/>
                <w:szCs w:val="18"/>
                <w:color w:val="auto"/>
              </w:rPr>
              <w:t>Growth Fund of America</w:t>
            </w:r>
          </w:p>
        </w:tc>
        <w:tc>
          <w:tcPr>
            <w:tcW w:w="1260" w:type="dxa"/>
            <w:vAlign w:val="bottom"/>
          </w:tcPr>
          <w:p>
            <w:pPr>
              <w:jc w:val="right"/>
              <w:spacing w:after="0"/>
              <w:rPr>
                <w:sz w:val="20"/>
                <w:szCs w:val="20"/>
                <w:color w:val="auto"/>
              </w:rPr>
            </w:pPr>
            <w:r>
              <w:rPr>
                <w:rFonts w:ascii="Arial" w:cs="Arial" w:eastAsia="Arial" w:hAnsi="Arial"/>
                <w:sz w:val="18"/>
                <w:szCs w:val="18"/>
                <w:color w:val="auto"/>
              </w:rPr>
              <w:t>1,837,299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56,368,332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ICM Small Company</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25,006,040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3"/>
          </w:tcPr>
          <w:p>
            <w:pPr>
              <w:spacing w:after="0"/>
              <w:rPr>
                <w:sz w:val="20"/>
                <w:szCs w:val="20"/>
                <w:color w:val="auto"/>
              </w:rPr>
            </w:pPr>
            <w:r>
              <w:rPr>
                <w:rFonts w:ascii="Arial" w:cs="Arial" w:eastAsia="Arial" w:hAnsi="Arial"/>
                <w:sz w:val="18"/>
                <w:szCs w:val="18"/>
                <w:color w:val="auto"/>
              </w:rPr>
              <w:t>Vanguard Institutional Index</w:t>
            </w:r>
          </w:p>
        </w:tc>
        <w:tc>
          <w:tcPr>
            <w:tcW w:w="1260" w:type="dxa"/>
            <w:vAlign w:val="bottom"/>
          </w:tcPr>
          <w:p>
            <w:pPr>
              <w:jc w:val="right"/>
              <w:spacing w:after="0"/>
              <w:rPr>
                <w:sz w:val="20"/>
                <w:szCs w:val="20"/>
                <w:color w:val="auto"/>
              </w:rPr>
            </w:pPr>
            <w:r>
              <w:rPr>
                <w:rFonts w:ascii="Arial" w:cs="Arial" w:eastAsia="Arial" w:hAnsi="Arial"/>
                <w:sz w:val="18"/>
                <w:szCs w:val="18"/>
                <w:color w:val="auto"/>
              </w:rPr>
              <w:t>272,456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31,062,763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American Century Large Company Value Fund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8,914,087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57,941,563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3"/>
          </w:tcPr>
          <w:p>
            <w:pPr>
              <w:spacing w:after="0"/>
              <w:rPr>
                <w:sz w:val="20"/>
                <w:szCs w:val="20"/>
                <w:color w:val="auto"/>
              </w:rPr>
            </w:pPr>
            <w:r>
              <w:rPr>
                <w:rFonts w:ascii="Arial" w:cs="Arial" w:eastAsia="Arial" w:hAnsi="Arial"/>
                <w:sz w:val="18"/>
                <w:szCs w:val="18"/>
                <w:color w:val="auto"/>
              </w:rPr>
              <w:t>Loan Fund</w:t>
            </w:r>
          </w:p>
        </w:tc>
        <w:tc>
          <w:tcPr>
            <w:tcW w:w="1260" w:type="dxa"/>
            <w:vAlign w:val="bottom"/>
          </w:tcPr>
          <w:p>
            <w:pPr>
              <w:jc w:val="right"/>
              <w:spacing w:after="0"/>
              <w:rPr>
                <w:sz w:val="20"/>
                <w:szCs w:val="20"/>
                <w:color w:val="auto"/>
              </w:rPr>
            </w:pPr>
            <w:r>
              <w:rPr>
                <w:rFonts w:ascii="Arial" w:cs="Arial" w:eastAsia="Arial" w:hAnsi="Arial"/>
                <w:sz w:val="18"/>
                <w:szCs w:val="18"/>
                <w:color w:val="auto"/>
              </w:rPr>
              <w:t>30,622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5,004,951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55,406,019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219,066,721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gridSpan w:val="3"/>
          </w:tcPr>
          <w:p>
            <w:pPr>
              <w:ind w:left="360"/>
              <w:spacing w:after="0"/>
              <w:rPr>
                <w:sz w:val="20"/>
                <w:szCs w:val="20"/>
                <w:color w:val="auto"/>
              </w:rPr>
            </w:pPr>
            <w:r>
              <w:rPr>
                <w:rFonts w:ascii="Arial" w:cs="Arial" w:eastAsia="Arial" w:hAnsi="Arial"/>
                <w:sz w:val="18"/>
                <w:szCs w:val="18"/>
                <w:color w:val="auto"/>
              </w:rPr>
              <w:t>Total investments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464,836,804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*Party-in-interest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**Party-in-interest, participant and nonparticipant directed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Information not required for participant directed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independent registered public accounting firm’s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099" w:gutter="0" w:footer="0" w:header="0"/>
          <w:type w:val="continuous"/>
        </w:sectPr>
      </w:pPr>
    </w:p>
    <w:bookmarkStart w:id="8" w:name="page9"/>
    <w:bookmarkEnd w:id="8"/>
    <w:p>
      <w:pPr>
        <w:jc w:val="right"/>
        <w:ind w:right="40"/>
        <w:spacing w:after="0"/>
        <w:rPr>
          <w:sz w:val="20"/>
          <w:szCs w:val="20"/>
          <w:color w:val="auto"/>
        </w:rPr>
      </w:pPr>
      <w:r>
        <w:rPr>
          <w:rFonts w:ascii="Arial" w:cs="Arial" w:eastAsia="Arial" w:hAnsi="Arial"/>
          <w:sz w:val="18"/>
          <w:szCs w:val="18"/>
          <w:b w:val="1"/>
          <w:bCs w:val="1"/>
          <w:color w:val="auto"/>
        </w:rPr>
        <w:t>Schedule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of Reportable Transactions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Year ended December 31, 2005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 of assets</w:t>
            </w:r>
          </w:p>
        </w:tc>
        <w:tc>
          <w:tcPr>
            <w:tcW w:w="13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Cost</w:t>
            </w: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2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Net loss</w:t>
            </w:r>
          </w:p>
        </w:tc>
        <w:tc>
          <w:tcPr>
            <w:tcW w:w="0" w:type="dxa"/>
            <w:vAlign w:val="bottom"/>
          </w:tcPr>
          <w:p>
            <w:pPr>
              <w:spacing w:after="0"/>
              <w:rPr>
                <w:sz w:val="1"/>
                <w:szCs w:val="1"/>
                <w:color w:val="auto"/>
              </w:rPr>
            </w:pPr>
          </w:p>
        </w:tc>
      </w:tr>
      <w:tr>
        <w:trPr>
          <w:trHeight w:val="162"/>
        </w:trPr>
        <w:tc>
          <w:tcPr>
            <w:tcW w:w="7440" w:type="dxa"/>
            <w:vAlign w:val="bottom"/>
            <w:gridSpan w:val="4"/>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value</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5% series of transactions by Rule 2520.103-6(c)(1)(iii):</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4"/>
          </w:tcPr>
          <w:p>
            <w:pPr>
              <w:ind w:left="180"/>
              <w:spacing w:after="0"/>
              <w:rPr>
                <w:sz w:val="20"/>
                <w:szCs w:val="20"/>
                <w:color w:val="auto"/>
              </w:rPr>
            </w:pPr>
            <w:r>
              <w:rPr>
                <w:rFonts w:ascii="Arial" w:cs="Arial" w:eastAsia="Arial" w:hAnsi="Arial"/>
                <w:sz w:val="18"/>
                <w:szCs w:val="18"/>
                <w:color w:val="auto"/>
              </w:rPr>
              <w:t>The Toro Company Common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10,936,776</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10,936,776</w:t>
            </w: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The Toro Company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17,875,492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5,977,784</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(11,897,708)</w:t>
            </w:r>
          </w:p>
        </w:tc>
        <w:tc>
          <w:tcPr>
            <w:tcW w:w="0" w:type="dxa"/>
            <w:vAlign w:val="bottom"/>
          </w:tcPr>
          <w:p>
            <w:pPr>
              <w:spacing w:after="0"/>
              <w:rPr>
                <w:sz w:val="1"/>
                <w:szCs w:val="1"/>
                <w:color w:val="auto"/>
              </w:rPr>
            </w:pPr>
          </w:p>
        </w:tc>
      </w:tr>
      <w:tr>
        <w:trPr>
          <w:trHeight w:val="108"/>
        </w:trPr>
        <w:tc>
          <w:tcPr>
            <w:tcW w:w="2200" w:type="dxa"/>
            <w:vAlign w:val="bottom"/>
            <w:tcBorders>
              <w:bottom w:val="single" w:sz="8" w:color="auto"/>
            </w:tcBorders>
            <w:gridSpan w:val="2"/>
          </w:tcPr>
          <w:p>
            <w:pPr>
              <w:spacing w:after="0"/>
              <w:rPr>
                <w:sz w:val="9"/>
                <w:szCs w:val="9"/>
                <w:color w:val="auto"/>
              </w:rPr>
            </w:pPr>
          </w:p>
        </w:tc>
        <w:tc>
          <w:tcPr>
            <w:tcW w:w="5240" w:type="dxa"/>
            <w:vAlign w:val="bottom"/>
            <w:gridSpan w:val="2"/>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7440" w:type="dxa"/>
            <w:vAlign w:val="bottom"/>
            <w:gridSpan w:val="4"/>
          </w:tcPr>
          <w:p>
            <w:pPr>
              <w:spacing w:after="0"/>
              <w:rPr>
                <w:sz w:val="20"/>
                <w:szCs w:val="20"/>
                <w:color w:val="auto"/>
              </w:rPr>
            </w:pPr>
            <w:r>
              <w:rPr>
                <w:rFonts w:ascii="Arial" w:cs="Arial" w:eastAsia="Arial" w:hAnsi="Arial"/>
                <w:sz w:val="18"/>
                <w:szCs w:val="18"/>
                <w:color w:val="auto"/>
              </w:rPr>
              <w:t>*Party-in-interest, particpant-and nonparticipant- directed investment</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Note:</w:t>
            </w:r>
          </w:p>
        </w:tc>
        <w:tc>
          <w:tcPr>
            <w:tcW w:w="10860" w:type="dxa"/>
            <w:vAlign w:val="bottom"/>
            <w:gridSpan w:val="9"/>
          </w:tcPr>
          <w:p>
            <w:pPr>
              <w:ind w:left="180"/>
              <w:spacing w:after="0"/>
              <w:rPr>
                <w:sz w:val="20"/>
                <w:szCs w:val="20"/>
                <w:color w:val="auto"/>
              </w:rPr>
            </w:pPr>
            <w:r>
              <w:rPr>
                <w:rFonts w:ascii="Arial" w:cs="Arial" w:eastAsia="Arial" w:hAnsi="Arial"/>
                <w:sz w:val="18"/>
                <w:szCs w:val="18"/>
                <w:color w:val="auto"/>
                <w:w w:val="90"/>
              </w:rPr>
              <w:t>Reportable transactions are those transactions which either singly or in a series of combined purchases and sales during the year exceed 5% of the</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6880" w:type="dxa"/>
            <w:vAlign w:val="bottom"/>
            <w:gridSpan w:val="3"/>
          </w:tcPr>
          <w:p>
            <w:pPr>
              <w:ind w:left="160"/>
              <w:spacing w:after="0"/>
              <w:rPr>
                <w:sz w:val="20"/>
                <w:szCs w:val="20"/>
                <w:color w:val="auto"/>
              </w:rPr>
            </w:pPr>
            <w:r>
              <w:rPr>
                <w:rFonts w:ascii="Arial" w:cs="Arial" w:eastAsia="Arial" w:hAnsi="Arial"/>
                <w:sz w:val="18"/>
                <w:szCs w:val="18"/>
                <w:color w:val="auto"/>
              </w:rPr>
              <w:t>fair value of the Plan’s assets at the beginning of the year.</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independent registered public accounting firm’s report.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The Toro Company Investment, Savings,</w:t>
            </w:r>
          </w:p>
        </w:tc>
        <w:tc>
          <w:tcPr>
            <w:tcW w:w="40" w:type="dxa"/>
            <w:vAlign w:val="bottom"/>
          </w:tcPr>
          <w:p>
            <w:pPr>
              <w:spacing w:after="0"/>
              <w:rPr>
                <w:sz w:val="18"/>
                <w:szCs w:val="18"/>
                <w:color w:val="auto"/>
              </w:rPr>
            </w:pPr>
          </w:p>
        </w:tc>
      </w:tr>
      <w:tr>
        <w:trPr>
          <w:trHeight w:val="230"/>
        </w:trPr>
        <w:tc>
          <w:tcPr>
            <w:tcW w:w="61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and Employee Stock Ownership Plan</w:t>
            </w:r>
          </w:p>
        </w:tc>
        <w:tc>
          <w:tcPr>
            <w:tcW w:w="40" w:type="dxa"/>
            <w:vAlign w:val="bottom"/>
          </w:tcPr>
          <w:p>
            <w:pPr>
              <w:spacing w:after="0"/>
              <w:rPr>
                <w:sz w:val="20"/>
                <w:szCs w:val="20"/>
                <w:color w:val="auto"/>
              </w:rPr>
            </w:pPr>
          </w:p>
        </w:tc>
      </w:tr>
      <w:tr>
        <w:trPr>
          <w:trHeight w:val="648"/>
        </w:trPr>
        <w:tc>
          <w:tcPr>
            <w:tcW w:w="6120" w:type="dxa"/>
            <w:vAlign w:val="bottom"/>
          </w:tcPr>
          <w:p>
            <w:pPr>
              <w:spacing w:after="0"/>
              <w:rPr>
                <w:sz w:val="20"/>
                <w:szCs w:val="20"/>
                <w:color w:val="auto"/>
              </w:rPr>
            </w:pPr>
            <w:r>
              <w:rPr>
                <w:rFonts w:ascii="Arial" w:cs="Arial" w:eastAsia="Arial" w:hAnsi="Arial"/>
                <w:sz w:val="18"/>
                <w:szCs w:val="18"/>
                <w:color w:val="auto"/>
              </w:rPr>
              <w:t>Dated June 28, 2006</w:t>
            </w: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Wolfe</w:t>
            </w:r>
          </w:p>
        </w:tc>
        <w:tc>
          <w:tcPr>
            <w:tcW w:w="40" w:type="dxa"/>
            <w:vAlign w:val="bottom"/>
          </w:tcPr>
          <w:p>
            <w:pPr>
              <w:spacing w:after="0"/>
              <w:rPr>
                <w:sz w:val="24"/>
                <w:szCs w:val="24"/>
                <w:color w:val="auto"/>
              </w:rPr>
            </w:pPr>
          </w:p>
        </w:tc>
      </w:tr>
      <w:tr>
        <w:trPr>
          <w:trHeight w:val="195"/>
        </w:trPr>
        <w:tc>
          <w:tcPr>
            <w:tcW w:w="6120" w:type="dxa"/>
            <w:vAlign w:val="bottom"/>
          </w:tcPr>
          <w:p>
            <w:pPr>
              <w:spacing w:after="0"/>
              <w:rPr>
                <w:sz w:val="16"/>
                <w:szCs w:val="16"/>
                <w:color w:val="auto"/>
              </w:rPr>
            </w:pP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Stephen P. Wolfe</w:t>
            </w:r>
          </w:p>
        </w:tc>
        <w:tc>
          <w:tcPr>
            <w:tcW w:w="40" w:type="dxa"/>
            <w:vAlign w:val="bottom"/>
          </w:tcPr>
          <w:p>
            <w:pPr>
              <w:spacing w:after="0"/>
              <w:rPr>
                <w:sz w:val="16"/>
                <w:szCs w:val="16"/>
                <w:color w:val="auto"/>
              </w:rPr>
            </w:pPr>
          </w:p>
        </w:tc>
      </w:tr>
      <w:tr>
        <w:trPr>
          <w:trHeight w:val="216"/>
        </w:trPr>
        <w:tc>
          <w:tcPr>
            <w:tcW w:w="61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Vice President Finance and</w:t>
            </w:r>
          </w:p>
        </w:tc>
        <w:tc>
          <w:tcPr>
            <w:tcW w:w="4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61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of The Toro Company</w:t>
            </w:r>
          </w:p>
        </w:tc>
        <w:tc>
          <w:tcPr>
            <w:tcW w:w="40" w:type="dxa"/>
            <w:vAlign w:val="bottom"/>
          </w:tcPr>
          <w:p>
            <w:pPr>
              <w:spacing w:after="0"/>
              <w:rPr>
                <w:sz w:val="20"/>
                <w:szCs w:val="20"/>
                <w:color w:val="auto"/>
              </w:rPr>
            </w:pPr>
          </w:p>
        </w:tc>
      </w:tr>
      <w:tr>
        <w:trPr>
          <w:trHeight w:val="645"/>
        </w:trPr>
        <w:tc>
          <w:tcPr>
            <w:tcW w:w="6120" w:type="dxa"/>
            <w:vAlign w:val="bottom"/>
            <w:tcBorders>
              <w:bottom w:val="single" w:sz="8" w:color="010101"/>
            </w:tcBorders>
          </w:tcPr>
          <w:p>
            <w:pPr>
              <w:spacing w:after="0"/>
              <w:rPr>
                <w:sz w:val="24"/>
                <w:szCs w:val="24"/>
                <w:color w:val="auto"/>
              </w:rPr>
            </w:pPr>
          </w:p>
        </w:tc>
        <w:tc>
          <w:tcPr>
            <w:tcW w:w="53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2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c>
          <w:tcPr>
            <w:tcW w:w="60" w:type="dxa"/>
            <w:vAlign w:val="bottom"/>
          </w:tcPr>
          <w:p>
            <w:pPr>
              <w:spacing w:after="0"/>
              <w:rPr>
                <w:sz w:val="20"/>
                <w:szCs w:val="20"/>
                <w:color w:val="auto"/>
              </w:rPr>
            </w:pPr>
          </w:p>
        </w:tc>
      </w:tr>
      <w:tr>
        <w:trPr>
          <w:trHeight w:val="338"/>
        </w:trPr>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280" w:type="dxa"/>
            <w:vAlign w:val="bottom"/>
          </w:tcPr>
          <w:p>
            <w:pPr>
              <w:spacing w:after="0"/>
              <w:rPr>
                <w:sz w:val="24"/>
                <w:szCs w:val="24"/>
                <w:color w:val="auto"/>
              </w:rPr>
            </w:pPr>
          </w:p>
        </w:tc>
        <w:tc>
          <w:tcPr>
            <w:tcW w:w="9820" w:type="dxa"/>
            <w:vAlign w:val="bottom"/>
            <w:tcBorders>
              <w:bottom w:val="single" w:sz="8" w:color="auto"/>
            </w:tcBorders>
          </w:tcPr>
          <w:p>
            <w:pPr>
              <w:ind w:left="4540"/>
              <w:spacing w:after="0"/>
              <w:rPr>
                <w:sz w:val="20"/>
                <w:szCs w:val="20"/>
                <w:color w:val="auto"/>
              </w:rPr>
            </w:pPr>
            <w:r>
              <w:rPr>
                <w:rFonts w:ascii="Arial" w:cs="Arial" w:eastAsia="Arial" w:hAnsi="Arial"/>
                <w:sz w:val="14"/>
                <w:szCs w:val="14"/>
                <w:b w:val="1"/>
                <w:bCs w:val="1"/>
                <w:color w:val="auto"/>
              </w:rPr>
              <w:t>Description</w:t>
            </w:r>
          </w:p>
        </w:tc>
        <w:tc>
          <w:tcPr>
            <w:tcW w:w="60" w:type="dxa"/>
            <w:vAlign w:val="bottom"/>
          </w:tcPr>
          <w:p>
            <w:pPr>
              <w:spacing w:after="0"/>
              <w:rPr>
                <w:sz w:val="24"/>
                <w:szCs w:val="24"/>
                <w:color w:val="auto"/>
              </w:rPr>
            </w:pPr>
          </w:p>
        </w:tc>
      </w:tr>
      <w:tr>
        <w:trPr>
          <w:trHeight w:val="224"/>
        </w:trPr>
        <w:tc>
          <w:tcPr>
            <w:tcW w:w="1300" w:type="dxa"/>
            <w:vAlign w:val="bottom"/>
          </w:tcPr>
          <w:p>
            <w:pPr>
              <w:jc w:val="center"/>
              <w:spacing w:after="0"/>
              <w:rPr>
                <w:sz w:val="20"/>
                <w:szCs w:val="20"/>
                <w:color w:val="auto"/>
              </w:rPr>
            </w:pPr>
            <w:r>
              <w:rPr>
                <w:rFonts w:ascii="Arial" w:cs="Arial" w:eastAsia="Arial" w:hAnsi="Arial"/>
                <w:sz w:val="18"/>
                <w:szCs w:val="18"/>
                <w:color w:val="auto"/>
                <w:w w:val="90"/>
              </w:rPr>
              <w:t>23(a)</w:t>
            </w:r>
          </w:p>
        </w:tc>
        <w:tc>
          <w:tcPr>
            <w:tcW w:w="28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60" w:type="dxa"/>
            <w:vAlign w:val="bottom"/>
          </w:tcPr>
          <w:p>
            <w:pPr>
              <w:spacing w:after="0"/>
              <w:rPr>
                <w:sz w:val="19"/>
                <w:szCs w:val="19"/>
                <w:color w:val="auto"/>
              </w:rPr>
            </w:pPr>
          </w:p>
        </w:tc>
      </w:tr>
      <w:tr>
        <w:trPr>
          <w:trHeight w:val="793"/>
        </w:trPr>
        <w:tc>
          <w:tcPr>
            <w:tcW w:w="13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98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consent to incorporation by reference in the Registration Statements (Nos. 333-135033, 333-119504, 333-119506, and 333-100004 as amended by Post-Effective Amendment No. 1) on Form S-8 of The Toro Company, of our report dated June 23, 2006, relating to the statements of net assets available for benefits of The Toro Company Investment, Savings, and Employee Stock Ownership Plan as of December 31, 2005 and 2004, the related statements of changes in net assets available for benefits for the years then ended, and the related supplemental schedules as of December 31, 2005 and for the year then ended, which report appears in the December 31, 2005 annual report on Form 11-K of The Toro Company Investment, Savings, and Employee Stock Ownership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2"/>
    </w:lvl>
    <w:lvl w:ilvl="1">
      <w:lvlJc w:val="left"/>
      <w:lvlText w:val="(%2)"/>
      <w:numFmt w:val="lowerLetter"/>
      <w:start w:val="1"/>
    </w:lvl>
  </w:abstractNum>
  <w:abstractNum w:abstractNumId="6">
    <w:nsid w:val="140E0F76"/>
    <w:multiLevelType w:val="hybridMultilevel"/>
    <w:lvl w:ilvl="0">
      <w:lvlJc w:val="left"/>
      <w:lvlText w:val="(%1)"/>
      <w:numFmt w:val="lowerLetter"/>
      <w:start w:val="3"/>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1)"/>
      <w:numFmt w:val="decimal"/>
      <w:start w:val="4"/>
    </w:lvl>
  </w:abstractNum>
  <w:abstractNum w:abstractNumId="9">
    <w:nsid w:val="DED7263"/>
    <w:multiLevelType w:val="hybridMultilevel"/>
    <w:lvl w:ilvl="0">
      <w:lvlJc w:val="left"/>
      <w:lvlText w:val="(%1)"/>
      <w:numFmt w:val="decimal"/>
      <w:start w:val="5"/>
    </w:lvl>
  </w:abstractNum>
  <w:abstractNum w:abstractNumId="10">
    <w:nsid w:val="7FDCC233"/>
    <w:multiLevelType w:val="hybridMultilevel"/>
    <w:lvl w:ilvl="0">
      <w:lvlJc w:val="left"/>
      <w:lvlText w:val="(%1)"/>
      <w:numFmt w:val="decimal"/>
      <w:start w:val="6"/>
    </w:lvl>
  </w:abstractNum>
  <w:abstractNum w:abstractNumId="11">
    <w:nsid w:val="1BEFD79F"/>
    <w:multiLevelType w:val="hybridMultilevel"/>
    <w:lvl w:ilvl="0">
      <w:lvlJc w:val="left"/>
      <w:lvlText w:val="(%1)"/>
      <w:numFmt w:val="decimal"/>
      <w:start w:val="7"/>
    </w:lvl>
  </w:abstractNum>
  <w:abstractNum w:abstractNumId="12">
    <w:nsid w:val="41A7C4C9"/>
    <w:multiLevelType w:val="hybridMultilevel"/>
    <w:lvl w:ilvl="0">
      <w:lvlJc w:val="left"/>
      <w:lvlText w:val="(%1)"/>
      <w:numFmt w:val="decimal"/>
      <w:start w:val="8"/>
    </w:lvl>
  </w:abstractNum>
  <w:abstractNum w:abstractNumId="13">
    <w:nsid w:val="6B68079A"/>
    <w:multiLevelType w:val="hybridMultilevel"/>
    <w:lvl w:ilvl="0">
      <w:lvlJc w:val="left"/>
      <w:lvlText w:val="(%1)"/>
      <w:numFmt w:val="decimal"/>
      <w:start w:val="9"/>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14" Type="http://schemas.openxmlformats.org/officeDocument/2006/relationships/hyperlink" Target="file:///data/convert/a06-14651_111k.htm#StatementsOfNetAssetsAvailableFor_024406" TargetMode="External"/><Relationship Id="rId15" Type="http://schemas.openxmlformats.org/officeDocument/2006/relationships/hyperlink" Target="file:///data/convert/a06-14651_111k.htm#StatementsOfChangesInNetAssetsAva_083802" TargetMode="External"/><Relationship Id="rId16" Type="http://schemas.openxmlformats.org/officeDocument/2006/relationships/hyperlink" Target="file:///data/convert/a06-14651_111k.htm#a1SummaryDescriptionOfPlan_234449" TargetMode="External"/><Relationship Id="rId17" Type="http://schemas.openxmlformats.org/officeDocument/2006/relationships/hyperlink" Target="file:///data/convert/a06-14651_111k.htm#ScheduleOfAssetsheldAtEndOfTheYea_030612" TargetMode="External"/><Relationship Id="rId18" Type="http://schemas.openxmlformats.org/officeDocument/2006/relationships/hyperlink" Target="file:///data/convert/a06-14651_111k.htm#ScheduleOfReportableTransactions_0810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2019-12-13T13:42:07Z</dcterms:created>
  <dcterms:modified xsi:type="dcterms:W3CDTF">2019-12-13T13:42:07Z</dcterms:modified>
</cp:coreProperties>
</file>