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June 5, 2025, The Toro Company announced its financial results for the three and six month periods ended May 2, 2025.</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280" w:type="dxa"/>
            <w:vAlign w:val="bottom"/>
          </w:tcPr>
          <w:p>
            <w:pPr>
              <w:spacing w:after="0"/>
              <w:rPr>
                <w:sz w:val="22"/>
                <w:szCs w:val="22"/>
                <w:color w:val="auto"/>
              </w:rPr>
            </w:pPr>
          </w:p>
        </w:tc>
        <w:tc>
          <w:tcPr>
            <w:tcW w:w="4580" w:type="dxa"/>
            <w:vAlign w:val="bottom"/>
          </w:tcPr>
          <w:p>
            <w:pPr>
              <w:spacing w:after="0"/>
              <w:rPr>
                <w:sz w:val="22"/>
                <w:szCs w:val="22"/>
                <w:color w:val="auto"/>
              </w:rPr>
            </w:pPr>
          </w:p>
        </w:tc>
      </w:tr>
      <w:tr>
        <w:trPr>
          <w:trHeight w:val="484"/>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428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8"/>
              </w:rPr>
              <w:t>Press release dated June 5, 2025 (furnished herewith).</w:t>
            </w:r>
          </w:p>
        </w:tc>
        <w:tc>
          <w:tcPr>
            <w:tcW w:w="4580" w:type="dxa"/>
            <w:vAlign w:val="bottom"/>
          </w:tcPr>
          <w:p>
            <w:pPr>
              <w:spacing w:after="0"/>
              <w:rPr>
                <w:sz w:val="18"/>
                <w:szCs w:val="18"/>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June 5, 2025</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Results for the Second Quarter of Fiscal 2025</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Highlighted by Professional Segment Growth and Profitability Improvement</w:t>
      </w:r>
    </w:p>
    <w:p>
      <w:pPr>
        <w:spacing w:after="0" w:line="1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Second-quarter net sales of $1.32 billion, down slightly from the same period of fiscal 2024</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Second-quarter reported diluted EPS of $1.37, compared to $1.38 in the same period of fiscal 2024</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Second-quarter *adjusted diluted EPS of $1.42, up from $1.40 in the same period of fiscal 2024</w:t>
      </w:r>
    </w:p>
    <w:p>
      <w:pPr>
        <w:spacing w:after="0" w:line="13" w:lineRule="exact"/>
        <w:rPr>
          <w:rFonts w:ascii="Arial" w:cs="Arial" w:eastAsia="Arial" w:hAnsi="Arial"/>
          <w:sz w:val="20"/>
          <w:szCs w:val="20"/>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Company updates full year fiscal 2025 guidance</w:t>
      </w:r>
    </w:p>
    <w:p>
      <w:pPr>
        <w:spacing w:after="0" w:line="14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color w:val="auto"/>
        </w:rPr>
        <w:t>BLOOMINGTON, Minn.—(BUSINESS WIRE) — June 5, 2025—</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global provider of</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solutions for the outdoor environment, </w:t>
      </w:r>
      <w:r>
        <w:rPr>
          <w:rFonts w:ascii="Arial" w:cs="Arial" w:eastAsia="Arial" w:hAnsi="Arial"/>
          <w:sz w:val="20"/>
          <w:szCs w:val="20"/>
          <w:color w:val="000000"/>
        </w:rPr>
        <w:t>today reported results for its fiscal second quarter ended May 2, 2025.</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second-quarter results demonstrate the resilience and agility of The Toro Company and commitment of our dedicated employees and channel partners to deliver innovative solutions and exceptional service to meet our customers’ needs,” said Richard M. Olson, chairman and chief executive officer. “While top-line growth was pressured in our Residential segment, we drove continued Professional segment momentum, which helped us exceed our expectations for earnings in the quarter. Our progress exemplifies the success of our strategic and operational actions to create long-term value for all stakeholders.”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are taking decisive steps to strategically position the company to navigate near-term headwinds. Our strong portfolio and disciplined execution continue to sustain our performance, and we remain confident in our ability to manage controllable factors while mitigating macroeconomic risks," concluded Olson.</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For fiscal 2025, management now expects total company net sales to be in the range of flat to down 3% and *adjusted diluted EPS in the range of $4.15 to $4.30.</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This guidance is based on current visibility, inclusive of anticipated tariff impacts, and reflects:</w:t>
      </w:r>
    </w:p>
    <w:p>
      <w:pPr>
        <w:spacing w:after="0" w:line="1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a reduction in volume from macro factors that have driven increased homeowner and channel caution,</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strong demand and stable supply for our underground construction and golf and grounds businesses, and</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weather patterns aligned with historical averages for the remainder of the year.</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2025 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Reported</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Adjusted*</w:t>
            </w:r>
          </w:p>
        </w:tc>
        <w:tc>
          <w:tcPr>
            <w:tcW w:w="1340" w:type="dxa"/>
            <w:vAlign w:val="bottom"/>
            <w:tcBorders>
              <w:bottom w:val="single" w:sz="8" w:color="auto"/>
            </w:tcBorders>
          </w:tcPr>
          <w:p>
            <w:pPr>
              <w:spacing w:after="0"/>
              <w:rPr>
                <w:sz w:val="19"/>
                <w:szCs w:val="19"/>
                <w:color w:val="auto"/>
              </w:rPr>
            </w:pPr>
          </w:p>
        </w:tc>
      </w:tr>
      <w:tr>
        <w:trPr>
          <w:trHeight w:val="21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 except per share data)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F25 Q2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F24 Q2</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w w:val="99"/>
              </w:rPr>
              <w:t>% Change</w:t>
            </w: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F25 Q2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F24 Q2</w:t>
            </w: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 Change</w:t>
            </w: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1,349.0</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35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136.8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144.8</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141.8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147.3</w:t>
            </w:r>
          </w:p>
        </w:tc>
        <w:tc>
          <w:tcPr>
            <w:tcW w:w="1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bl>
    <w:p>
      <w:pPr>
        <w:sectPr>
          <w:pgSz w:w="11900" w:h="16838" w:orient="portrait"/>
          <w:cols w:equalWidth="0" w:num="1">
            <w:col w:w="11240"/>
          </w:cols>
          <w:pgMar w:left="320" w:top="76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SECOND-QUARTER FISCAL 2025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$1,014.1 million, up 0.8% from $1,005.6 million in the same period last year. The increase was primarily driven by higher shipments of golf and grounds products, partially offset by lower shipments of underground and specialty construction products and the prior year construction equipment dealer divestitures.</w:t>
      </w:r>
    </w:p>
    <w:p>
      <w:pPr>
        <w:spacing w:after="0" w:line="13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second quarter were $202.1 million, up from $190.7 million in the same period last year, and when expressed as a percentage of net sales, 19.9%, up from 19.0% in the prior-year period. The increase in profitability was primarily due to product mix and productivity improvements, partially offset by higher material and manufacturing costs.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$297.4 million, down 11.4% from $335.6 million in the same period last year. The decrease was primarily driven by lower shipments of walk power mowers, zero-turn mowers, and portable power products, as well as the prior year Pope Products divestiture, partially offset by higher shipments of snow products and lower sales promotions and incentives.</w:t>
      </w:r>
    </w:p>
    <w:p>
      <w:pPr>
        <w:spacing w:after="0" w:line="135" w:lineRule="exact"/>
        <w:rPr>
          <w:rFonts w:ascii="Arial" w:cs="Arial" w:eastAsia="Arial" w:hAnsi="Arial"/>
          <w:sz w:val="20"/>
          <w:szCs w:val="20"/>
          <w:color w:val="auto"/>
        </w:rPr>
      </w:pPr>
    </w:p>
    <w:p>
      <w:pPr>
        <w:jc w:val="both"/>
        <w:ind w:left="660" w:hanging="328"/>
        <w:spacing w:after="0" w:line="24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earnings for the second quarter were $16.1 million, down from $36.1 million in the same period last year, and when expressed as a percentage of net sales, 5.4%, down from 10.8% in the prior-year period. The decrease was largely driven by higher material, manufacturing, and freight costs, lower net sales volume, and inventory valuation adjustments, partially offset by productivity improvements and lower sales promotions and incentives.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Gross margin and *adjusted gross margin for the second quarter were 33.1% and 33.4%, respectively, down from 33.6% for both in the same prior-year period. The change in gross margin was primarily due to higher material and manufacturing costs and inventory valuation adjustments, partially offset by product mix and productivity improvements.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SG&amp;A expense as a percentage of net sales for the second quarter was 19.8%, compared with 19.7% in the prior-year period, primarily driven by lower net sales volume.</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Operating earnings as a percentage of net sales were 13.3% for the second quarter, compared with 13.9% in the same prior-year period. *Adjusted operating earnings as a percentage of net sales for the second quarter were 13.7%, compared with 14.2% in the same prior-year period.</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$15.8 million for the second quarter, down $0.9 million from the same prior-year period. This decrease was primarily due to lower average interest rates.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reported effective tax rate for the second quarter was 18.9%, compared with 19.2% in the same prior-year period, primarily due to a more favorable geographic mix of earnings, partially offset by lower tax benefits recorded as excess tax deductions for stock-based compensation. The *adjusted effective tax rate for the second quarter was 18.7% compared with 19.8% in the same prior-year period, primarily due to a more favorable geographic mix of earnings.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5, 2025 at 10:00a.m. CT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10:00a.m. CT on June 5, 2025.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$4.6 billion in fiscal 2024, The Toro Company’s global presence extends to more than 125 countries through a portfolio of brands that includes Toro, Ditch Witch, Exmark, Spartan, BOSS, Ventrac, American Augers, Trencor, Subsite, HammerHead, Radius, Perrot, Hayter, Unique Lighting Systems, Irritrol, and Lawn-Boy. Through constant innovation and caring relationships built on trust and integrity, The Toro Company and its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press release and the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the company’s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the company’s liquidity consist of free cash flow and free cash flow conversion percentage.</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2025 to diluted EPS, which is the most directly comparable GAAP measure, in reliance on the unreasonable efforts exception provided under Item 10(e)(1)(i)(B) of Regulation S-K. The company’s adjusted diluted EPS guidance for fiscal 2025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4"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2025 to diluted EPS reconciliation without unreasonable efforts. A quantitative reconciliation of adjusted diluted EPS for fiscal 2025 to diluted EPS would imply a degree of precision and certainty as to these future items that does not exist and could be confusing to investors. From a qualitative perspective, it is anticipated that the differences between adjusted diluted EPS for fiscal 2025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“anticipate,” “believe,” “become,” “can,” “continue,” “could,” “encourage,” “estimate,” “expect,” “forecast,” “goal,” “guidance,” “improve,” “intend,” “likely,” “looking ahead,” “may,” “optimistic,” “outlook,” “plan,” “possible,” “potential,” “pro forma,” “project,” “promise,” “pursue,” “should,” “strive,” “target,” “will,” “would,” “seek,”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2025 financial guidance, expectations regarding anticipated tariff impacts, reduction in volume from macro factors that have driven increased homeowner and channel caution, and continued strong demand and stable supply for underground construction and golf and grounds businesses,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weather; customer, government and municipal revenue, budget spending levels and cash conservation efforts, including whether the company is taking the right strategic and operational actions to create long-term value for all stakeholders; loss of any substantial customer; inventory adjustments or changes in purchasing patterns by customers; fluctuations in the cost and availability of commodities, components, parts, and accessories, including steel, engines, hydraulics, and resins; the company’s ability to manufacture products to meet demand; disruption at or in proximity to its facilities or in its manufacturing or other operations, or those in its distribution channel customers, mass retailers or home centers where its products are sold, or suppliers; risks associated with acquisitions and dispositions, including a potential future impairment charge associated with the indefinite-lived Spartan trade name intangible assets acquired in the company's Intimidator acquisition; impacts of the company’s AMP initiative and any future restructuring activities or productivity or cost savings initiatives; geopolitical factors and government policies and actions with respect to global trade, tariffs, U.S. trade policy and trade agreements;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sustainability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8" w:name="page9"/>
    <w:bookmarkEnd w:id="8"/>
    <w:p>
      <w:pPr>
        <w:jc w:val="center"/>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Earnings (Unaudited) (Dollars and shares in millions, except per-share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7"/>
                <w:szCs w:val="17"/>
                <w:b w:val="1"/>
                <w:bCs w:val="1"/>
                <w:color w:val="auto"/>
              </w:rPr>
              <w:t>Six Months Ended</w:t>
            </w:r>
          </w:p>
        </w:tc>
      </w:tr>
      <w:tr>
        <w:trPr>
          <w:trHeight w:val="210"/>
        </w:trPr>
        <w:tc>
          <w:tcPr>
            <w:tcW w:w="4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May 2, 2025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May 3, 2024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May 2, 2025</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May 3, 2024</w:t>
            </w: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1,317.9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1,349.0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2,312.9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2,350.9</w:t>
            </w:r>
          </w:p>
        </w:tc>
      </w:tr>
      <w:tr>
        <w:trPr>
          <w:trHeight w:val="21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1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881.2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896.0</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1,540.6</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1,553.4</w:t>
            </w: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436.7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453.0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772.3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797.5</w:t>
            </w: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1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33.1 %</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33.6 %</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33.4 %</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33.9 %</w:t>
            </w:r>
          </w:p>
        </w:tc>
      </w:tr>
      <w:tr>
        <w:trPr>
          <w:trHeight w:val="216"/>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261.9</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265.4</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519.7</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521.3</w:t>
            </w:r>
          </w:p>
        </w:tc>
      </w:tr>
      <w:tr>
        <w:trPr>
          <w:trHeight w:val="209"/>
        </w:trPr>
        <w:tc>
          <w:tcPr>
            <w:tcW w:w="454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1140" w:type="dxa"/>
            <w:vAlign w:val="bottom"/>
          </w:tcPr>
          <w:p>
            <w:pPr>
              <w:spacing w:after="0"/>
              <w:rPr>
                <w:sz w:val="18"/>
                <w:szCs w:val="18"/>
                <w:color w:val="auto"/>
              </w:rPr>
            </w:pPr>
          </w:p>
        </w:tc>
        <w:tc>
          <w:tcPr>
            <w:tcW w:w="1240" w:type="dxa"/>
            <w:vAlign w:val="bottom"/>
          </w:tcPr>
          <w:p>
            <w:pPr>
              <w:jc w:val="right"/>
              <w:ind w:right="177"/>
              <w:spacing w:after="0"/>
              <w:rPr>
                <w:sz w:val="20"/>
                <w:szCs w:val="20"/>
                <w:color w:val="auto"/>
              </w:rPr>
            </w:pPr>
            <w:r>
              <w:rPr>
                <w:rFonts w:ascii="Arial" w:cs="Arial" w:eastAsia="Arial" w:hAnsi="Arial"/>
                <w:sz w:val="17"/>
                <w:szCs w:val="17"/>
                <w:color w:val="auto"/>
              </w:rPr>
              <w:t>174.8</w:t>
            </w:r>
          </w:p>
        </w:tc>
        <w:tc>
          <w:tcPr>
            <w:tcW w:w="200" w:type="dxa"/>
            <w:vAlign w:val="bottom"/>
          </w:tcPr>
          <w:p>
            <w:pPr>
              <w:spacing w:after="0"/>
              <w:rPr>
                <w:sz w:val="18"/>
                <w:szCs w:val="18"/>
                <w:color w:val="auto"/>
              </w:rPr>
            </w:pPr>
          </w:p>
        </w:tc>
        <w:tc>
          <w:tcPr>
            <w:tcW w:w="1240" w:type="dxa"/>
            <w:vAlign w:val="bottom"/>
          </w:tcPr>
          <w:p>
            <w:pPr>
              <w:jc w:val="right"/>
              <w:ind w:right="177"/>
              <w:spacing w:after="0"/>
              <w:rPr>
                <w:sz w:val="20"/>
                <w:szCs w:val="20"/>
                <w:color w:val="auto"/>
              </w:rPr>
            </w:pPr>
            <w:r>
              <w:rPr>
                <w:rFonts w:ascii="Arial" w:cs="Arial" w:eastAsia="Arial" w:hAnsi="Arial"/>
                <w:sz w:val="17"/>
                <w:szCs w:val="17"/>
                <w:color w:val="auto"/>
              </w:rPr>
              <w:t>187.6</w:t>
            </w:r>
          </w:p>
        </w:tc>
        <w:tc>
          <w:tcPr>
            <w:tcW w:w="2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7"/>
                <w:szCs w:val="17"/>
                <w:color w:val="auto"/>
              </w:rPr>
              <w:t>252.6</w:t>
            </w:r>
          </w:p>
        </w:tc>
        <w:tc>
          <w:tcPr>
            <w:tcW w:w="220" w:type="dxa"/>
            <w:vAlign w:val="bottom"/>
          </w:tcPr>
          <w:p>
            <w:pPr>
              <w:spacing w:after="0"/>
              <w:rPr>
                <w:sz w:val="18"/>
                <w:szCs w:val="18"/>
                <w:color w:val="auto"/>
              </w:rPr>
            </w:pP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276.2</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(30.8)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(32.9)</w:t>
            </w:r>
          </w:p>
        </w:tc>
      </w:tr>
      <w:tr>
        <w:trPr>
          <w:trHeight w:val="21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1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9.7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13.0</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16.0</w:t>
            </w:r>
          </w:p>
        </w:tc>
      </w:tr>
      <w:tr>
        <w:trPr>
          <w:trHeight w:val="209"/>
        </w:trPr>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168.7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179.2</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234.8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259.3</w:t>
            </w:r>
          </w:p>
        </w:tc>
      </w:tr>
      <w:tr>
        <w:trPr>
          <w:trHeight w:val="21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provision</w:t>
            </w:r>
          </w:p>
        </w:tc>
        <w:tc>
          <w:tcPr>
            <w:tcW w:w="1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31.9</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34.4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45.2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49.6</w:t>
            </w:r>
          </w:p>
        </w:tc>
      </w:tr>
      <w:tr>
        <w:trPr>
          <w:trHeight w:val="235"/>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136.8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144.8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189.6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209.7</w:t>
            </w: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5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9"/>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2.01</w:t>
            </w:r>
          </w:p>
        </w:tc>
      </w:tr>
      <w:tr>
        <w:trPr>
          <w:trHeight w:val="74"/>
        </w:trPr>
        <w:tc>
          <w:tcPr>
            <w:tcW w:w="4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0"/>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2.00</w:t>
            </w:r>
          </w:p>
        </w:tc>
      </w:tr>
    </w:tbl>
    <w:p>
      <w:pPr>
        <w:spacing w:after="0" w:line="76" w:lineRule="exact"/>
        <w:rPr>
          <w:sz w:val="20"/>
          <w:szCs w:val="20"/>
          <w:color w:val="auto"/>
        </w:rPr>
      </w:pPr>
    </w:p>
    <w:p>
      <w:pPr>
        <w:sectPr>
          <w:pgSz w:w="11900" w:h="16838" w:orient="portrait"/>
          <w:cols w:equalWidth="0" w:num="1">
            <w:col w:w="11240"/>
          </w:cols>
          <w:pgMar w:left="320" w:top="764" w:right="339" w:bottom="1440" w:gutter="0" w:footer="0" w:header="0"/>
        </w:sectPr>
      </w:pPr>
    </w:p>
    <w:p>
      <w:pPr>
        <w:ind w:left="20" w:right="380"/>
        <w:spacing w:after="0" w:line="233" w:lineRule="auto"/>
        <w:rPr>
          <w:sz w:val="20"/>
          <w:szCs w:val="20"/>
          <w:color w:val="auto"/>
        </w:rPr>
      </w:pPr>
      <w:r>
        <w:rPr>
          <w:rFonts w:ascii="Arial" w:cs="Arial" w:eastAsia="Arial" w:hAnsi="Arial"/>
          <w:sz w:val="17"/>
          <w:szCs w:val="17"/>
          <w:color w:val="auto"/>
        </w:rPr>
        <w:t>Weighted-average number of shares of common stock outstanding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86" w:lineRule="exact"/>
        <w:rPr>
          <w:sz w:val="20"/>
          <w:szCs w:val="20"/>
          <w:color w:val="auto"/>
        </w:rPr>
      </w:pPr>
    </w:p>
    <w:p>
      <w:pPr>
        <w:ind w:left="20" w:right="380"/>
        <w:spacing w:after="0" w:line="233" w:lineRule="auto"/>
        <w:rPr>
          <w:sz w:val="20"/>
          <w:szCs w:val="20"/>
          <w:color w:val="auto"/>
        </w:rPr>
      </w:pPr>
      <w:r>
        <w:rPr>
          <w:rFonts w:ascii="Arial" w:cs="Arial" w:eastAsia="Arial" w:hAnsi="Arial"/>
          <w:sz w:val="17"/>
          <w:szCs w:val="17"/>
          <w:color w:val="auto"/>
        </w:rPr>
        <w:t>Weighted-average number of shares of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940" w:type="dxa"/>
            <w:vAlign w:val="bottom"/>
          </w:tcPr>
          <w:p>
            <w:pPr>
              <w:jc w:val="right"/>
              <w:ind w:right="437"/>
              <w:spacing w:after="0"/>
              <w:rPr>
                <w:sz w:val="20"/>
                <w:szCs w:val="20"/>
                <w:color w:val="auto"/>
              </w:rPr>
            </w:pPr>
            <w:r>
              <w:rPr>
                <w:rFonts w:ascii="Arial" w:cs="Arial" w:eastAsia="Arial" w:hAnsi="Arial"/>
                <w:sz w:val="17"/>
                <w:szCs w:val="17"/>
                <w:color w:val="auto"/>
              </w:rPr>
              <w:t>99.8</w:t>
            </w:r>
          </w:p>
        </w:tc>
        <w:tc>
          <w:tcPr>
            <w:tcW w:w="1440" w:type="dxa"/>
            <w:vAlign w:val="bottom"/>
          </w:tcPr>
          <w:p>
            <w:pPr>
              <w:jc w:val="right"/>
              <w:ind w:right="437"/>
              <w:spacing w:after="0"/>
              <w:rPr>
                <w:sz w:val="20"/>
                <w:szCs w:val="20"/>
                <w:color w:val="auto"/>
              </w:rPr>
            </w:pPr>
            <w:r>
              <w:rPr>
                <w:rFonts w:ascii="Arial" w:cs="Arial" w:eastAsia="Arial" w:hAnsi="Arial"/>
                <w:sz w:val="17"/>
                <w:szCs w:val="17"/>
                <w:color w:val="auto"/>
              </w:rPr>
              <w:t>104.4</w:t>
            </w:r>
          </w:p>
        </w:tc>
        <w:tc>
          <w:tcPr>
            <w:tcW w:w="1460" w:type="dxa"/>
            <w:vAlign w:val="bottom"/>
          </w:tcPr>
          <w:p>
            <w:pPr>
              <w:jc w:val="right"/>
              <w:ind w:right="457"/>
              <w:spacing w:after="0"/>
              <w:rPr>
                <w:sz w:val="20"/>
                <w:szCs w:val="20"/>
                <w:color w:val="auto"/>
              </w:rPr>
            </w:pPr>
            <w:r>
              <w:rPr>
                <w:rFonts w:ascii="Arial" w:cs="Arial" w:eastAsia="Arial" w:hAnsi="Arial"/>
                <w:sz w:val="17"/>
                <w:szCs w:val="17"/>
                <w:color w:val="auto"/>
              </w:rPr>
              <w:t>100.6</w:t>
            </w:r>
          </w:p>
        </w:tc>
        <w:tc>
          <w:tcPr>
            <w:tcW w:w="940" w:type="dxa"/>
            <w:vAlign w:val="bottom"/>
          </w:tcPr>
          <w:p>
            <w:pPr>
              <w:jc w:val="right"/>
              <w:spacing w:after="0"/>
              <w:rPr>
                <w:sz w:val="20"/>
                <w:szCs w:val="20"/>
                <w:color w:val="auto"/>
              </w:rPr>
            </w:pPr>
            <w:r>
              <w:rPr>
                <w:rFonts w:ascii="Arial" w:cs="Arial" w:eastAsia="Arial" w:hAnsi="Arial"/>
                <w:sz w:val="17"/>
                <w:szCs w:val="17"/>
                <w:color w:val="auto"/>
              </w:rPr>
              <w:t>104.4</w:t>
            </w:r>
          </w:p>
        </w:tc>
      </w:tr>
      <w:tr>
        <w:trPr>
          <w:trHeight w:val="486"/>
        </w:trPr>
        <w:tc>
          <w:tcPr>
            <w:tcW w:w="940" w:type="dxa"/>
            <w:vAlign w:val="bottom"/>
          </w:tcPr>
          <w:p>
            <w:pPr>
              <w:jc w:val="right"/>
              <w:ind w:right="437"/>
              <w:spacing w:after="0"/>
              <w:rPr>
                <w:sz w:val="20"/>
                <w:szCs w:val="20"/>
                <w:color w:val="auto"/>
              </w:rPr>
            </w:pPr>
            <w:r>
              <w:rPr>
                <w:rFonts w:ascii="Arial" w:cs="Arial" w:eastAsia="Arial" w:hAnsi="Arial"/>
                <w:sz w:val="17"/>
                <w:szCs w:val="17"/>
                <w:color w:val="auto"/>
                <w:w w:val="93"/>
              </w:rPr>
              <w:t>100.1</w:t>
            </w:r>
          </w:p>
        </w:tc>
        <w:tc>
          <w:tcPr>
            <w:tcW w:w="1440" w:type="dxa"/>
            <w:vAlign w:val="bottom"/>
          </w:tcPr>
          <w:p>
            <w:pPr>
              <w:jc w:val="right"/>
              <w:ind w:right="437"/>
              <w:spacing w:after="0"/>
              <w:rPr>
                <w:sz w:val="20"/>
                <w:szCs w:val="20"/>
                <w:color w:val="auto"/>
              </w:rPr>
            </w:pPr>
            <w:r>
              <w:rPr>
                <w:rFonts w:ascii="Arial" w:cs="Arial" w:eastAsia="Arial" w:hAnsi="Arial"/>
                <w:sz w:val="17"/>
                <w:szCs w:val="17"/>
                <w:color w:val="auto"/>
              </w:rPr>
              <w:t>104.9</w:t>
            </w:r>
          </w:p>
        </w:tc>
        <w:tc>
          <w:tcPr>
            <w:tcW w:w="1460" w:type="dxa"/>
            <w:vAlign w:val="bottom"/>
          </w:tcPr>
          <w:p>
            <w:pPr>
              <w:jc w:val="right"/>
              <w:ind w:right="457"/>
              <w:spacing w:after="0"/>
              <w:rPr>
                <w:sz w:val="20"/>
                <w:szCs w:val="20"/>
                <w:color w:val="auto"/>
              </w:rPr>
            </w:pPr>
            <w:r>
              <w:rPr>
                <w:rFonts w:ascii="Arial" w:cs="Arial" w:eastAsia="Arial" w:hAnsi="Arial"/>
                <w:sz w:val="17"/>
                <w:szCs w:val="17"/>
                <w:color w:val="auto"/>
              </w:rPr>
              <w:t>100.9</w:t>
            </w:r>
          </w:p>
        </w:tc>
        <w:tc>
          <w:tcPr>
            <w:tcW w:w="940" w:type="dxa"/>
            <w:vAlign w:val="bottom"/>
          </w:tcPr>
          <w:p>
            <w:pPr>
              <w:jc w:val="right"/>
              <w:spacing w:after="0"/>
              <w:rPr>
                <w:sz w:val="20"/>
                <w:szCs w:val="20"/>
                <w:color w:val="auto"/>
              </w:rPr>
            </w:pPr>
            <w:r>
              <w:rPr>
                <w:rFonts w:ascii="Arial" w:cs="Arial" w:eastAsia="Arial" w:hAnsi="Arial"/>
                <w:sz w:val="17"/>
                <w:szCs w:val="17"/>
                <w:color w:val="auto"/>
              </w:rPr>
              <w:t>104.9</w:t>
            </w:r>
          </w:p>
        </w:tc>
      </w:tr>
    </w:tbl>
    <w:p>
      <w:pPr>
        <w:spacing w:after="0" w:line="200" w:lineRule="exact"/>
        <w:rPr>
          <w:sz w:val="20"/>
          <w:szCs w:val="20"/>
          <w:color w:val="auto"/>
        </w:rPr>
      </w:pPr>
    </w:p>
    <w:p>
      <w:pPr>
        <w:sectPr>
          <w:pgSz w:w="11900" w:h="16838" w:orient="portrait"/>
          <w:cols w:equalWidth="0" w:num="2">
            <w:col w:w="5520" w:space="720"/>
            <w:col w:w="5000"/>
          </w:cols>
          <w:pgMar w:left="320" w:top="764"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7"/>
                <w:szCs w:val="17"/>
                <w:b w:val="1"/>
                <w:bCs w:val="1"/>
                <w:color w:val="auto"/>
              </w:rPr>
              <w:t>Six Months Ended</w:t>
            </w:r>
          </w:p>
        </w:tc>
      </w:tr>
      <w:tr>
        <w:trPr>
          <w:trHeight w:val="20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1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9"/>
              </w:rPr>
              <w:t>May 2, 2025</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9"/>
              </w:rPr>
              <w:t>May 3, 2024</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9"/>
              </w:rPr>
              <w:t>May 2, 2025</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9"/>
              </w:rPr>
              <w:t>May 3, 2024</w:t>
            </w: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1,005.6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1,782.9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1,762.1</w:t>
            </w:r>
          </w:p>
        </w:tc>
      </w:tr>
      <w:tr>
        <w:trPr>
          <w:trHeight w:val="216"/>
        </w:trPr>
        <w:tc>
          <w:tcPr>
            <w:tcW w:w="42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297.4</w:t>
            </w:r>
          </w:p>
        </w:tc>
        <w:tc>
          <w:tcPr>
            <w:tcW w:w="20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335.6</w:t>
            </w:r>
          </w:p>
        </w:tc>
        <w:tc>
          <w:tcPr>
            <w:tcW w:w="20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518.4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575.7</w:t>
            </w:r>
          </w:p>
        </w:tc>
      </w:tr>
      <w:tr>
        <w:trPr>
          <w:trHeight w:val="216"/>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7.8</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11.6</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09"/>
        </w:trPr>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1,349.0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2,312.9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2,350.9</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1"/>
        </w:trPr>
        <w:tc>
          <w:tcPr>
            <w:tcW w:w="42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10"/>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268.2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467.0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473.2</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7"/>
                <w:szCs w:val="17"/>
                <w:b w:val="1"/>
                <w:bCs w:val="1"/>
                <w:color w:val="auto"/>
              </w:rPr>
              <w:t>Six Months Ended</w:t>
            </w:r>
          </w:p>
        </w:tc>
      </w:tr>
      <w:tr>
        <w:trPr>
          <w:trHeight w:val="210"/>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 before income taxes</w:t>
            </w:r>
          </w:p>
        </w:tc>
        <w:tc>
          <w:tcPr>
            <w:tcW w:w="1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9"/>
              </w:rPr>
              <w:t>May 2, 2025</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9"/>
              </w:rPr>
              <w:t>May 3, 2024</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9"/>
              </w:rPr>
              <w:t>May 2, 2025</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9"/>
              </w:rPr>
              <w:t>May 3, 2024</w:t>
            </w: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190.7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329.3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303.5</w:t>
            </w: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280" w:type="dxa"/>
            <w:vAlign w:val="bottom"/>
          </w:tcPr>
          <w:p>
            <w:pPr>
              <w:spacing w:after="0"/>
              <w:rPr>
                <w:sz w:val="18"/>
                <w:szCs w:val="18"/>
                <w:color w:val="auto"/>
              </w:rPr>
            </w:pP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16.1</w:t>
            </w:r>
          </w:p>
        </w:tc>
        <w:tc>
          <w:tcPr>
            <w:tcW w:w="18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36.1</w:t>
            </w:r>
          </w:p>
        </w:tc>
        <w:tc>
          <w:tcPr>
            <w:tcW w:w="18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33.3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59.6</w:t>
            </w:r>
          </w:p>
        </w:tc>
      </w:tr>
      <w:tr>
        <w:trPr>
          <w:trHeight w:val="21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09"/>
        </w:trPr>
        <w:tc>
          <w:tcPr>
            <w:tcW w:w="48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 before income taxes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234.8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259.3</w:t>
            </w:r>
          </w:p>
        </w:tc>
      </w:tr>
      <w:tr>
        <w:trPr>
          <w:trHeight w:val="21"/>
        </w:trPr>
        <w:tc>
          <w:tcPr>
            <w:tcW w:w="4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auto"/>
              </w:rPr>
              <w:t>May 2, 2025</w:t>
            </w:r>
          </w:p>
        </w:tc>
        <w:tc>
          <w:tcPr>
            <w:tcW w:w="3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auto"/>
              </w:rPr>
              <w:t>May 3, 2024</w:t>
            </w: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October 31, 2024</w:t>
            </w:r>
          </w:p>
        </w:tc>
      </w:tr>
      <w:tr>
        <w:trPr>
          <w:trHeight w:val="169"/>
        </w:trPr>
        <w:tc>
          <w:tcPr>
            <w:tcW w:w="20" w:type="dxa"/>
            <w:vAlign w:val="bottom"/>
            <w:shd w:val="clear" w:color="auto" w:fill="CCEEFF"/>
          </w:tcPr>
          <w:p>
            <w:pPr>
              <w:spacing w:after="0"/>
              <w:rPr>
                <w:sz w:val="14"/>
                <w:szCs w:val="14"/>
                <w:color w:val="auto"/>
              </w:rPr>
            </w:pPr>
          </w:p>
        </w:tc>
        <w:tc>
          <w:tcPr>
            <w:tcW w:w="472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176.5</w:t>
            </w:r>
          </w:p>
        </w:tc>
        <w:tc>
          <w:tcPr>
            <w:tcW w:w="3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188.8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199.5</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602.5</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623.1</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1,119.8</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1,105.0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1,038.9</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5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80.1</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102.3</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09"/>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1,978.9</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2,019.2</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1,764.9</w:t>
            </w:r>
          </w:p>
        </w:tc>
      </w:tr>
      <w:tr>
        <w:trPr>
          <w:trHeight w:val="74"/>
        </w:trPr>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635.8</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637.8</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644.8</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450.8</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450.7</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450.3</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487.3</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522.7</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498.7</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110.9</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117.3</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51.2</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51.7</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49.2</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58.6</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31.0</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16"/>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14.6</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21.8</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3,788.1</w:t>
            </w: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3,852.2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15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1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20.0</w:t>
            </w:r>
          </w:p>
        </w:tc>
        <w:tc>
          <w:tcPr>
            <w:tcW w:w="30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13.5</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516.0</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512.4</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452.7</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536.7</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503.2</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493.0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5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18.5</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19.6</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09"/>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1,091.2</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1,048.7</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976.0</w:t>
            </w:r>
          </w:p>
        </w:tc>
      </w:tr>
      <w:tr>
        <w:trPr>
          <w:trHeight w:val="75"/>
        </w:trPr>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1,077.1</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1,003.3</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911.8</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96.2</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103.2</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0.6</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46.4</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45.2</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r>
      <w:tr>
        <w:trPr>
          <w:trHeight w:val="94"/>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99.0</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104.0</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w:t>
            </w:r>
          </w:p>
        </w:tc>
      </w:tr>
      <w:tr>
        <w:trPr>
          <w:trHeight w:val="216"/>
        </w:trPr>
        <w:tc>
          <w:tcPr>
            <w:tcW w:w="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5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1,419.6</w:t>
            </w:r>
          </w:p>
        </w:tc>
        <w:tc>
          <w:tcPr>
            <w:tcW w:w="3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1,583.2</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1,496.4</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5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r>
      <w:tr>
        <w:trPr>
          <w:trHeight w:val="210"/>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1,476.6</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1,651.4</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1,551.9</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3,788.1</w:t>
            </w: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3,852.2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0" w:name="page11"/>
    <w:bookmarkEnd w:id="10"/>
    <w:p>
      <w:pPr>
        <w:jc w:val="center"/>
        <w:ind w:left="340" w:right="2580"/>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Cash Flows (Unaudited) (Dollars in millions)</w:t>
      </w:r>
    </w:p>
    <w:p>
      <w:pPr>
        <w:spacing w:after="0" w:line="157" w:lineRule="exact"/>
        <w:rPr>
          <w:sz w:val="20"/>
          <w:szCs w:val="20"/>
          <w:color w:val="auto"/>
        </w:rPr>
      </w:pPr>
    </w:p>
    <w:p>
      <w:pPr>
        <w:ind w:left="8780"/>
        <w:spacing w:after="0"/>
        <w:rPr>
          <w:sz w:val="20"/>
          <w:szCs w:val="20"/>
          <w:color w:val="auto"/>
        </w:rPr>
      </w:pPr>
      <w:r>
        <w:rPr>
          <w:rFonts w:ascii="Arial" w:cs="Arial" w:eastAsia="Arial" w:hAnsi="Arial"/>
          <w:sz w:val="17"/>
          <w:szCs w:val="17"/>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May 2, 2025</w:t>
            </w:r>
          </w:p>
        </w:tc>
        <w:tc>
          <w:tcPr>
            <w:tcW w:w="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May 3, 2024</w:t>
            </w: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189.6</w:t>
            </w:r>
          </w:p>
        </w:tc>
        <w:tc>
          <w:tcPr>
            <w:tcW w:w="30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209.7</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(9.8)</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7.8</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100" w:type="dxa"/>
            <w:vAlign w:val="bottom"/>
          </w:tcPr>
          <w:p>
            <w:pPr>
              <w:spacing w:after="0"/>
              <w:rPr>
                <w:sz w:val="18"/>
                <w:szCs w:val="18"/>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48.0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43.4</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15.6</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1100" w:type="dxa"/>
            <w:vAlign w:val="bottom"/>
          </w:tcPr>
          <w:p>
            <w:pPr>
              <w:spacing w:after="0"/>
              <w:rPr>
                <w:sz w:val="18"/>
                <w:szCs w:val="18"/>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9.8</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0.9</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6"/>
        </w:trPr>
        <w:tc>
          <w:tcPr>
            <w:tcW w:w="690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(78.7)</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51.3</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100" w:type="dxa"/>
            <w:vAlign w:val="bottom"/>
          </w:tcPr>
          <w:p>
            <w:pPr>
              <w:spacing w:after="0"/>
              <w:rPr>
                <w:sz w:val="18"/>
                <w:szCs w:val="18"/>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59.5</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81.0</w:t>
            </w:r>
          </w:p>
        </w:tc>
      </w:tr>
      <w:tr>
        <w:trPr>
          <w:trHeight w:val="216"/>
        </w:trPr>
        <w:tc>
          <w:tcPr>
            <w:tcW w:w="6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0"/>
        </w:trPr>
        <w:tc>
          <w:tcPr>
            <w:tcW w:w="6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123.1</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135.1</w:t>
            </w:r>
          </w:p>
        </w:tc>
      </w:tr>
      <w:tr>
        <w:trPr>
          <w:trHeight w:val="74"/>
        </w:trPr>
        <w:tc>
          <w:tcPr>
            <w:tcW w:w="69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Acquisition, net of cash acquired</w:t>
            </w:r>
          </w:p>
        </w:tc>
        <w:tc>
          <w:tcPr>
            <w:tcW w:w="1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(4.2)</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asset disposals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0.2</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Proceeds from divestitures</w:t>
            </w: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6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r>
      <w:tr>
        <w:trPr>
          <w:trHeight w:val="75"/>
        </w:trPr>
        <w:tc>
          <w:tcPr>
            <w:tcW w:w="6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900" w:type="dxa"/>
            <w:vAlign w:val="bottom"/>
          </w:tcPr>
          <w:p>
            <w:pPr>
              <w:ind w:left="140"/>
              <w:spacing w:after="0" w:line="216" w:lineRule="exact"/>
              <w:rPr>
                <w:sz w:val="20"/>
                <w:szCs w:val="20"/>
                <w:color w:val="auto"/>
              </w:rPr>
            </w:pPr>
            <w:r>
              <w:rPr>
                <w:rFonts w:ascii="Arial" w:cs="Arial" w:eastAsia="Arial" w:hAnsi="Arial"/>
                <w:sz w:val="17"/>
                <w:szCs w:val="17"/>
                <w:color w:val="auto"/>
              </w:rPr>
              <w:t>Borrowings under debt arrangements</w:t>
            </w:r>
            <w:r>
              <w:rPr>
                <w:rFonts w:ascii="Arial" w:cs="Arial" w:eastAsia="Arial" w:hAnsi="Arial"/>
                <w:sz w:val="21"/>
                <w:szCs w:val="21"/>
                <w:color w:val="auto"/>
                <w:vertAlign w:val="superscript"/>
              </w:rPr>
              <w:t>1</w:t>
            </w:r>
          </w:p>
        </w:tc>
        <w:tc>
          <w:tcPr>
            <w:tcW w:w="1100" w:type="dxa"/>
            <w:vAlign w:val="bottom"/>
          </w:tcPr>
          <w:p>
            <w:pPr>
              <w:spacing w:after="0"/>
              <w:rPr>
                <w:sz w:val="18"/>
                <w:szCs w:val="18"/>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740.0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285.0</w:t>
            </w:r>
          </w:p>
        </w:tc>
      </w:tr>
      <w:tr>
        <w:trPr>
          <w:trHeight w:val="216"/>
        </w:trPr>
        <w:tc>
          <w:tcPr>
            <w:tcW w:w="69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Repayments under debt arrangements</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(565.0)</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100" w:type="dxa"/>
            <w:vAlign w:val="bottom"/>
          </w:tcPr>
          <w:p>
            <w:pPr>
              <w:spacing w:after="0"/>
              <w:rPr>
                <w:sz w:val="18"/>
                <w:szCs w:val="18"/>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Common stock repurchases</w:t>
            </w:r>
          </w:p>
        </w:tc>
        <w:tc>
          <w:tcPr>
            <w:tcW w:w="1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(200.0)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common stock</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09"/>
        </w:trPr>
        <w:tc>
          <w:tcPr>
            <w:tcW w:w="6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financing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w:t>
            </w:r>
          </w:p>
        </w:tc>
      </w:tr>
      <w:tr>
        <w:trPr>
          <w:trHeight w:val="75"/>
        </w:trPr>
        <w:tc>
          <w:tcPr>
            <w:tcW w:w="6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1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74"/>
        </w:trPr>
        <w:tc>
          <w:tcPr>
            <w:tcW w:w="6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1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199.5</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193.1</w:t>
            </w:r>
          </w:p>
        </w:tc>
      </w:tr>
      <w:tr>
        <w:trPr>
          <w:trHeight w:val="234"/>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176.5</w:t>
            </w:r>
          </w:p>
        </w:tc>
        <w:tc>
          <w:tcPr>
            <w:tcW w:w="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188.8</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60" w:hanging="171"/>
        <w:spacing w:after="0"/>
        <w:tabs>
          <w:tab w:leader="none" w:pos="353"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Presentation of prior year revolving credit facility and long-term debt activity has been conformed to the current year presentation. There was no change to net cash used in financing activities.</w:t>
      </w:r>
    </w:p>
    <w:p>
      <w:pPr>
        <w:sectPr>
          <w:pgSz w:w="11900" w:h="16838" w:orient="portrait"/>
          <w:cols w:equalWidth="0" w:num="1">
            <w:col w:w="11240"/>
          </w:cols>
          <w:pgMar w:left="320" w:top="764" w:right="339" w:bottom="1440" w:gutter="0" w:footer="0" w:header="0"/>
        </w:sectPr>
      </w:pPr>
    </w:p>
    <w:bookmarkStart w:id="11" w:name="page12"/>
    <w:bookmarkEnd w:id="11"/>
    <w:p>
      <w:pPr>
        <w:jc w:val="center"/>
        <w:ind w:left="340" w:right="2760"/>
        <w:spacing w:after="0" w:line="262" w:lineRule="auto"/>
        <w:rPr>
          <w:sz w:val="20"/>
          <w:szCs w:val="20"/>
          <w:color w:val="auto"/>
        </w:rPr>
      </w:pPr>
      <w:r>
        <w:rPr>
          <w:rFonts w:ascii="Arial" w:cs="Arial" w:eastAsia="Arial" w:hAnsi="Arial"/>
          <w:sz w:val="20"/>
          <w:szCs w:val="20"/>
          <w:b w:val="1"/>
          <w:bCs w:val="1"/>
          <w:color w:val="auto"/>
        </w:rPr>
        <w:t>THE TORO COMPANY AND SUBSIDIARIES Reconciliation of Non-GAAP Financial Measures (Unaudited) (Dollars in millions, except per-share data)</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the non-GAAP financial performance measures used in this press release and our related earnings call to the most directly comparable measures calculated and reported in accordance with U.S. GAAP for the three and six month periods ended May 2, 2025 and May 3,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7"/>
                <w:szCs w:val="17"/>
                <w:b w:val="1"/>
                <w:bCs w:val="1"/>
                <w:color w:val="auto"/>
              </w:rPr>
              <w:t>Six Months Ended</w:t>
            </w:r>
          </w:p>
        </w:tc>
      </w:tr>
      <w:tr>
        <w:trPr>
          <w:trHeight w:val="209"/>
        </w:trPr>
        <w:tc>
          <w:tcPr>
            <w:tcW w:w="4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9"/>
              </w:rPr>
              <w:t>May 2, 2025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May 3, 2024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99"/>
              </w:rPr>
              <w:t>May 2, 2025</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9"/>
              </w:rPr>
              <w:t>May 3, 2024</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436.7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453.0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772.3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797.5</w:t>
            </w:r>
          </w:p>
        </w:tc>
      </w:tr>
      <w:tr>
        <w:trPr>
          <w:trHeight w:val="216"/>
        </w:trPr>
        <w:tc>
          <w:tcPr>
            <w:tcW w:w="4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7.5</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r>
      <w:tr>
        <w:trPr>
          <w:trHeight w:val="209"/>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profit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440.4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453.0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779.8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797.5</w:t>
            </w:r>
          </w:p>
        </w:tc>
      </w:tr>
      <w:tr>
        <w:trPr>
          <w:trHeight w:val="88"/>
        </w:trPr>
        <w:tc>
          <w:tcPr>
            <w:tcW w:w="4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33.1 %</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33.6 %</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33.4 %</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33.9 %</w:t>
            </w:r>
          </w:p>
        </w:tc>
      </w:tr>
      <w:tr>
        <w:trPr>
          <w:trHeight w:val="216"/>
        </w:trPr>
        <w:tc>
          <w:tcPr>
            <w:tcW w:w="4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0.3 %</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0.3 %</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1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margin</w:t>
            </w:r>
          </w:p>
        </w:tc>
        <w:tc>
          <w:tcPr>
            <w:tcW w:w="1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33.4 %</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33.6 %</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33.7 %</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33.9 %</w:t>
            </w:r>
          </w:p>
        </w:tc>
      </w:tr>
      <w:tr>
        <w:trPr>
          <w:trHeight w:val="74"/>
        </w:trPr>
        <w:tc>
          <w:tcPr>
            <w:tcW w:w="4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174.8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187.6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252.6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276.2</w:t>
            </w:r>
          </w:p>
        </w:tc>
      </w:tr>
      <w:tr>
        <w:trPr>
          <w:trHeight w:val="216"/>
        </w:trPr>
        <w:tc>
          <w:tcPr>
            <w:tcW w:w="4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5.6</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21.8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8.3</w:t>
            </w:r>
          </w:p>
        </w:tc>
      </w:tr>
      <w:tr>
        <w:trPr>
          <w:trHeight w:val="209"/>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operating earnings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180.4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192.0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274.4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284.5</w:t>
            </w:r>
          </w:p>
        </w:tc>
      </w:tr>
      <w:tr>
        <w:trPr>
          <w:trHeight w:val="88"/>
        </w:trPr>
        <w:tc>
          <w:tcPr>
            <w:tcW w:w="4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 margin</w:t>
            </w: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13.3 %</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13.9 %</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10.9 %</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11.7 %</w:t>
            </w:r>
          </w:p>
        </w:tc>
      </w:tr>
      <w:tr>
        <w:trPr>
          <w:trHeight w:val="216"/>
        </w:trPr>
        <w:tc>
          <w:tcPr>
            <w:tcW w:w="4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0.4 %</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0.3 %</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1.0 %</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0.4 %</w:t>
            </w:r>
          </w:p>
        </w:tc>
      </w:tr>
      <w:tr>
        <w:trPr>
          <w:trHeight w:val="210"/>
        </w:trPr>
        <w:tc>
          <w:tcPr>
            <w:tcW w:w="4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Adjusted operating earnings margin</w:t>
            </w:r>
          </w:p>
        </w:tc>
        <w:tc>
          <w:tcPr>
            <w:tcW w:w="1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14.2 %</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11.9 %</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12.1 %</w:t>
            </w:r>
          </w:p>
        </w:tc>
      </w:tr>
      <w:tr>
        <w:trPr>
          <w:trHeight w:val="88"/>
        </w:trPr>
        <w:tc>
          <w:tcPr>
            <w:tcW w:w="4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168.7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179.2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234.8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259.3</w:t>
            </w:r>
          </w:p>
        </w:tc>
      </w:tr>
      <w:tr>
        <w:trPr>
          <w:trHeight w:val="216"/>
        </w:trPr>
        <w:tc>
          <w:tcPr>
            <w:tcW w:w="4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22.2</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8.3</w:t>
            </w:r>
          </w:p>
        </w:tc>
      </w:tr>
      <w:tr>
        <w:trPr>
          <w:trHeight w:val="209"/>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earnings before income taxes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174.4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183.6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257.0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267.6</w:t>
            </w:r>
          </w:p>
        </w:tc>
      </w:tr>
      <w:tr>
        <w:trPr>
          <w:trHeight w:val="88"/>
        </w:trPr>
        <w:tc>
          <w:tcPr>
            <w:tcW w:w="4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31.9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34.4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45.2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49.6</w:t>
            </w:r>
          </w:p>
        </w:tc>
      </w:tr>
      <w:tr>
        <w:trPr>
          <w:trHeight w:val="216"/>
        </w:trPr>
        <w:tc>
          <w:tcPr>
            <w:tcW w:w="44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320" w:type="dxa"/>
            <w:vAlign w:val="bottom"/>
          </w:tcPr>
          <w:p>
            <w:pPr>
              <w:spacing w:after="0"/>
              <w:rPr>
                <w:sz w:val="18"/>
                <w:szCs w:val="18"/>
                <w:color w:val="auto"/>
              </w:rPr>
            </w:pPr>
          </w:p>
        </w:tc>
        <w:tc>
          <w:tcPr>
            <w:tcW w:w="1220" w:type="dxa"/>
            <w:vAlign w:val="bottom"/>
          </w:tcPr>
          <w:p>
            <w:pPr>
              <w:jc w:val="right"/>
              <w:ind w:right="177"/>
              <w:spacing w:after="0"/>
              <w:rPr>
                <w:sz w:val="20"/>
                <w:szCs w:val="20"/>
                <w:color w:val="auto"/>
              </w:rPr>
            </w:pPr>
            <w:r>
              <w:rPr>
                <w:rFonts w:ascii="Arial" w:cs="Arial" w:eastAsia="Arial" w:hAnsi="Arial"/>
                <w:sz w:val="17"/>
                <w:szCs w:val="17"/>
                <w:color w:val="auto"/>
              </w:rPr>
              <w:t>0.9</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0.9</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8"/>
                <w:szCs w:val="18"/>
                <w:color w:val="auto"/>
              </w:rPr>
            </w:pPr>
          </w:p>
        </w:tc>
        <w:tc>
          <w:tcPr>
            <w:tcW w:w="1180" w:type="dxa"/>
            <w:vAlign w:val="bottom"/>
          </w:tcPr>
          <w:p>
            <w:pPr>
              <w:jc w:val="right"/>
              <w:ind w:right="137"/>
              <w:spacing w:after="0"/>
              <w:rPr>
                <w:sz w:val="20"/>
                <w:szCs w:val="20"/>
                <w:color w:val="auto"/>
              </w:rPr>
            </w:pPr>
            <w:r>
              <w:rPr>
                <w:rFonts w:ascii="Arial" w:cs="Arial" w:eastAsia="Arial" w:hAnsi="Arial"/>
                <w:sz w:val="17"/>
                <w:szCs w:val="17"/>
                <w:color w:val="auto"/>
              </w:rPr>
              <w:t>1.7</w:t>
            </w:r>
          </w:p>
        </w:tc>
      </w:tr>
      <w:tr>
        <w:trPr>
          <w:trHeight w:val="216"/>
        </w:trPr>
        <w:tc>
          <w:tcPr>
            <w:tcW w:w="44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2</w:t>
            </w:r>
          </w:p>
        </w:tc>
        <w:tc>
          <w:tcPr>
            <w:tcW w:w="1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(0.2)</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2.5</w:t>
            </w:r>
          </w:p>
        </w:tc>
      </w:tr>
      <w:tr>
        <w:trPr>
          <w:trHeight w:val="21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income tax provision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53.8</w:t>
            </w:r>
          </w:p>
        </w:tc>
      </w:tr>
      <w:tr>
        <w:trPr>
          <w:trHeight w:val="88"/>
        </w:trPr>
        <w:tc>
          <w:tcPr>
            <w:tcW w:w="442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7"/>
              <w:spacing w:after="0"/>
              <w:rPr>
                <w:sz w:val="20"/>
                <w:szCs w:val="20"/>
                <w:color w:val="auto"/>
              </w:rPr>
            </w:pPr>
            <w:r>
              <w:rPr>
                <w:rFonts w:ascii="Arial" w:cs="Arial" w:eastAsia="Arial" w:hAnsi="Arial"/>
                <w:sz w:val="17"/>
                <w:szCs w:val="17"/>
                <w:color w:val="auto"/>
              </w:rPr>
              <w:t>136.8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144.8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189.6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7"/>
              <w:spacing w:after="0"/>
              <w:rPr>
                <w:sz w:val="20"/>
                <w:szCs w:val="20"/>
                <w:color w:val="auto"/>
              </w:rPr>
            </w:pPr>
            <w:r>
              <w:rPr>
                <w:rFonts w:ascii="Arial" w:cs="Arial" w:eastAsia="Arial" w:hAnsi="Arial"/>
                <w:sz w:val="17"/>
                <w:szCs w:val="17"/>
                <w:color w:val="auto"/>
              </w:rPr>
              <w:t>209.7</w:t>
            </w:r>
          </w:p>
        </w:tc>
      </w:tr>
      <w:tr>
        <w:trPr>
          <w:trHeight w:val="216"/>
        </w:trPr>
        <w:tc>
          <w:tcPr>
            <w:tcW w:w="44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1</w:t>
            </w: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18.0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6.6</w:t>
            </w:r>
          </w:p>
        </w:tc>
      </w:tr>
      <w:tr>
        <w:trPr>
          <w:trHeight w:val="216"/>
        </w:trPr>
        <w:tc>
          <w:tcPr>
            <w:tcW w:w="4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2</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0.2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(2.5)</w:t>
            </w:r>
          </w:p>
        </w:tc>
      </w:tr>
      <w:tr>
        <w:trPr>
          <w:trHeight w:val="21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net earnings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141.8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147.3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207.7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213.8</w:t>
            </w:r>
          </w:p>
        </w:tc>
      </w:tr>
      <w:tr>
        <w:trPr>
          <w:trHeight w:val="88"/>
        </w:trPr>
        <w:tc>
          <w:tcPr>
            <w:tcW w:w="4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per diluted share</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1.88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2.00</w:t>
            </w:r>
          </w:p>
        </w:tc>
      </w:tr>
      <w:tr>
        <w:trPr>
          <w:trHeight w:val="216"/>
        </w:trPr>
        <w:tc>
          <w:tcPr>
            <w:tcW w:w="44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1</w:t>
            </w:r>
          </w:p>
        </w:tc>
        <w:tc>
          <w:tcPr>
            <w:tcW w:w="1320" w:type="dxa"/>
            <w:vAlign w:val="bottom"/>
          </w:tcPr>
          <w:p>
            <w:pPr>
              <w:spacing w:after="0"/>
              <w:rPr>
                <w:sz w:val="18"/>
                <w:szCs w:val="18"/>
                <w:color w:val="auto"/>
              </w:rPr>
            </w:pPr>
          </w:p>
        </w:tc>
        <w:tc>
          <w:tcPr>
            <w:tcW w:w="1220" w:type="dxa"/>
            <w:vAlign w:val="bottom"/>
          </w:tcPr>
          <w:p>
            <w:pPr>
              <w:jc w:val="right"/>
              <w:ind w:right="177"/>
              <w:spacing w:after="0"/>
              <w:rPr>
                <w:sz w:val="20"/>
                <w:szCs w:val="20"/>
                <w:color w:val="auto"/>
              </w:rPr>
            </w:pPr>
            <w:r>
              <w:rPr>
                <w:rFonts w:ascii="Arial" w:cs="Arial" w:eastAsia="Arial" w:hAnsi="Arial"/>
                <w:sz w:val="17"/>
                <w:szCs w:val="17"/>
                <w:color w:val="auto"/>
              </w:rPr>
              <w:t>0.05</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0.18</w:t>
            </w:r>
          </w:p>
        </w:tc>
        <w:tc>
          <w:tcPr>
            <w:tcW w:w="220" w:type="dxa"/>
            <w:vAlign w:val="bottom"/>
          </w:tcPr>
          <w:p>
            <w:pPr>
              <w:spacing w:after="0"/>
              <w:rPr>
                <w:sz w:val="18"/>
                <w:szCs w:val="18"/>
                <w:color w:val="auto"/>
              </w:rPr>
            </w:pPr>
          </w:p>
        </w:tc>
        <w:tc>
          <w:tcPr>
            <w:tcW w:w="1180" w:type="dxa"/>
            <w:vAlign w:val="bottom"/>
          </w:tcPr>
          <w:p>
            <w:pPr>
              <w:jc w:val="right"/>
              <w:ind w:right="137"/>
              <w:spacing w:after="0"/>
              <w:rPr>
                <w:sz w:val="20"/>
                <w:szCs w:val="20"/>
                <w:color w:val="auto"/>
              </w:rPr>
            </w:pPr>
            <w:r>
              <w:rPr>
                <w:rFonts w:ascii="Arial" w:cs="Arial" w:eastAsia="Arial" w:hAnsi="Arial"/>
                <w:sz w:val="17"/>
                <w:szCs w:val="17"/>
                <w:color w:val="auto"/>
              </w:rPr>
              <w:t>0.06</w:t>
            </w:r>
          </w:p>
        </w:tc>
      </w:tr>
      <w:tr>
        <w:trPr>
          <w:trHeight w:val="216"/>
        </w:trPr>
        <w:tc>
          <w:tcPr>
            <w:tcW w:w="44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2</w:t>
            </w:r>
          </w:p>
        </w:tc>
        <w:tc>
          <w:tcPr>
            <w:tcW w:w="1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(0.01)</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(0.02)</w:t>
            </w:r>
          </w:p>
        </w:tc>
      </w:tr>
      <w:tr>
        <w:trPr>
          <w:trHeight w:val="21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 per diluted share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2.04</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5"/>
        </w:trPr>
        <w:tc>
          <w:tcPr>
            <w:tcW w:w="4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18.9 %</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19.2 %</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19.3 %</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19.1 %</w:t>
            </w:r>
          </w:p>
        </w:tc>
      </w:tr>
      <w:tr>
        <w:trPr>
          <w:trHeight w:val="216"/>
        </w:trPr>
        <w:tc>
          <w:tcPr>
            <w:tcW w:w="44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4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2</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(0.1)%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0.6 %</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1.0 %</w:t>
            </w:r>
          </w:p>
        </w:tc>
      </w:tr>
      <w:tr>
        <w:trPr>
          <w:trHeight w:val="235"/>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effective tax rate</w:t>
            </w:r>
          </w:p>
        </w:tc>
        <w:tc>
          <w:tcPr>
            <w:tcW w:w="1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18.7 %</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19.8 %</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19.2 %</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20.1 %</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2" w:name="page13"/>
    <w:bookmarkEnd w:id="12"/>
    <w:p>
      <w:pPr>
        <w:jc w:val="both"/>
        <w:ind w:left="260" w:hanging="171"/>
        <w:spacing w:after="0" w:line="237" w:lineRule="auto"/>
        <w:tabs>
          <w:tab w:leader="none" w:pos="26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and six month periods ended May 2, 2025 and May 3, 2024 primarily represent severance and termination benefits, facility exit costs, compensation for fully-dedicated AMP personnel, third-party consulting costs, and product-line exit costs.</w:t>
      </w:r>
    </w:p>
    <w:p>
      <w:pPr>
        <w:spacing w:after="0" w:line="161" w:lineRule="exact"/>
        <w:rPr>
          <w:sz w:val="20"/>
          <w:szCs w:val="20"/>
          <w:color w:val="auto"/>
        </w:rPr>
      </w:pPr>
    </w:p>
    <w:p>
      <w:pPr>
        <w:jc w:val="both"/>
        <w:ind w:left="260" w:hanging="171"/>
        <w:spacing w:after="0" w:line="231" w:lineRule="auto"/>
        <w:tabs>
          <w:tab w:leader="none" w:pos="362"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May 2, 2025 and May 3, 2024.</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Liquidity Measures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defines free cash flow as net cash provided by operating activities less purchases of property, plant and equipment.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following table provides a reconciliation of non-GAAP free cash flow and free cash flow conversion percentage to net cash provided by operating activities, which is the most directly comparable financial measure calculated and reported in accordance with U.S. GAAP, for the six month periods ended May 2, 2025 and May 3, 2024:</w:t>
      </w:r>
    </w:p>
    <w:p>
      <w:pPr>
        <w:spacing w:after="0" w:line="182" w:lineRule="exact"/>
        <w:rPr>
          <w:sz w:val="20"/>
          <w:szCs w:val="20"/>
          <w:color w:val="auto"/>
        </w:rPr>
      </w:pPr>
    </w:p>
    <w:p>
      <w:pPr>
        <w:ind w:left="8400"/>
        <w:spacing w:after="0"/>
        <w:rPr>
          <w:sz w:val="20"/>
          <w:szCs w:val="20"/>
          <w:color w:val="auto"/>
        </w:rPr>
      </w:pPr>
      <w:r>
        <w:rPr>
          <w:rFonts w:ascii="Arial" w:cs="Arial" w:eastAsia="Arial" w:hAnsi="Arial"/>
          <w:sz w:val="17"/>
          <w:szCs w:val="17"/>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w:t>
            </w:r>
          </w:p>
        </w:tc>
        <w:tc>
          <w:tcPr>
            <w:tcW w:w="20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7"/>
                <w:szCs w:val="17"/>
                <w:b w:val="1"/>
                <w:bCs w:val="1"/>
                <w:color w:val="auto"/>
              </w:rPr>
              <w:t>May 2, 2025</w:t>
            </w: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auto"/>
              </w:rPr>
              <w:t>May 3, 2024</w:t>
            </w: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123.1</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135.1</w:t>
            </w:r>
          </w:p>
        </w:tc>
      </w:tr>
      <w:tr>
        <w:trPr>
          <w:trHeight w:val="216"/>
        </w:trPr>
        <w:tc>
          <w:tcPr>
            <w:tcW w:w="5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w:t>
            </w:r>
          </w:p>
        </w:tc>
        <w:tc>
          <w:tcPr>
            <w:tcW w:w="20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38.4</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39.5</w:t>
            </w:r>
          </w:p>
        </w:tc>
      </w:tr>
      <w:tr>
        <w:trPr>
          <w:trHeight w:val="210"/>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Free cash flow</w:t>
            </w:r>
          </w:p>
        </w:tc>
        <w:tc>
          <w:tcPr>
            <w:tcW w:w="2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84.7</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95.6</w:t>
            </w:r>
          </w:p>
        </w:tc>
      </w:tr>
      <w:tr>
        <w:trPr>
          <w:trHeight w:val="216"/>
        </w:trPr>
        <w:tc>
          <w:tcPr>
            <w:tcW w:w="5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20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189.6</w:t>
            </w: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209.7</w:t>
            </w:r>
          </w:p>
        </w:tc>
      </w:tr>
      <w:tr>
        <w:trPr>
          <w:trHeight w:val="235"/>
        </w:trPr>
        <w:tc>
          <w:tcPr>
            <w:tcW w:w="5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Free cash flow conversion percentage</w:t>
            </w:r>
          </w:p>
        </w:tc>
        <w:tc>
          <w:tcPr>
            <w:tcW w:w="20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44.7 %</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45.6 %</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52"/>
    </w:lvl>
  </w:abstractNum>
  <w:abstractNum w:abstractNumId="2">
    <w:nsid w:val="2EB141F2"/>
    <w:multiLevelType w:val="hybridMultilevel"/>
    <w:lvl w:ilvl="0">
      <w:lvlJc w:val="left"/>
      <w:lvlText w:val="(%1)"/>
      <w:numFmt w:val="decimal"/>
      <w:start w:val="95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2025-06-05T07:37:29Z</dcterms:created>
  <dcterms:modified xsi:type="dcterms:W3CDTF">2025-06-05T07:37:29Z</dcterms:modified>
</cp:coreProperties>
</file>