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383" w:lineRule="exact"/>
        <w:rPr>
          <w:sz w:val="24"/>
          <w:szCs w:val="24"/>
          <w:color w:val="auto"/>
        </w:rPr>
      </w:pPr>
    </w:p>
    <w:p>
      <w:pPr>
        <w:ind w:left="20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88" w:lineRule="exact"/>
        <w:rPr>
          <w:sz w:val="24"/>
          <w:szCs w:val="24"/>
          <w:color w:val="auto"/>
        </w:rPr>
      </w:pPr>
    </w:p>
    <w:p>
      <w:pPr>
        <w:jc w:val="center"/>
        <w:ind w:right="2818"/>
        <w:spacing w:after="0"/>
        <w:tabs>
          <w:tab w:leader="none" w:pos="160" w:val="left"/>
        </w:tabs>
        <w:rPr>
          <w:sz w:val="20"/>
          <w:szCs w:val="20"/>
          <w:color w:val="auto"/>
        </w:rPr>
      </w:pPr>
      <w:r>
        <w:rPr>
          <w:rFonts w:ascii="Courier New" w:cs="Courier New" w:eastAsia="Courier New" w:hAnsi="Courier New"/>
          <w:sz w:val="16"/>
          <w:szCs w:val="16"/>
          <w:color w:val="auto"/>
        </w:rPr>
        <w:t>Washington, D.C.</w:t>
        <w:tab/>
        <w:t>20549</w:t>
      </w:r>
    </w:p>
    <w:p>
      <w:pPr>
        <w:spacing w:after="0" w:line="188"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818"/>
        <w:spacing w:after="0"/>
        <w:rPr>
          <w:sz w:val="20"/>
          <w:szCs w:val="20"/>
          <w:color w:val="auto"/>
        </w:rPr>
      </w:pPr>
      <w:r>
        <w:rPr>
          <w:rFonts w:ascii="Courier New" w:cs="Courier New" w:eastAsia="Courier New" w:hAnsi="Courier New"/>
          <w:sz w:val="16"/>
          <w:szCs w:val="16"/>
          <w:color w:val="auto"/>
        </w:rPr>
        <w:t>FORM 10-Q</w:t>
      </w:r>
    </w:p>
    <w:p>
      <w:pPr>
        <w:spacing w:after="0" w:line="188"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4"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188"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For the Quarter Ended April 29, 1994 Commission File Number 1-8649</w:t>
      </w:r>
    </w:p>
    <w:p>
      <w:pPr>
        <w:spacing w:after="0" w:line="4" w:lineRule="exact"/>
        <w:rPr>
          <w:sz w:val="24"/>
          <w:szCs w:val="24"/>
          <w:color w:val="auto"/>
        </w:rPr>
      </w:pPr>
    </w:p>
    <w:p>
      <w:pPr>
        <w:ind w:left="2601"/>
        <w:spacing w:after="0"/>
        <w:tabs>
          <w:tab w:leader="none" w:pos="62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58"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THE TORO COMPANY</w:t>
      </w:r>
    </w:p>
    <w:p>
      <w:pPr>
        <w:spacing w:after="0" w:line="188"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9" w:top="610" w:right="1440" w:bottom="1440" w:gutter="0" w:footer="0" w:header="0"/>
        </w:sectPr>
      </w:pPr>
    </w:p>
    <w:p>
      <w:pPr>
        <w:spacing w:after="0" w:line="373" w:lineRule="exact"/>
        <w:rPr>
          <w:sz w:val="24"/>
          <w:szCs w:val="24"/>
          <w:color w:val="auto"/>
        </w:rPr>
      </w:pPr>
    </w:p>
    <w:p>
      <w:pPr>
        <w:ind w:left="681"/>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left="1640"/>
        <w:spacing w:after="0"/>
        <w:rPr>
          <w:sz w:val="20"/>
          <w:szCs w:val="20"/>
          <w:color w:val="auto"/>
        </w:rPr>
      </w:pPr>
      <w:r>
        <w:rPr>
          <w:rFonts w:ascii="Courier New" w:cs="Courier New" w:eastAsia="Courier New" w:hAnsi="Courier New"/>
          <w:sz w:val="16"/>
          <w:szCs w:val="16"/>
          <w:color w:val="auto"/>
        </w:rPr>
        <w:t>41-0580470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2921" w:space="720"/>
            <w:col w:w="6579"/>
          </w:cols>
          <w:pgMar w:left="239" w:top="610" w:right="1440" w:bottom="1440" w:gutter="0" w:footer="0" w:header="0"/>
          <w:type w:val="continuous"/>
        </w:sectPr>
      </w:pPr>
    </w:p>
    <w:p>
      <w:pPr>
        <w:spacing w:after="0" w:line="173" w:lineRule="exact"/>
        <w:rPr>
          <w:sz w:val="24"/>
          <w:szCs w:val="24"/>
          <w:color w:val="auto"/>
        </w:rPr>
      </w:pPr>
    </w:p>
    <w:p>
      <w:pPr>
        <w:jc w:val="center"/>
        <w:ind w:right="2818"/>
        <w:spacing w:after="0"/>
        <w:rPr>
          <w:sz w:val="20"/>
          <w:szCs w:val="20"/>
          <w:color w:val="auto"/>
        </w:rPr>
      </w:pPr>
      <w:r>
        <w:rPr>
          <w:rFonts w:ascii="Courier New" w:cs="Courier New" w:eastAsia="Courier New" w:hAnsi="Courier New"/>
          <w:sz w:val="16"/>
          <w:szCs w:val="16"/>
          <w:color w:val="auto"/>
        </w:rPr>
        <w:t>8111 LYNDALE AVENUE SOUTH</w:t>
      </w:r>
    </w:p>
    <w:p>
      <w:pPr>
        <w:spacing w:after="0" w:line="4" w:lineRule="exact"/>
        <w:rPr>
          <w:sz w:val="24"/>
          <w:szCs w:val="24"/>
          <w:color w:val="auto"/>
        </w:rPr>
      </w:pPr>
    </w:p>
    <w:p>
      <w:pPr>
        <w:ind w:left="2301"/>
        <w:spacing w:after="0"/>
        <w:tabs>
          <w:tab w:leader="none" w:pos="4601" w:val="left"/>
        </w:tabs>
        <w:rPr>
          <w:sz w:val="20"/>
          <w:szCs w:val="20"/>
          <w:color w:val="auto"/>
        </w:rPr>
      </w:pPr>
      <w:r>
        <w:rPr>
          <w:rFonts w:ascii="Courier New" w:cs="Courier New" w:eastAsia="Courier New" w:hAnsi="Courier New"/>
          <w:sz w:val="16"/>
          <w:szCs w:val="16"/>
          <w:color w:val="auto"/>
        </w:rPr>
        <w:t>BLOOMINGTON, MINNESOTA</w:t>
        <w:tab/>
        <w:t>55420</w:t>
      </w:r>
    </w:p>
    <w:p>
      <w:pPr>
        <w:spacing w:after="0" w:line="4" w:lineRule="exact"/>
        <w:rPr>
          <w:sz w:val="24"/>
          <w:szCs w:val="24"/>
          <w:color w:val="auto"/>
        </w:rPr>
      </w:pPr>
    </w:p>
    <w:p>
      <w:pPr>
        <w:ind w:left="2121"/>
        <w:spacing w:after="0"/>
        <w:rPr>
          <w:sz w:val="20"/>
          <w:szCs w:val="20"/>
          <w:color w:val="auto"/>
        </w:rPr>
      </w:pPr>
      <w:r>
        <w:rPr>
          <w:rFonts w:ascii="Courier New" w:cs="Courier New" w:eastAsia="Courier New" w:hAnsi="Courier New"/>
          <w:sz w:val="16"/>
          <w:szCs w:val="16"/>
          <w:color w:val="auto"/>
        </w:rPr>
        <w:t>TELEPHONE NUMBER: (612) 888-8801</w:t>
      </w:r>
    </w:p>
    <w:p>
      <w:pPr>
        <w:spacing w:after="0" w:line="200" w:lineRule="exact"/>
        <w:rPr>
          <w:sz w:val="24"/>
          <w:szCs w:val="24"/>
          <w:color w:val="auto"/>
        </w:rPr>
      </w:pPr>
    </w:p>
    <w:p>
      <w:pPr>
        <w:spacing w:after="0" w:line="358"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4" w:lineRule="exact"/>
        <w:rPr>
          <w:sz w:val="24"/>
          <w:szCs w:val="24"/>
          <w:color w:val="auto"/>
        </w:rPr>
      </w:pPr>
    </w:p>
    <w:p>
      <w:pPr>
        <w:jc w:val="center"/>
        <w:ind w:right="2918"/>
        <w:spacing w:after="0"/>
        <w:rPr>
          <w:sz w:val="20"/>
          <w:szCs w:val="20"/>
          <w:color w:val="auto"/>
        </w:rPr>
      </w:pPr>
      <w:r>
        <w:rPr>
          <w:rFonts w:ascii="Courier New" w:cs="Courier New" w:eastAsia="Courier New" w:hAnsi="Courier New"/>
          <w:sz w:val="16"/>
          <w:szCs w:val="16"/>
          <w:color w:val="auto"/>
        </w:rPr>
        <w:t>of registrant's principal executive offices)</w:t>
      </w:r>
    </w:p>
    <w:p>
      <w:pPr>
        <w:spacing w:after="0" w:line="188"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70" w:lineRule="exact"/>
        <w:rPr>
          <w:sz w:val="24"/>
          <w:szCs w:val="24"/>
          <w:color w:val="auto"/>
        </w:rPr>
      </w:pPr>
    </w:p>
    <w:p>
      <w:pPr>
        <w:ind w:left="481"/>
        <w:spacing w:after="0"/>
        <w:tabs>
          <w:tab w:leader="none" w:pos="1221" w:val="left"/>
          <w:tab w:leader="none" w:pos="1901"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4" w:lineRule="exact"/>
        <w:rPr>
          <w:sz w:val="24"/>
          <w:szCs w:val="24"/>
          <w:color w:val="auto"/>
        </w:rPr>
      </w:pPr>
    </w:p>
    <w:p>
      <w:pPr>
        <w:ind w:left="961"/>
        <w:spacing w:after="0"/>
        <w:tabs>
          <w:tab w:leader="none" w:pos="228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75" w:lineRule="exact"/>
        <w:rPr>
          <w:sz w:val="24"/>
          <w:szCs w:val="24"/>
          <w:color w:val="auto"/>
        </w:rPr>
      </w:pPr>
    </w:p>
    <w:p>
      <w:pPr>
        <w:ind w:left="1" w:right="3199"/>
        <w:spacing w:after="0" w:line="242" w:lineRule="auto"/>
        <w:rPr>
          <w:sz w:val="20"/>
          <w:szCs w:val="20"/>
          <w:color w:val="auto"/>
        </w:rPr>
      </w:pPr>
      <w:r>
        <w:rPr>
          <w:rFonts w:ascii="Courier New" w:cs="Courier New" w:eastAsia="Courier New" w:hAnsi="Courier New"/>
          <w:sz w:val="16"/>
          <w:szCs w:val="16"/>
          <w:color w:val="auto"/>
        </w:rPr>
        <w:t>The number of shares of Common Stock outstanding as of April 29, 1994 was 12,604,218.</w:t>
      </w:r>
    </w:p>
    <w:p>
      <w:pPr>
        <w:spacing w:after="0" w:line="189"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ectPr>
          <w:pgSz w:w="11900" w:h="16838" w:orient="portrait"/>
          <w:cols w:equalWidth="0" w:num="1">
            <w:col w:w="10221"/>
          </w:cols>
          <w:pgMar w:left="239" w:top="610" w:right="1440" w:bottom="1440" w:gutter="0" w:footer="0" w:header="0"/>
          <w:type w:val="continuous"/>
        </w:sectPr>
      </w:pPr>
    </w:p>
    <w:bookmarkStart w:id="1" w:name="page2"/>
    <w:bookmarkEnd w:id="1"/>
    <w:p>
      <w:pPr>
        <w:jc w:val="center"/>
        <w:ind w:right="291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INDEX TO FORM 10-Q</w:t>
      </w:r>
    </w:p>
    <w:p>
      <w:pPr>
        <w:spacing w:after="0" w:line="200" w:lineRule="exact"/>
        <w:rPr>
          <w:sz w:val="20"/>
          <w:szCs w:val="20"/>
          <w:color w:val="auto"/>
        </w:rPr>
      </w:pPr>
    </w:p>
    <w:p>
      <w:pPr>
        <w:spacing w:after="0" w:line="358"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6"/>
          <w:szCs w:val="16"/>
          <w:color w:val="auto"/>
        </w:rPr>
        <w:t>PAGE NUMBER</w:t>
      </w:r>
    </w:p>
    <w:p>
      <w:pPr>
        <w:spacing w:after="0" w:line="5" w:lineRule="exact"/>
        <w:rPr>
          <w:sz w:val="20"/>
          <w:szCs w:val="20"/>
          <w:color w:val="auto"/>
        </w:rPr>
      </w:pPr>
    </w:p>
    <w:p>
      <w:pPr>
        <w:ind w:left="654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FINANCIAL INFORMATION:</w:t>
            </w:r>
          </w:p>
        </w:tc>
        <w:tc>
          <w:tcPr>
            <w:tcW w:w="440" w:type="dxa"/>
            <w:vAlign w:val="bottom"/>
          </w:tcPr>
          <w:p>
            <w:pPr>
              <w:spacing w:after="0"/>
              <w:rPr>
                <w:sz w:val="15"/>
                <w:szCs w:val="15"/>
                <w:color w:val="auto"/>
              </w:rPr>
            </w:pPr>
          </w:p>
        </w:tc>
      </w:tr>
      <w:tr>
        <w:trPr>
          <w:trHeight w:val="370"/>
        </w:trPr>
        <w:tc>
          <w:tcPr>
            <w:tcW w:w="860" w:type="dxa"/>
            <w:vAlign w:val="bottom"/>
          </w:tcPr>
          <w:p>
            <w:pPr>
              <w:spacing w:after="0"/>
              <w:rPr>
                <w:sz w:val="24"/>
                <w:szCs w:val="24"/>
                <w:color w:val="auto"/>
              </w:rPr>
            </w:pPr>
          </w:p>
        </w:tc>
        <w:tc>
          <w:tcPr>
            <w:tcW w:w="6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Condensed Consolidated Balance Sheets -</w:t>
            </w:r>
          </w:p>
        </w:tc>
        <w:tc>
          <w:tcPr>
            <w:tcW w:w="4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rPr>
              <w:t>April 29,</w:t>
            </w:r>
          </w:p>
        </w:tc>
        <w:tc>
          <w:tcPr>
            <w:tcW w:w="4560" w:type="dxa"/>
            <w:vAlign w:val="bottom"/>
          </w:tcPr>
          <w:p>
            <w:pPr>
              <w:spacing w:after="0"/>
              <w:rPr>
                <w:sz w:val="20"/>
                <w:szCs w:val="20"/>
                <w:color w:val="auto"/>
              </w:rPr>
            </w:pPr>
            <w:r>
              <w:rPr>
                <w:rFonts w:ascii="Courier New" w:cs="Courier New" w:eastAsia="Courier New" w:hAnsi="Courier New"/>
                <w:sz w:val="16"/>
                <w:szCs w:val="16"/>
                <w:color w:val="auto"/>
              </w:rPr>
              <w:t>1994, April 30, 1993 and July 31, 1993 . .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0"/>
        </w:trPr>
        <w:tc>
          <w:tcPr>
            <w:tcW w:w="860" w:type="dxa"/>
            <w:vAlign w:val="bottom"/>
          </w:tcPr>
          <w:p>
            <w:pPr>
              <w:spacing w:after="0"/>
              <w:rPr>
                <w:sz w:val="24"/>
                <w:szCs w:val="24"/>
                <w:color w:val="auto"/>
              </w:rPr>
            </w:pPr>
          </w:p>
        </w:tc>
        <w:tc>
          <w:tcPr>
            <w:tcW w:w="6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Condensed Consolidated Statements of Operations and</w:t>
            </w:r>
          </w:p>
        </w:tc>
        <w:tc>
          <w:tcPr>
            <w:tcW w:w="4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6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Retained Earnings -</w:t>
            </w:r>
          </w:p>
        </w:tc>
        <w:tc>
          <w:tcPr>
            <w:tcW w:w="440" w:type="dxa"/>
            <w:vAlign w:val="bottom"/>
          </w:tcPr>
          <w:p>
            <w:pPr>
              <w:spacing w:after="0"/>
              <w:rPr>
                <w:sz w:val="16"/>
                <w:szCs w:val="16"/>
                <w:color w:val="auto"/>
              </w:rPr>
            </w:pPr>
          </w:p>
        </w:tc>
      </w:tr>
      <w:tr>
        <w:trPr>
          <w:trHeight w:val="185"/>
        </w:trPr>
        <w:tc>
          <w:tcPr>
            <w:tcW w:w="860" w:type="dxa"/>
            <w:vAlign w:val="bottom"/>
          </w:tcPr>
          <w:p>
            <w:pPr>
              <w:spacing w:after="0"/>
              <w:rPr>
                <w:sz w:val="16"/>
                <w:szCs w:val="16"/>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rPr>
              <w:t>Three and</w:t>
            </w:r>
          </w:p>
        </w:tc>
        <w:tc>
          <w:tcPr>
            <w:tcW w:w="4560" w:type="dxa"/>
            <w:vAlign w:val="bottom"/>
          </w:tcPr>
          <w:p>
            <w:pPr>
              <w:spacing w:after="0"/>
              <w:rPr>
                <w:sz w:val="20"/>
                <w:szCs w:val="20"/>
                <w:color w:val="auto"/>
              </w:rPr>
            </w:pPr>
            <w:r>
              <w:rPr>
                <w:rFonts w:ascii="Courier New" w:cs="Courier New" w:eastAsia="Courier New" w:hAnsi="Courier New"/>
                <w:sz w:val="16"/>
                <w:szCs w:val="16"/>
                <w:color w:val="auto"/>
              </w:rPr>
              <w:t>Nine Months Ended</w:t>
            </w:r>
          </w:p>
        </w:tc>
        <w:tc>
          <w:tcPr>
            <w:tcW w:w="440" w:type="dxa"/>
            <w:vAlign w:val="bottom"/>
          </w:tcPr>
          <w:p>
            <w:pPr>
              <w:spacing w:after="0"/>
              <w:rPr>
                <w:sz w:val="16"/>
                <w:szCs w:val="16"/>
                <w:color w:val="auto"/>
              </w:rPr>
            </w:pPr>
          </w:p>
        </w:tc>
      </w:tr>
      <w:tr>
        <w:trPr>
          <w:trHeight w:val="185"/>
        </w:trPr>
        <w:tc>
          <w:tcPr>
            <w:tcW w:w="860" w:type="dxa"/>
            <w:vAlign w:val="bottom"/>
          </w:tcPr>
          <w:p>
            <w:pPr>
              <w:spacing w:after="0"/>
              <w:rPr>
                <w:sz w:val="16"/>
                <w:szCs w:val="16"/>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rPr>
              <w:t>April 29,</w:t>
            </w:r>
          </w:p>
        </w:tc>
        <w:tc>
          <w:tcPr>
            <w:tcW w:w="4560" w:type="dxa"/>
            <w:vAlign w:val="bottom"/>
          </w:tcPr>
          <w:p>
            <w:pPr>
              <w:spacing w:after="0"/>
              <w:rPr>
                <w:sz w:val="20"/>
                <w:szCs w:val="20"/>
                <w:color w:val="auto"/>
              </w:rPr>
            </w:pPr>
            <w:r>
              <w:rPr>
                <w:rFonts w:ascii="Courier New" w:cs="Courier New" w:eastAsia="Courier New" w:hAnsi="Courier New"/>
                <w:sz w:val="16"/>
                <w:szCs w:val="16"/>
                <w:color w:val="auto"/>
              </w:rPr>
              <w:t>1994 and April 30, 1993. . . . . . . . . .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0"/>
        </w:trPr>
        <w:tc>
          <w:tcPr>
            <w:tcW w:w="86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Consolidated</w:t>
            </w:r>
          </w:p>
        </w:tc>
        <w:tc>
          <w:tcPr>
            <w:tcW w:w="4560" w:type="dxa"/>
            <w:vAlign w:val="bottom"/>
          </w:tcPr>
          <w:p>
            <w:pPr>
              <w:spacing w:after="0"/>
              <w:rPr>
                <w:sz w:val="20"/>
                <w:szCs w:val="20"/>
                <w:color w:val="auto"/>
              </w:rPr>
            </w:pPr>
            <w:r>
              <w:rPr>
                <w:rFonts w:ascii="Courier New" w:cs="Courier New" w:eastAsia="Courier New" w:hAnsi="Courier New"/>
                <w:sz w:val="16"/>
                <w:szCs w:val="16"/>
                <w:color w:val="auto"/>
              </w:rPr>
              <w:t>Statements of Cash Flows -</w:t>
            </w:r>
          </w:p>
        </w:tc>
        <w:tc>
          <w:tcPr>
            <w:tcW w:w="4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6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Nine Months Ended April 29, 1994 and April 30, 1993.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0"/>
        </w:trPr>
        <w:tc>
          <w:tcPr>
            <w:tcW w:w="860" w:type="dxa"/>
            <w:vAlign w:val="bottom"/>
          </w:tcPr>
          <w:p>
            <w:pPr>
              <w:spacing w:after="0"/>
              <w:rPr>
                <w:sz w:val="24"/>
                <w:szCs w:val="24"/>
                <w:color w:val="auto"/>
              </w:rPr>
            </w:pPr>
          </w:p>
        </w:tc>
        <w:tc>
          <w:tcPr>
            <w:tcW w:w="6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Notes to Condensed Consolidated Financial Statements. .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0"/>
        </w:trPr>
        <w:tc>
          <w:tcPr>
            <w:tcW w:w="860" w:type="dxa"/>
            <w:vAlign w:val="bottom"/>
          </w:tcPr>
          <w:p>
            <w:pPr>
              <w:spacing w:after="0"/>
              <w:rPr>
                <w:sz w:val="24"/>
                <w:szCs w:val="2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6"/>
                <w:szCs w:val="16"/>
                <w:color w:val="auto"/>
              </w:rPr>
              <w:t>Management's</w:t>
            </w:r>
          </w:p>
        </w:tc>
        <w:tc>
          <w:tcPr>
            <w:tcW w:w="4560" w:type="dxa"/>
            <w:vAlign w:val="bottom"/>
          </w:tcPr>
          <w:p>
            <w:pPr>
              <w:spacing w:after="0"/>
              <w:rPr>
                <w:sz w:val="20"/>
                <w:szCs w:val="20"/>
                <w:color w:val="auto"/>
              </w:rPr>
            </w:pPr>
            <w:r>
              <w:rPr>
                <w:rFonts w:ascii="Courier New" w:cs="Courier New" w:eastAsia="Courier New" w:hAnsi="Courier New"/>
                <w:sz w:val="16"/>
                <w:szCs w:val="16"/>
                <w:color w:val="auto"/>
              </w:rPr>
              <w:t>Discussion and Analysis of Financial</w:t>
            </w:r>
          </w:p>
        </w:tc>
        <w:tc>
          <w:tcPr>
            <w:tcW w:w="44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rPr>
              <w:t>Condition</w:t>
            </w:r>
          </w:p>
        </w:tc>
        <w:tc>
          <w:tcPr>
            <w:tcW w:w="4560" w:type="dxa"/>
            <w:vAlign w:val="bottom"/>
          </w:tcPr>
          <w:p>
            <w:pPr>
              <w:spacing w:after="0"/>
              <w:rPr>
                <w:sz w:val="20"/>
                <w:szCs w:val="20"/>
                <w:color w:val="auto"/>
              </w:rPr>
            </w:pPr>
            <w:r>
              <w:rPr>
                <w:rFonts w:ascii="Courier New" w:cs="Courier New" w:eastAsia="Courier New" w:hAnsi="Courier New"/>
                <w:sz w:val="16"/>
                <w:szCs w:val="16"/>
                <w:color w:val="auto"/>
              </w:rPr>
              <w:t>and Results of Operations. . . . . . . . .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554"/>
        </w:trPr>
        <w:tc>
          <w:tcPr>
            <w:tcW w:w="86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 INFORMATION:</w:t>
            </w:r>
          </w:p>
        </w:tc>
        <w:tc>
          <w:tcPr>
            <w:tcW w:w="440" w:type="dxa"/>
            <w:vAlign w:val="bottom"/>
          </w:tcPr>
          <w:p>
            <w:pPr>
              <w:spacing w:after="0"/>
              <w:rPr>
                <w:sz w:val="24"/>
                <w:szCs w:val="24"/>
                <w:color w:val="auto"/>
              </w:rPr>
            </w:pPr>
          </w:p>
        </w:tc>
      </w:tr>
      <w:tr>
        <w:trPr>
          <w:trHeight w:val="370"/>
        </w:trPr>
        <w:tc>
          <w:tcPr>
            <w:tcW w:w="860" w:type="dxa"/>
            <w:vAlign w:val="bottom"/>
          </w:tcPr>
          <w:p>
            <w:pPr>
              <w:spacing w:after="0"/>
              <w:rPr>
                <w:sz w:val="24"/>
                <w:szCs w:val="24"/>
                <w:color w:val="auto"/>
              </w:rPr>
            </w:pPr>
          </w:p>
        </w:tc>
        <w:tc>
          <w:tcPr>
            <w:tcW w:w="6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Item 6  Exhibits and Reports on Form 8-K. . . . . . . .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0"/>
        </w:trPr>
        <w:tc>
          <w:tcPr>
            <w:tcW w:w="860" w:type="dxa"/>
            <w:vAlign w:val="bottom"/>
          </w:tcPr>
          <w:p>
            <w:pPr>
              <w:spacing w:after="0"/>
              <w:rPr>
                <w:sz w:val="24"/>
                <w:szCs w:val="24"/>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w w:val="97"/>
              </w:rPr>
              <w:t>Exhibit 11</w:t>
            </w:r>
          </w:p>
        </w:tc>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Computation of Earnings Per Common Share . .</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554"/>
        </w:trPr>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560" w:type="dxa"/>
            <w:vAlign w:val="bottom"/>
          </w:tcPr>
          <w:p>
            <w:pPr>
              <w:ind w:left="1160"/>
              <w:spacing w:after="0"/>
              <w:rPr>
                <w:sz w:val="20"/>
                <w:szCs w:val="20"/>
                <w:color w:val="auto"/>
              </w:rPr>
            </w:pPr>
            <w:r>
              <w:rPr>
                <w:rFonts w:ascii="Courier New" w:cs="Courier New" w:eastAsia="Courier New" w:hAnsi="Courier New"/>
                <w:sz w:val="16"/>
                <w:szCs w:val="16"/>
                <w:color w:val="auto"/>
              </w:rPr>
              <w:t>-2-</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2" w:name="page3"/>
    <w:bookmarkEnd w:id="2"/>
    <w:p>
      <w:pPr>
        <w:jc w:val="center"/>
        <w:ind w:right="3460"/>
        <w:spacing w:after="0"/>
        <w:rPr>
          <w:sz w:val="20"/>
          <w:szCs w:val="20"/>
          <w:color w:val="auto"/>
        </w:rPr>
      </w:pPr>
      <w:r>
        <w:rPr>
          <w:rFonts w:ascii="Courier New" w:cs="Courier New" w:eastAsia="Courier New" w:hAnsi="Courier New"/>
          <w:sz w:val="16"/>
          <w:szCs w:val="16"/>
          <w:color w:val="auto"/>
        </w:rPr>
        <w:t>PART I. FINANCIAL INFORMATION</w:t>
      </w:r>
    </w:p>
    <w:p>
      <w:pPr>
        <w:spacing w:after="0" w:line="18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7"/>
              </w:rPr>
              <w:t>April 29,</w:t>
            </w:r>
          </w:p>
        </w:tc>
        <w:tc>
          <w:tcPr>
            <w:tcW w:w="440" w:type="dxa"/>
            <w:vAlign w:val="bottom"/>
          </w:tcPr>
          <w:p>
            <w:pPr>
              <w:spacing w:after="0"/>
              <w:rPr>
                <w:sz w:val="15"/>
                <w:szCs w:val="15"/>
                <w:color w:val="auto"/>
              </w:rPr>
            </w:pPr>
          </w:p>
        </w:tc>
        <w:tc>
          <w:tcPr>
            <w:tcW w:w="14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April 30,</w:t>
            </w:r>
          </w:p>
        </w:tc>
        <w:tc>
          <w:tcPr>
            <w:tcW w:w="480" w:type="dxa"/>
            <w:vAlign w:val="bottom"/>
          </w:tcPr>
          <w:p>
            <w:pPr>
              <w:spacing w:after="0"/>
              <w:rPr>
                <w:sz w:val="15"/>
                <w:szCs w:val="15"/>
                <w:color w:val="auto"/>
              </w:rPr>
            </w:pPr>
          </w:p>
        </w:tc>
        <w:tc>
          <w:tcPr>
            <w:tcW w:w="12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July 31,</w:t>
            </w:r>
          </w:p>
        </w:tc>
      </w:tr>
      <w:tr>
        <w:trPr>
          <w:trHeight w:val="185"/>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1994</w:t>
            </w:r>
          </w:p>
        </w:tc>
        <w:tc>
          <w:tcPr>
            <w:tcW w:w="440" w:type="dxa"/>
            <w:vAlign w:val="bottom"/>
          </w:tcPr>
          <w:p>
            <w:pPr>
              <w:spacing w:after="0"/>
              <w:rPr>
                <w:sz w:val="16"/>
                <w:szCs w:val="16"/>
                <w:color w:val="auto"/>
              </w:rPr>
            </w:pPr>
          </w:p>
        </w:tc>
        <w:tc>
          <w:tcPr>
            <w:tcW w:w="148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1993</w:t>
            </w:r>
          </w:p>
        </w:tc>
        <w:tc>
          <w:tcPr>
            <w:tcW w:w="480" w:type="dxa"/>
            <w:vAlign w:val="bottom"/>
          </w:tcPr>
          <w:p>
            <w:pPr>
              <w:spacing w:after="0"/>
              <w:rPr>
                <w:sz w:val="16"/>
                <w:szCs w:val="16"/>
                <w:color w:val="auto"/>
              </w:rPr>
            </w:pPr>
          </w:p>
        </w:tc>
        <w:tc>
          <w:tcPr>
            <w:tcW w:w="12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54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Cash. . . . . . . . . . . . . . . . . . . . . . . . . .</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7,664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6,482</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61,793</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Receivables (net) . . . .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300,751</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276,190</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180,363</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Inventories . . . . . . .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123,662</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99,354</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78,708</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Prepaid expenses. . . . .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23,004</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25,368</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23,266</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current assets.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455,081</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407,394</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344,130</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Property, plant and equipment . . . . . . . . . . . . .</w:t>
            </w:r>
          </w:p>
        </w:tc>
        <w:tc>
          <w:tcPr>
            <w:tcW w:w="340" w:type="dxa"/>
            <w:vAlign w:val="bottom"/>
          </w:tcPr>
          <w:p>
            <w:pPr>
              <w:spacing w:after="0"/>
              <w:rPr>
                <w:sz w:val="24"/>
                <w:szCs w:val="24"/>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182,009</w:t>
            </w:r>
          </w:p>
        </w:tc>
        <w:tc>
          <w:tcPr>
            <w:tcW w:w="440" w:type="dxa"/>
            <w:vAlign w:val="bottom"/>
          </w:tcPr>
          <w:p>
            <w:pPr>
              <w:spacing w:after="0"/>
              <w:rPr>
                <w:sz w:val="24"/>
                <w:szCs w:val="24"/>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181,276</w:t>
            </w:r>
          </w:p>
        </w:tc>
        <w:tc>
          <w:tcPr>
            <w:tcW w:w="48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173,397</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Less accumulated depreciation and amortization.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125,091</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118,243</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113,428</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16"/>
                <w:szCs w:val="16"/>
                <w:color w:val="auto"/>
              </w:rPr>
            </w:pP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56,918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63,033</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59,969</w:t>
            </w:r>
          </w:p>
        </w:tc>
      </w:tr>
      <w:tr>
        <w:trPr>
          <w:trHeight w:val="370"/>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assets. . . . . . . . . . . . . . . . . . . . . .</w:t>
            </w:r>
          </w:p>
        </w:tc>
        <w:tc>
          <w:tcPr>
            <w:tcW w:w="340" w:type="dxa"/>
            <w:vAlign w:val="bottom"/>
          </w:tcPr>
          <w:p>
            <w:pPr>
              <w:spacing w:after="0"/>
              <w:rPr>
                <w:sz w:val="24"/>
                <w:szCs w:val="24"/>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18,266</w:t>
            </w:r>
          </w:p>
        </w:tc>
        <w:tc>
          <w:tcPr>
            <w:tcW w:w="440" w:type="dxa"/>
            <w:vAlign w:val="bottom"/>
          </w:tcPr>
          <w:p>
            <w:pPr>
              <w:spacing w:after="0"/>
              <w:rPr>
                <w:sz w:val="24"/>
                <w:szCs w:val="24"/>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20,415</w:t>
            </w:r>
          </w:p>
        </w:tc>
        <w:tc>
          <w:tcPr>
            <w:tcW w:w="48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15,104</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assets. . . . . . . . . . . . . . . . . . .</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530,265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490,842</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419,203</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Current portion of long-term debt . . . . . . . . . . .</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45,645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16,140</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15,000</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Short-term debt . . . . .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43,588</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28,460</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Accounts payable. . . . .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38,193</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30,252</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28,786</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accrued liabilities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155,882</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124,922</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106,474</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current liabilities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283,308</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199,774</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150,260</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Deferred income taxes . . . . . . . . . . . . . . . . .</w:t>
            </w:r>
          </w:p>
        </w:tc>
        <w:tc>
          <w:tcPr>
            <w:tcW w:w="340" w:type="dxa"/>
            <w:vAlign w:val="bottom"/>
          </w:tcPr>
          <w:p>
            <w:pPr>
              <w:spacing w:after="0"/>
              <w:rPr>
                <w:sz w:val="24"/>
                <w:szCs w:val="24"/>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759</w:t>
            </w:r>
          </w:p>
        </w:tc>
        <w:tc>
          <w:tcPr>
            <w:tcW w:w="440" w:type="dxa"/>
            <w:vAlign w:val="bottom"/>
          </w:tcPr>
          <w:p>
            <w:pPr>
              <w:spacing w:after="0"/>
              <w:rPr>
                <w:sz w:val="24"/>
                <w:szCs w:val="24"/>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2,442</w:t>
            </w:r>
          </w:p>
        </w:tc>
        <w:tc>
          <w:tcPr>
            <w:tcW w:w="48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1,372</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Long-term debt, less current portion.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77,245</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147,960</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122,970</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Deferred income . . . . .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5,250</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5"/>
        </w:trPr>
        <w:tc>
          <w:tcPr>
            <w:tcW w:w="5420" w:type="dxa"/>
            <w:vAlign w:val="bottom"/>
          </w:tcPr>
          <w:p>
            <w:pPr>
              <w:jc w:val="right"/>
              <w:ind w:right="2360"/>
              <w:spacing w:after="0"/>
              <w:rPr>
                <w:sz w:val="20"/>
                <w:szCs w:val="20"/>
                <w:color w:val="auto"/>
              </w:rPr>
            </w:pPr>
            <w:r>
              <w:rPr>
                <w:rFonts w:ascii="Courier New" w:cs="Courier New" w:eastAsia="Courier New" w:hAnsi="Courier New"/>
                <w:sz w:val="16"/>
                <w:szCs w:val="16"/>
                <w:color w:val="auto"/>
              </w:rPr>
              <w:t>Common stock par value $1.00,</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authorized 35,000,000 shares; issued and</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outstanding 12,604,218 shares at April 29,</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1994 (net of 28,544 treasury shares),</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12,252,230 shares at April 30, 1993</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(net of 325,643 treasury shares), and</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12,270,404 shares at July 31, 1993 (net</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of 307,469 treasury shares).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12,604</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12,252</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12,270</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Additional paid-in capital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49,357</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44,736</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44,898</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Retained earnings. . . . . . . . .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107,189</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92,304</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93,451</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Foreign currency translation adjustment. . . . . . .</w:t>
            </w:r>
          </w:p>
        </w:tc>
        <w:tc>
          <w:tcPr>
            <w:tcW w:w="340" w:type="dxa"/>
            <w:vAlign w:val="bottom"/>
          </w:tcPr>
          <w:p>
            <w:pPr>
              <w:spacing w:after="0"/>
              <w:rPr>
                <w:sz w:val="16"/>
                <w:szCs w:val="16"/>
                <w:color w:val="auto"/>
              </w:rPr>
            </w:pP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(224)</w:t>
            </w:r>
          </w:p>
        </w:tc>
        <w:tc>
          <w:tcPr>
            <w:tcW w:w="440" w:type="dxa"/>
            <w:vAlign w:val="bottom"/>
          </w:tcPr>
          <w:p>
            <w:pPr>
              <w:spacing w:after="0"/>
              <w:rPr>
                <w:sz w:val="16"/>
                <w:szCs w:val="16"/>
                <w:color w:val="auto"/>
              </w:rPr>
            </w:pP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(792)</w:t>
            </w:r>
          </w:p>
        </w:tc>
        <w:tc>
          <w:tcPr>
            <w:tcW w:w="4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(795)</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30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168,926</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148,500</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149,824</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Receivable from ESOP . . . . . . . . . . . . . . . .</w:t>
            </w:r>
          </w:p>
        </w:tc>
        <w:tc>
          <w:tcPr>
            <w:tcW w:w="340" w:type="dxa"/>
            <w:vAlign w:val="bottom"/>
          </w:tcPr>
          <w:p>
            <w:pPr>
              <w:spacing w:after="0"/>
              <w:rPr>
                <w:sz w:val="16"/>
                <w:szCs w:val="16"/>
                <w:color w:val="auto"/>
              </w:rPr>
            </w:pP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(5,223)</w:t>
            </w:r>
          </w:p>
        </w:tc>
        <w:tc>
          <w:tcPr>
            <w:tcW w:w="440" w:type="dxa"/>
            <w:vAlign w:val="bottom"/>
          </w:tcPr>
          <w:p>
            <w:pPr>
              <w:spacing w:after="0"/>
              <w:rPr>
                <w:sz w:val="16"/>
                <w:szCs w:val="16"/>
                <w:color w:val="auto"/>
              </w:rPr>
            </w:pPr>
          </w:p>
        </w:tc>
        <w:tc>
          <w:tcPr>
            <w:tcW w:w="148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(7,834)</w:t>
            </w:r>
          </w:p>
        </w:tc>
        <w:tc>
          <w:tcPr>
            <w:tcW w:w="4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(5,223)</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common stockholders' equity. . . . . . . . . .</w:t>
            </w:r>
          </w:p>
        </w:tc>
        <w:tc>
          <w:tcPr>
            <w:tcW w:w="340" w:type="dxa"/>
            <w:vAlign w:val="bottom"/>
          </w:tcPr>
          <w:p>
            <w:pPr>
              <w:spacing w:after="0"/>
              <w:rPr>
                <w:sz w:val="16"/>
                <w:szCs w:val="16"/>
                <w:color w:val="auto"/>
              </w:rPr>
            </w:pP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163,703</w:t>
            </w:r>
          </w:p>
        </w:tc>
        <w:tc>
          <w:tcPr>
            <w:tcW w:w="440" w:type="dxa"/>
            <w:vAlign w:val="bottom"/>
          </w:tcPr>
          <w:p>
            <w:pPr>
              <w:spacing w:after="0"/>
              <w:rPr>
                <w:sz w:val="16"/>
                <w:szCs w:val="16"/>
                <w:color w:val="auto"/>
              </w:rPr>
            </w:pP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140,666</w:t>
            </w:r>
          </w:p>
        </w:tc>
        <w:tc>
          <w:tcPr>
            <w:tcW w:w="48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144,601</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Total liabilities and stockholders' equity . . .</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530,265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490,842</w:t>
            </w:r>
          </w:p>
        </w:tc>
        <w:tc>
          <w:tcPr>
            <w:tcW w:w="4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419,203</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spacing w:after="0"/>
              <w:rPr>
                <w:sz w:val="16"/>
                <w:szCs w:val="16"/>
                <w:color w:val="auto"/>
              </w:rPr>
            </w:pPr>
          </w:p>
        </w:tc>
        <w:tc>
          <w:tcPr>
            <w:tcW w:w="17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92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60"/>
          </w:cols>
          <w:pgMar w:left="240" w:top="669" w:right="799" w:bottom="144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AND RETAINED EARNINGS (UNAUDITED)</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40" w:type="dxa"/>
            <w:vAlign w:val="bottom"/>
            <w:gridSpan w:val="3"/>
          </w:tcPr>
          <w:p>
            <w:pPr>
              <w:jc w:val="right"/>
              <w:ind w:right="640"/>
              <w:spacing w:after="0"/>
              <w:rPr>
                <w:sz w:val="20"/>
                <w:szCs w:val="20"/>
                <w:color w:val="auto"/>
              </w:rPr>
            </w:pPr>
            <w:r>
              <w:rPr>
                <w:rFonts w:ascii="Courier New" w:cs="Courier New" w:eastAsia="Courier New" w:hAnsi="Courier New"/>
                <w:sz w:val="16"/>
                <w:szCs w:val="16"/>
                <w:color w:val="auto"/>
              </w:rPr>
              <w:t>Three Months Ended</w:t>
            </w:r>
          </w:p>
        </w:tc>
        <w:tc>
          <w:tcPr>
            <w:tcW w:w="380" w:type="dxa"/>
            <w:vAlign w:val="bottom"/>
          </w:tcPr>
          <w:p>
            <w:pPr>
              <w:spacing w:after="0"/>
              <w:rPr>
                <w:sz w:val="15"/>
                <w:szCs w:val="15"/>
                <w:color w:val="auto"/>
              </w:rPr>
            </w:pPr>
          </w:p>
        </w:tc>
        <w:tc>
          <w:tcPr>
            <w:tcW w:w="264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504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4"/>
              </w:rPr>
              <w:t>----------------------------</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2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April 29,</w:t>
            </w:r>
          </w:p>
        </w:tc>
        <w:tc>
          <w:tcPr>
            <w:tcW w:w="280" w:type="dxa"/>
            <w:vAlign w:val="bottom"/>
          </w:tcPr>
          <w:p>
            <w:pPr>
              <w:spacing w:after="0"/>
              <w:rPr>
                <w:sz w:val="16"/>
                <w:szCs w:val="16"/>
                <w:color w:val="auto"/>
              </w:rPr>
            </w:pPr>
          </w:p>
        </w:tc>
        <w:tc>
          <w:tcPr>
            <w:tcW w:w="13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April 30,</w:t>
            </w:r>
          </w:p>
        </w:tc>
        <w:tc>
          <w:tcPr>
            <w:tcW w:w="380" w:type="dxa"/>
            <w:vAlign w:val="bottom"/>
          </w:tcPr>
          <w:p>
            <w:pPr>
              <w:spacing w:after="0"/>
              <w:rPr>
                <w:sz w:val="16"/>
                <w:szCs w:val="16"/>
                <w:color w:val="auto"/>
              </w:rPr>
            </w:pPr>
          </w:p>
        </w:tc>
        <w:tc>
          <w:tcPr>
            <w:tcW w:w="12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April 29,</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April 30,</w:t>
            </w:r>
          </w:p>
        </w:tc>
      </w:tr>
      <w:tr>
        <w:trPr>
          <w:trHeight w:val="18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6"/>
                <w:szCs w:val="16"/>
                <w:color w:val="auto"/>
              </w:rPr>
            </w:pPr>
          </w:p>
        </w:tc>
        <w:tc>
          <w:tcPr>
            <w:tcW w:w="136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1993</w:t>
            </w:r>
          </w:p>
        </w:tc>
        <w:tc>
          <w:tcPr>
            <w:tcW w:w="380" w:type="dxa"/>
            <w:vAlign w:val="bottom"/>
          </w:tcPr>
          <w:p>
            <w:pPr>
              <w:spacing w:after="0"/>
              <w:rPr>
                <w:sz w:val="16"/>
                <w:szCs w:val="16"/>
                <w:color w:val="auto"/>
              </w:rPr>
            </w:pPr>
          </w:p>
        </w:tc>
        <w:tc>
          <w:tcPr>
            <w:tcW w:w="12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1994</w:t>
            </w:r>
          </w:p>
        </w:tc>
        <w:tc>
          <w:tcPr>
            <w:tcW w:w="30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sales . . . . . . . . . . . . . . . . . . . .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276,476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241,347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601,650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507,962</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Cost of sales . . . . . . . . . . . . . . . . . . .</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178,787</w:t>
            </w:r>
          </w:p>
        </w:tc>
        <w:tc>
          <w:tcPr>
            <w:tcW w:w="28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157,553</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388,339</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331,571</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Gross profit . . . . . . . . . . . . . . . . .</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97,689</w:t>
            </w:r>
          </w:p>
        </w:tc>
        <w:tc>
          <w:tcPr>
            <w:tcW w:w="28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83,794</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213,311</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176,391</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expense. . . . . . . . . . . . . . . . . . . .</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70,817</w:t>
            </w:r>
          </w:p>
        </w:tc>
        <w:tc>
          <w:tcPr>
            <w:tcW w:w="28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59,470</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179,618</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150,106</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Earnings from operations . . . . . . . . . . .</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26,872</w:t>
            </w:r>
          </w:p>
        </w:tc>
        <w:tc>
          <w:tcPr>
            <w:tcW w:w="28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24,324</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33,693</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26,285</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Interest expense. . . . . . . . . . . . . . . . . .</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3,631</w:t>
            </w:r>
          </w:p>
        </w:tc>
        <w:tc>
          <w:tcPr>
            <w:tcW w:w="28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4,568</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10,178</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12,978</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Other income, net . . . . . . . . . . . . . . . . .</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(2,820)</w:t>
            </w:r>
          </w:p>
        </w:tc>
        <w:tc>
          <w:tcPr>
            <w:tcW w:w="280" w:type="dxa"/>
            <w:vAlign w:val="bottom"/>
          </w:tcPr>
          <w:p>
            <w:pPr>
              <w:spacing w:after="0"/>
              <w:rPr>
                <w:sz w:val="16"/>
                <w:szCs w:val="16"/>
                <w:color w:val="auto"/>
              </w:rPr>
            </w:pP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(796)</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(6,850)</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(3,503)</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Earnings before income taxes . . . . . . . . .</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26,061</w:t>
            </w:r>
          </w:p>
        </w:tc>
        <w:tc>
          <w:tcPr>
            <w:tcW w:w="28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20,552</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30,365</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16,810</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Provision for income taxes. . . . . . . . . . . . .</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10,424</w:t>
            </w:r>
          </w:p>
        </w:tc>
        <w:tc>
          <w:tcPr>
            <w:tcW w:w="280" w:type="dxa"/>
            <w:vAlign w:val="bottom"/>
          </w:tcPr>
          <w:p>
            <w:pPr>
              <w:spacing w:after="0"/>
              <w:rPr>
                <w:sz w:val="16"/>
                <w:szCs w:val="16"/>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7,810</w:t>
            </w:r>
          </w:p>
        </w:tc>
        <w:tc>
          <w:tcPr>
            <w:tcW w:w="380" w:type="dxa"/>
            <w:vAlign w:val="bottom"/>
          </w:tcPr>
          <w:p>
            <w:pPr>
              <w:spacing w:after="0"/>
              <w:rPr>
                <w:sz w:val="16"/>
                <w:szCs w:val="16"/>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12,146</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6,388</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Net earnings . . . . . . . . . . . . . . . .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15,637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12,742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18,219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10,422</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739"/>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Retained earnings at beginning of period. . . . . .</w:t>
            </w:r>
          </w:p>
        </w:tc>
        <w:tc>
          <w:tcPr>
            <w:tcW w:w="340" w:type="dxa"/>
            <w:vAlign w:val="bottom"/>
          </w:tcPr>
          <w:p>
            <w:pPr>
              <w:spacing w:after="0"/>
              <w:rPr>
                <w:sz w:val="24"/>
                <w:szCs w:val="24"/>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93,063</w:t>
            </w:r>
          </w:p>
        </w:tc>
        <w:tc>
          <w:tcPr>
            <w:tcW w:w="280" w:type="dxa"/>
            <w:vAlign w:val="bottom"/>
          </w:tcPr>
          <w:p>
            <w:pPr>
              <w:spacing w:after="0"/>
              <w:rPr>
                <w:sz w:val="24"/>
                <w:szCs w:val="24"/>
                <w:color w:val="auto"/>
              </w:rPr>
            </w:pP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81,019</w:t>
            </w:r>
          </w:p>
        </w:tc>
        <w:tc>
          <w:tcPr>
            <w:tcW w:w="380" w:type="dxa"/>
            <w:vAlign w:val="bottom"/>
          </w:tcPr>
          <w:p>
            <w:pPr>
              <w:spacing w:after="0"/>
              <w:rPr>
                <w:sz w:val="24"/>
                <w:szCs w:val="24"/>
                <w:color w:val="auto"/>
              </w:rPr>
            </w:pP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93,451</w:t>
            </w:r>
          </w:p>
        </w:tc>
        <w:tc>
          <w:tcPr>
            <w:tcW w:w="30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86,235</w:t>
            </w:r>
          </w:p>
        </w:tc>
      </w:tr>
      <w:tr>
        <w:trPr>
          <w:trHeight w:val="185"/>
        </w:trPr>
        <w:tc>
          <w:tcPr>
            <w:tcW w:w="5040" w:type="dxa"/>
            <w:vAlign w:val="bottom"/>
          </w:tcPr>
          <w:p>
            <w:pPr>
              <w:spacing w:after="0"/>
              <w:rPr>
                <w:sz w:val="20"/>
                <w:szCs w:val="20"/>
                <w:color w:val="auto"/>
              </w:rPr>
            </w:pPr>
            <w:r>
              <w:rPr>
                <w:rFonts w:ascii="Courier New" w:cs="Courier New" w:eastAsia="Courier New" w:hAnsi="Courier New"/>
                <w:sz w:val="16"/>
                <w:szCs w:val="16"/>
                <w:color w:val="auto"/>
              </w:rPr>
              <w:t>Dividends on common stock of $0.12, $0.12,</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$0.36 and $0.36 per share, respectively. . . .</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(1,511)</w:t>
            </w:r>
          </w:p>
        </w:tc>
        <w:tc>
          <w:tcPr>
            <w:tcW w:w="280" w:type="dxa"/>
            <w:vAlign w:val="bottom"/>
          </w:tcPr>
          <w:p>
            <w:pPr>
              <w:spacing w:after="0"/>
              <w:rPr>
                <w:sz w:val="16"/>
                <w:szCs w:val="16"/>
                <w:color w:val="auto"/>
              </w:rPr>
            </w:pPr>
          </w:p>
        </w:tc>
        <w:tc>
          <w:tcPr>
            <w:tcW w:w="13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(1,457)</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(4,481)</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(4,353)</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9"/>
              </w:rPr>
              <w:t>Retained earnings at end of period. . . . . . . .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107,189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92,304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107,189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92,304</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earnings per common and common</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share equivalent:. . . . . . . . . . . . . . .</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1.01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0.85</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04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240"/>
          </w:cols>
          <w:pgMar w:left="240" w:top="669" w:right="419" w:bottom="1440" w:gutter="0" w:footer="0" w:header="0"/>
        </w:sectPr>
      </w:pPr>
    </w:p>
    <w:bookmarkStart w:id="4" w:name="page5"/>
    <w:bookmarkEnd w:id="4"/>
    <w:p>
      <w:pPr>
        <w:jc w:val="center"/>
        <w:ind w:right="281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jc w:val="right"/>
              <w:ind w:right="1120"/>
              <w:spacing w:after="0"/>
              <w:rPr>
                <w:sz w:val="20"/>
                <w:szCs w:val="20"/>
                <w:color w:val="auto"/>
              </w:rPr>
            </w:pPr>
            <w:r>
              <w:rPr>
                <w:rFonts w:ascii="Courier New" w:cs="Courier New" w:eastAsia="Courier New" w:hAnsi="Courier New"/>
                <w:sz w:val="16"/>
                <w:szCs w:val="16"/>
                <w:color w:val="auto"/>
              </w:rPr>
              <w:t>(DOLLARS IN THOUSANDS)</w:t>
            </w: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924"/>
        </w:trPr>
        <w:tc>
          <w:tcPr>
            <w:tcW w:w="5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5900" w:type="dxa"/>
            <w:vAlign w:val="bottom"/>
          </w:tcPr>
          <w:p>
            <w:pPr>
              <w:spacing w:after="0"/>
              <w:rPr>
                <w:sz w:val="16"/>
                <w:szCs w:val="16"/>
                <w:color w:val="auto"/>
              </w:rPr>
            </w:pPr>
          </w:p>
        </w:tc>
        <w:tc>
          <w:tcPr>
            <w:tcW w:w="2940" w:type="dxa"/>
            <w:vAlign w:val="bottom"/>
            <w:gridSpan w:val="4"/>
          </w:tcPr>
          <w:p>
            <w:pPr>
              <w:ind w:left="2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5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April 29,</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April 30,</w:t>
            </w:r>
          </w:p>
        </w:tc>
      </w:tr>
      <w:tr>
        <w:trPr>
          <w:trHeight w:val="185"/>
        </w:trPr>
        <w:tc>
          <w:tcPr>
            <w:tcW w:w="5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30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5900" w:type="dxa"/>
            <w:vAlign w:val="bottom"/>
          </w:tcPr>
          <w:p>
            <w:pPr>
              <w:spacing w:after="0"/>
              <w:rPr>
                <w:sz w:val="16"/>
                <w:szCs w:val="16"/>
                <w:color w:val="auto"/>
              </w:rPr>
            </w:pPr>
          </w:p>
        </w:tc>
        <w:tc>
          <w:tcPr>
            <w:tcW w:w="15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554"/>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900" w:type="dxa"/>
            <w:vAlign w:val="bottom"/>
          </w:tcPr>
          <w:p>
            <w:pPr>
              <w:spacing w:after="0"/>
              <w:rPr>
                <w:sz w:val="20"/>
                <w:szCs w:val="20"/>
                <w:color w:val="auto"/>
              </w:rPr>
            </w:pPr>
            <w:r>
              <w:rPr>
                <w:rFonts w:ascii="Courier New" w:cs="Courier New" w:eastAsia="Courier New" w:hAnsi="Courier New"/>
                <w:sz w:val="16"/>
                <w:szCs w:val="16"/>
                <w:color w:val="auto"/>
              </w:rPr>
              <w:t>Net income . . .. . . . . . . . . . . . . . . . . . . . . .</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18,219</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10,422</w:t>
            </w:r>
          </w:p>
        </w:tc>
      </w:tr>
      <w:tr>
        <w:trPr>
          <w:trHeight w:val="185"/>
        </w:trPr>
        <w:tc>
          <w:tcPr>
            <w:tcW w:w="5900" w:type="dxa"/>
            <w:vAlign w:val="bottom"/>
          </w:tcPr>
          <w:p>
            <w:pPr>
              <w:jc w:val="right"/>
              <w:ind w:right="82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900" w:type="dxa"/>
            <w:vAlign w:val="bottom"/>
          </w:tcPr>
          <w:p>
            <w:pPr>
              <w:jc w:val="right"/>
              <w:ind w:right="2360"/>
              <w:spacing w:after="0"/>
              <w:rPr>
                <w:sz w:val="20"/>
                <w:szCs w:val="20"/>
                <w:color w:val="auto"/>
              </w:rPr>
            </w:pPr>
            <w:r>
              <w:rPr>
                <w:rFonts w:ascii="Courier New" w:cs="Courier New" w:eastAsia="Courier New" w:hAnsi="Courier New"/>
                <w:sz w:val="16"/>
                <w:szCs w:val="16"/>
                <w:color w:val="auto"/>
              </w:rPr>
              <w:t>used in operating activities:</w:t>
            </w: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Provision for depreciation and amortization.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13,680</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14,082</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Provision for deferred income tax benefit.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(613)</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w:t>
            </w:r>
          </w:p>
        </w:tc>
      </w:tr>
      <w:tr>
        <w:trPr>
          <w:trHeight w:val="185"/>
        </w:trPr>
        <w:tc>
          <w:tcPr>
            <w:tcW w:w="5900" w:type="dxa"/>
            <w:vAlign w:val="bottom"/>
          </w:tcPr>
          <w:p>
            <w:pPr>
              <w:jc w:val="right"/>
              <w:ind w:right="112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Receivables (net) . . . . . . . . . . .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(126,977)</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(77,853)</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Inventories . . . . . . . . . . . . . .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(44,954)</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(25,229)</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Prepaid expenses. . . . . . .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262</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863</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Payables and accruals . . . .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51,202</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27,573</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Accrued income taxes. . . . .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7,615</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5,514</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Net cash used in operating activities.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(81,566)</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(44,695)</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Purchases of property, plant and equipment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(9,270)</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(6,009)</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Proceeds from asset disposals. .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Increase in other assets . . . . . . . . .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(4,541)</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(2,728)</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Net cash used in investing activities.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(13,792)</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(8,737)</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Increase in short-term debt. . .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43,588</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28,460</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Increase in sale of receivables.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6,589</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8,333</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Repayments of long-term debt . . . . . . .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(15,080)</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Proceeds from deferred income. .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5,250</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Proceeds from sale of common stock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6,026</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3,066</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Purchases of common stock. . . . . . . . .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(1,234)</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(291)</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Dividends on common stock. . . . . . . . . . . . . . .</w:t>
            </w:r>
          </w:p>
        </w:tc>
        <w:tc>
          <w:tcPr>
            <w:tcW w:w="4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(4,481)</w:t>
            </w:r>
          </w:p>
        </w:tc>
        <w:tc>
          <w:tcPr>
            <w:tcW w:w="30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(4,353)</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Net cash provided by financing activities.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40,658</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35,215</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Foreign currency translation adjustment . . . . . . . . . .</w:t>
            </w:r>
          </w:p>
        </w:tc>
        <w:tc>
          <w:tcPr>
            <w:tcW w:w="44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571</w:t>
            </w:r>
          </w:p>
        </w:tc>
        <w:tc>
          <w:tcPr>
            <w:tcW w:w="30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(792)</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Net decrease in cash. . . . . . . . . . . . . . . . . . . .</w:t>
            </w:r>
          </w:p>
        </w:tc>
        <w:tc>
          <w:tcPr>
            <w:tcW w:w="44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(54,129)</w:t>
            </w:r>
          </w:p>
        </w:tc>
        <w:tc>
          <w:tcPr>
            <w:tcW w:w="30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(19,009)</w:t>
            </w:r>
          </w:p>
        </w:tc>
      </w:tr>
      <w:tr>
        <w:trPr>
          <w:trHeight w:val="185"/>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Cash at beginning of period . . . . . . . . . . . . . . . .</w:t>
            </w:r>
          </w:p>
        </w:tc>
        <w:tc>
          <w:tcPr>
            <w:tcW w:w="4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61,793</w:t>
            </w:r>
          </w:p>
        </w:tc>
        <w:tc>
          <w:tcPr>
            <w:tcW w:w="300" w:type="dxa"/>
            <w:vAlign w:val="bottom"/>
          </w:tcPr>
          <w:p>
            <w:pPr>
              <w:spacing w:after="0"/>
              <w:rPr>
                <w:sz w:val="16"/>
                <w:szCs w:val="16"/>
                <w:color w:val="auto"/>
              </w:rPr>
            </w:pP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25,491</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9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Cash at end of period . . . . . . . . . . . . . . . . . . .</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7,664</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6,482</w:t>
            </w:r>
          </w:p>
        </w:tc>
      </w:tr>
      <w:tr>
        <w:trPr>
          <w:trHeight w:val="185"/>
        </w:trPr>
        <w:tc>
          <w:tcPr>
            <w:tcW w:w="59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6140"/>
        <w:spacing w:after="0"/>
        <w:tabs>
          <w:tab w:leader="none" w:pos="7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9" w:right="1440" w:bottom="1440" w:gutter="0" w:footer="0" w:header="0"/>
        </w:sectPr>
      </w:pPr>
    </w:p>
    <w:bookmarkStart w:id="5" w:name="page6"/>
    <w:bookmarkEnd w:id="5"/>
    <w:p>
      <w:pPr>
        <w:jc w:val="center"/>
        <w:ind w:right="2918"/>
        <w:spacing w:after="0" w:line="244" w:lineRule="auto"/>
        <w:rPr>
          <w:sz w:val="20"/>
          <w:szCs w:val="20"/>
          <w:color w:val="auto"/>
        </w:rPr>
      </w:pPr>
      <w:r>
        <w:rPr>
          <w:rFonts w:ascii="Courier New" w:cs="Courier New" w:eastAsia="Courier New" w:hAnsi="Courier New"/>
          <w:sz w:val="16"/>
          <w:szCs w:val="16"/>
          <w:color w:val="auto"/>
        </w:rPr>
        <w:t>THE TORO COMPANY AND SUBSIDIARIES NOTES TO CONDENSED CONSOLIDATED FINANCIAL STATEMENTS (UNAUDITED) APRIL 29, 1994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w:t>
      </w:r>
    </w:p>
    <w:p>
      <w:pPr>
        <w:spacing w:after="0" w:line="5" w:lineRule="exact"/>
        <w:rPr>
          <w:rFonts w:ascii="Courier New" w:cs="Courier New" w:eastAsia="Courier New" w:hAnsi="Courier New"/>
          <w:sz w:val="16"/>
          <w:szCs w:val="16"/>
          <w:color w:val="auto"/>
        </w:rPr>
      </w:pPr>
    </w:p>
    <w:p>
      <w:pPr>
        <w:ind w:left="48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furnished reflects all adjustments which, in the opinion of management, are necessary for a fair presentation of the interim periods. The Toro Company's business is seasonal. Operating results for the three months and nine months ended April 29, 1994 are not necessarily indicative of the results that may be expected for the fiscal year ending July 31, 1994.</w:t>
      </w:r>
    </w:p>
    <w:p>
      <w:pPr>
        <w:spacing w:after="0" w:line="187" w:lineRule="exact"/>
        <w:rPr>
          <w:rFonts w:ascii="Courier New" w:cs="Courier New" w:eastAsia="Courier New" w:hAnsi="Courier New"/>
          <w:sz w:val="16"/>
          <w:szCs w:val="16"/>
          <w:color w:val="auto"/>
        </w:rPr>
      </w:pPr>
    </w:p>
    <w:p>
      <w:pPr>
        <w:ind w:left="4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These statements should be read in conjunction with the financial statements and footnotes included in the Company's Annual Report for the year ended July 31, 1993. The policies described in that report are used in preparing quarterly reports.</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5" w:lineRule="exact"/>
        <w:rPr>
          <w:rFonts w:ascii="Courier New" w:cs="Courier New" w:eastAsia="Courier New" w:hAnsi="Courier New"/>
          <w:sz w:val="16"/>
          <w:szCs w:val="16"/>
          <w:color w:val="auto"/>
        </w:rPr>
      </w:pPr>
    </w:p>
    <w:p>
      <w:pPr>
        <w:ind w:left="481"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Substantially all inventories are valued at the lower of cost or net realizable value with cost determined by the last-in, first-out (LIFO) method. If the first-in, first-out (FIFO) method of cost determination had been used, inventories would have been $17,221,000 and $13,365,000 higher than the levels reported as of the end of the first nine months of fiscal years 1994 and 1993, respectively. Using the FIFO method, inventories would have been $64,907,000 and $54,157,000 of work-in-process and $75,976,000 and $58,562,000 of finished goods in fiscal years 1994 and 1993, respectively.</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INCOME</w:t>
      </w:r>
    </w:p>
    <w:p>
      <w:pPr>
        <w:spacing w:after="0" w:line="5" w:lineRule="exact"/>
        <w:rPr>
          <w:rFonts w:ascii="Courier New" w:cs="Courier New" w:eastAsia="Courier New" w:hAnsi="Courier New"/>
          <w:sz w:val="16"/>
          <w:szCs w:val="16"/>
          <w:color w:val="auto"/>
        </w:rPr>
      </w:pPr>
    </w:p>
    <w:p>
      <w:pPr>
        <w:ind w:left="4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entered into an interest rate exchange agreement with a bank during the third quarter to preserve the value of the call option included in its $50 million, 11% long-term sinking fund notes due</w:t>
      </w:r>
    </w:p>
    <w:p>
      <w:pPr>
        <w:spacing w:after="0" w:line="3"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August 1, 2017, and to realize the benefit of current interest rates. As a result of this agreement the Company received $5.25 million from the bank, which is recorded on the balance sheet as deferred income. In return, the Company is obligated to pay the bank 10.25% on a notational amount of $50 million from August 1, 1997 through July 31, 2002 and the Company will receive payments based on a floating rate equal to LIBOR on the notational amount of $50 million for the same period.</w:t>
      </w:r>
    </w:p>
    <w:p>
      <w:pPr>
        <w:spacing w:after="0" w:line="188" w:lineRule="exact"/>
        <w:rPr>
          <w:rFonts w:ascii="Courier New" w:cs="Courier New" w:eastAsia="Courier New" w:hAnsi="Courier New"/>
          <w:sz w:val="16"/>
          <w:szCs w:val="16"/>
          <w:color w:val="auto"/>
        </w:rPr>
      </w:pPr>
    </w:p>
    <w:p>
      <w:pPr>
        <w:ind w:left="481" w:right="29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interest rate differential to be received or paid and the $5.25 million deferred income will be recognized, commencing August 1, 1997, over the term of the agreement as an adjustment to interest expense.</w:t>
      </w:r>
    </w:p>
    <w:p>
      <w:pPr>
        <w:spacing w:after="0" w:line="188" w:lineRule="exact"/>
        <w:rPr>
          <w:rFonts w:ascii="Courier New" w:cs="Courier New" w:eastAsia="Courier New" w:hAnsi="Courier New"/>
          <w:sz w:val="16"/>
          <w:szCs w:val="16"/>
          <w:color w:val="auto"/>
        </w:rPr>
      </w:pPr>
    </w:p>
    <w:p>
      <w:pPr>
        <w:ind w:left="4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FASB Statement 107 "Disclosures about Fair Value of Financial Instruments" the cost to terminate this agreement at April 29, 1994, had management elected to do so, was approximately $3.7 million which would have resulted in a gain of approximately $1.6 million.</w:t>
      </w:r>
    </w:p>
    <w:p>
      <w:pPr>
        <w:spacing w:after="0" w:line="200" w:lineRule="exact"/>
        <w:rPr>
          <w:sz w:val="20"/>
          <w:szCs w:val="20"/>
          <w:color w:val="auto"/>
        </w:rPr>
      </w:pPr>
    </w:p>
    <w:p>
      <w:pPr>
        <w:spacing w:after="0" w:line="357"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71" w:right="1440" w:bottom="1440" w:gutter="0" w:footer="0" w:header="0"/>
        </w:sectPr>
      </w:pPr>
    </w:p>
    <w:bookmarkStart w:id="6" w:name="page7"/>
    <w:bookmarkEnd w:id="6"/>
    <w:p>
      <w:pPr>
        <w:jc w:val="center"/>
        <w:ind w:right="3360"/>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AND RESULTS OF OPERATIONS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5" w:lineRule="exact"/>
        <w:rPr>
          <w:sz w:val="20"/>
          <w:szCs w:val="20"/>
          <w:color w:val="auto"/>
        </w:rPr>
      </w:pPr>
    </w:p>
    <w:p>
      <w:pPr>
        <w:ind w:right="3560"/>
        <w:spacing w:after="0" w:line="244" w:lineRule="auto"/>
        <w:rPr>
          <w:sz w:val="20"/>
          <w:szCs w:val="20"/>
          <w:color w:val="auto"/>
        </w:rPr>
      </w:pPr>
      <w:r>
        <w:rPr>
          <w:rFonts w:ascii="Courier New" w:cs="Courier New" w:eastAsia="Courier New" w:hAnsi="Courier New"/>
          <w:sz w:val="16"/>
          <w:szCs w:val="16"/>
          <w:color w:val="auto"/>
        </w:rPr>
        <w:t>Total assets for the Company as of April 29, 1994 were $530.3 million, an increase of $39.5 million, or 8.1%, from the $490.8 million reported at the end of the third quarter last year. The increase resulted primarily from increases in trade receivables and inventory. The increase in trade receivables is directly related to increased sales volume. Inventory increased as a result of building product to meet increased demand coupled with production plans implemented to accommodate previous consolidation of manufacturing plants.</w:t>
      </w:r>
    </w:p>
    <w:p>
      <w:pPr>
        <w:spacing w:after="0" w:line="189" w:lineRule="exact"/>
        <w:rPr>
          <w:sz w:val="20"/>
          <w:szCs w:val="20"/>
          <w:color w:val="auto"/>
        </w:rPr>
      </w:pPr>
    </w:p>
    <w:p>
      <w:pPr>
        <w:ind w:right="3360"/>
        <w:spacing w:after="0" w:line="244" w:lineRule="auto"/>
        <w:rPr>
          <w:sz w:val="20"/>
          <w:szCs w:val="20"/>
          <w:color w:val="auto"/>
        </w:rPr>
      </w:pPr>
      <w:r>
        <w:rPr>
          <w:rFonts w:ascii="Courier New" w:cs="Courier New" w:eastAsia="Courier New" w:hAnsi="Courier New"/>
          <w:sz w:val="16"/>
          <w:szCs w:val="16"/>
          <w:color w:val="auto"/>
        </w:rPr>
        <w:t>Total debt as of April 29, 1994 was $166.5 million, or $26.1 million less than the $192.6 million reported at the end of the third quarter last year. The ratio of total debt to total capital of 50.4% has improved from the 57.8% reported as of April 30, 1993. The lower debt ratio resulted from the reduced debt levels combined with an increase in equity as a result of fiscal 1994 earnings to date.</w:t>
      </w:r>
    </w:p>
    <w:p>
      <w:pPr>
        <w:spacing w:after="0" w:line="188" w:lineRule="exact"/>
        <w:rPr>
          <w:sz w:val="20"/>
          <w:szCs w:val="20"/>
          <w:color w:val="auto"/>
        </w:rPr>
      </w:pPr>
    </w:p>
    <w:p>
      <w:pPr>
        <w:ind w:right="3360"/>
        <w:spacing w:after="0" w:line="244" w:lineRule="auto"/>
        <w:rPr>
          <w:sz w:val="20"/>
          <w:szCs w:val="20"/>
          <w:color w:val="auto"/>
        </w:rPr>
      </w:pPr>
      <w:r>
        <w:rPr>
          <w:rFonts w:ascii="Courier New" w:cs="Courier New" w:eastAsia="Courier New" w:hAnsi="Courier New"/>
          <w:sz w:val="16"/>
          <w:szCs w:val="16"/>
          <w:color w:val="auto"/>
        </w:rPr>
        <w:t>The business of the Company is seasonal. Historically, accounts receivable balances increase throughout the winter months as a result of extended payment terms made available to customers (distributors and dealers) and decrease in the late spring when payments become due. Peak borrowing usually occurs in the third quarter. The seasonal working capital requirements of the business are financed primarily with short-term debt. Management believes that the combination of funds available through existing financing options, coupled with forecasted cash flows, will provide the capital resources necessary to meet the Company's working capital requirements.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sets forth sales by product line.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40" w:type="dxa"/>
            <w:vAlign w:val="bottom"/>
            <w:gridSpan w:val="3"/>
          </w:tcPr>
          <w:p>
            <w:pPr>
              <w:jc w:val="right"/>
              <w:ind w:right="640"/>
              <w:spacing w:after="0"/>
              <w:rPr>
                <w:sz w:val="20"/>
                <w:szCs w:val="20"/>
                <w:color w:val="auto"/>
              </w:rPr>
            </w:pPr>
            <w:r>
              <w:rPr>
                <w:rFonts w:ascii="Courier New" w:cs="Courier New" w:eastAsia="Courier New" w:hAnsi="Courier New"/>
                <w:sz w:val="16"/>
                <w:szCs w:val="16"/>
                <w:color w:val="auto"/>
              </w:rPr>
              <w:t>Three Months Ended</w:t>
            </w:r>
          </w:p>
        </w:tc>
        <w:tc>
          <w:tcPr>
            <w:tcW w:w="920" w:type="dxa"/>
            <w:vAlign w:val="bottom"/>
          </w:tcPr>
          <w:p>
            <w:pPr>
              <w:spacing w:after="0"/>
              <w:rPr>
                <w:sz w:val="15"/>
                <w:szCs w:val="15"/>
                <w:color w:val="auto"/>
              </w:rPr>
            </w:pPr>
          </w:p>
        </w:tc>
      </w:tr>
      <w:tr>
        <w:trPr>
          <w:trHeight w:val="185"/>
        </w:trPr>
        <w:tc>
          <w:tcPr>
            <w:tcW w:w="3560" w:type="dxa"/>
            <w:vAlign w:val="bottom"/>
          </w:tcPr>
          <w:p>
            <w:pPr>
              <w:spacing w:after="0"/>
              <w:rPr>
                <w:sz w:val="16"/>
                <w:szCs w:val="16"/>
                <w:color w:val="auto"/>
              </w:rPr>
            </w:pPr>
          </w:p>
        </w:tc>
        <w:tc>
          <w:tcPr>
            <w:tcW w:w="72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jc w:val="right"/>
              <w:ind w:right="1360"/>
              <w:spacing w:after="0"/>
              <w:rPr>
                <w:sz w:val="20"/>
                <w:szCs w:val="20"/>
                <w:color w:val="auto"/>
              </w:rPr>
            </w:pPr>
            <w:r>
              <w:rPr>
                <w:rFonts w:ascii="Courier New" w:cs="Courier New" w:eastAsia="Courier New" w:hAnsi="Courier New"/>
                <w:sz w:val="16"/>
                <w:szCs w:val="16"/>
                <w:color w:val="auto"/>
                <w:w w:val="99"/>
              </w:rPr>
              <w:t>(Dollars in thousands)</w:t>
            </w:r>
          </w:p>
        </w:tc>
        <w:tc>
          <w:tcPr>
            <w:tcW w:w="23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April 29,</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34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1993</w:t>
            </w:r>
          </w:p>
        </w:tc>
        <w:tc>
          <w:tcPr>
            <w:tcW w:w="34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8"/>
              </w:rPr>
              <w:t>$ Change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Change</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Consumer products .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171,476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135,621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35,855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26.4%</w:t>
            </w:r>
          </w:p>
        </w:tc>
      </w:tr>
      <w:tr>
        <w:trPr>
          <w:trHeight w:val="185"/>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Commercial products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71,908</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73,841</w:t>
            </w: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(1,933)</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w:t>
            </w:r>
          </w:p>
        </w:tc>
      </w:tr>
      <w:tr>
        <w:trPr>
          <w:trHeight w:val="185"/>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Irrigation products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33,092</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31,885</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1,207</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Total * . . . .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276,476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241,347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35,129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370"/>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 Includes International sales of:.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57,774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56,606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1,168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w:t>
            </w:r>
          </w:p>
        </w:tc>
      </w:tr>
      <w:tr>
        <w:trPr>
          <w:trHeight w:val="739"/>
        </w:trPr>
        <w:tc>
          <w:tcPr>
            <w:tcW w:w="3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Nine Months Ended</w:t>
            </w:r>
          </w:p>
        </w:tc>
        <w:tc>
          <w:tcPr>
            <w:tcW w:w="920" w:type="dxa"/>
            <w:vAlign w:val="bottom"/>
          </w:tcPr>
          <w:p>
            <w:pPr>
              <w:spacing w:after="0"/>
              <w:rPr>
                <w:sz w:val="24"/>
                <w:szCs w:val="24"/>
                <w:color w:val="auto"/>
              </w:rPr>
            </w:pPr>
          </w:p>
        </w:tc>
      </w:tr>
      <w:tr>
        <w:trPr>
          <w:trHeight w:val="185"/>
        </w:trPr>
        <w:tc>
          <w:tcPr>
            <w:tcW w:w="3560" w:type="dxa"/>
            <w:vAlign w:val="bottom"/>
          </w:tcPr>
          <w:p>
            <w:pPr>
              <w:spacing w:after="0"/>
              <w:rPr>
                <w:sz w:val="16"/>
                <w:szCs w:val="16"/>
                <w:color w:val="auto"/>
              </w:rPr>
            </w:pPr>
          </w:p>
        </w:tc>
        <w:tc>
          <w:tcPr>
            <w:tcW w:w="72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jc w:val="right"/>
              <w:ind w:right="1360"/>
              <w:spacing w:after="0"/>
              <w:rPr>
                <w:sz w:val="20"/>
                <w:szCs w:val="20"/>
                <w:color w:val="auto"/>
              </w:rPr>
            </w:pPr>
            <w:r>
              <w:rPr>
                <w:rFonts w:ascii="Courier New" w:cs="Courier New" w:eastAsia="Courier New" w:hAnsi="Courier New"/>
                <w:sz w:val="16"/>
                <w:szCs w:val="16"/>
                <w:color w:val="auto"/>
                <w:w w:val="99"/>
              </w:rPr>
              <w:t>(Dollars in thousands)</w:t>
            </w:r>
          </w:p>
        </w:tc>
        <w:tc>
          <w:tcPr>
            <w:tcW w:w="230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April 29,</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April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3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0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1994</w:t>
            </w:r>
          </w:p>
        </w:tc>
        <w:tc>
          <w:tcPr>
            <w:tcW w:w="34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1993</w:t>
            </w:r>
          </w:p>
        </w:tc>
        <w:tc>
          <w:tcPr>
            <w:tcW w:w="340" w:type="dxa"/>
            <w:vAlign w:val="bottom"/>
          </w:tcPr>
          <w:p>
            <w:pPr>
              <w:spacing w:after="0"/>
              <w:rPr>
                <w:sz w:val="16"/>
                <w:szCs w:val="16"/>
                <w:color w:val="auto"/>
              </w:rPr>
            </w:pPr>
          </w:p>
        </w:tc>
        <w:tc>
          <w:tcPr>
            <w:tcW w:w="110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8"/>
              </w:rPr>
              <w:t>$ Change</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Change</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Consumer products .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360,530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276,982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83,548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w:t>
            </w:r>
          </w:p>
        </w:tc>
      </w:tr>
      <w:tr>
        <w:trPr>
          <w:trHeight w:val="185"/>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Commercial products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162,520</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152,603</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9,917</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6.5</w:t>
            </w:r>
          </w:p>
        </w:tc>
      </w:tr>
      <w:tr>
        <w:trPr>
          <w:trHeight w:val="185"/>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Irrigation products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78,600</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78,377</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223</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rPr>
              <w:t>Total * . . . . . . . . . . . .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601,650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507,962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93,688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18.4%</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60" w:type="dxa"/>
            <w:vAlign w:val="bottom"/>
          </w:tcPr>
          <w:p>
            <w:pPr>
              <w:spacing w:after="0"/>
              <w:rPr>
                <w:sz w:val="16"/>
                <w:szCs w:val="16"/>
                <w:color w:val="auto"/>
              </w:rPr>
            </w:pPr>
          </w:p>
        </w:tc>
        <w:tc>
          <w:tcPr>
            <w:tcW w:w="34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16"/>
                <w:szCs w:val="16"/>
                <w:color w:val="auto"/>
              </w:rPr>
            </w:pPr>
          </w:p>
        </w:tc>
      </w:tr>
      <w:tr>
        <w:trPr>
          <w:trHeight w:val="370"/>
        </w:trPr>
        <w:tc>
          <w:tcPr>
            <w:tcW w:w="3560" w:type="dxa"/>
            <w:vAlign w:val="bottom"/>
          </w:tcPr>
          <w:p>
            <w:pPr>
              <w:jc w:val="right"/>
              <w:spacing w:after="0"/>
              <w:rPr>
                <w:sz w:val="20"/>
                <w:szCs w:val="20"/>
                <w:color w:val="auto"/>
              </w:rPr>
            </w:pPr>
            <w:r>
              <w:rPr>
                <w:rFonts w:ascii="Courier New" w:cs="Courier New" w:eastAsia="Courier New" w:hAnsi="Courier New"/>
                <w:sz w:val="16"/>
                <w:szCs w:val="16"/>
                <w:color w:val="auto"/>
                <w:w w:val="99"/>
              </w:rPr>
              <w:t>* Includes International sales of:. .</w:t>
            </w:r>
          </w:p>
        </w:tc>
        <w:tc>
          <w:tcPr>
            <w:tcW w:w="2300" w:type="dxa"/>
            <w:vAlign w:val="bottom"/>
          </w:tcPr>
          <w:p>
            <w:pPr>
              <w:ind w:left="80"/>
              <w:spacing w:after="0"/>
              <w:rPr>
                <w:sz w:val="20"/>
                <w:szCs w:val="20"/>
                <w:color w:val="auto"/>
              </w:rPr>
            </w:pPr>
            <w:r>
              <w:rPr>
                <w:rFonts w:ascii="Courier New" w:cs="Courier New" w:eastAsia="Courier New" w:hAnsi="Courier New"/>
                <w:sz w:val="16"/>
                <w:szCs w:val="16"/>
                <w:color w:val="auto"/>
              </w:rPr>
              <w:t>. . . . . . . . .</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$101,400</w:t>
            </w:r>
          </w:p>
        </w:tc>
        <w:tc>
          <w:tcPr>
            <w:tcW w:w="34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$99,266</w:t>
            </w:r>
          </w:p>
        </w:tc>
        <w:tc>
          <w:tcPr>
            <w:tcW w:w="34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$2,134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w:t>
            </w:r>
          </w:p>
        </w:tc>
      </w:tr>
      <w:tr>
        <w:trPr>
          <w:trHeight w:val="1109"/>
        </w:trPr>
        <w:tc>
          <w:tcPr>
            <w:tcW w:w="356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-7-</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760"/>
          </w:cols>
          <w:pgMar w:left="240" w:top="669" w:right="899" w:bottom="1011" w:gutter="0" w:footer="0" w:header="0"/>
        </w:sectPr>
      </w:pPr>
    </w:p>
    <w:bookmarkStart w:id="7" w:name="page8"/>
    <w:bookmarkEnd w:id="7"/>
    <w:p>
      <w:pPr>
        <w:ind w:right="2819"/>
        <w:spacing w:after="0" w:line="244" w:lineRule="auto"/>
        <w:rPr>
          <w:sz w:val="20"/>
          <w:szCs w:val="20"/>
          <w:color w:val="auto"/>
        </w:rPr>
      </w:pPr>
      <w:r>
        <w:rPr>
          <w:rFonts w:ascii="Courier New" w:cs="Courier New" w:eastAsia="Courier New" w:hAnsi="Courier New"/>
          <w:sz w:val="16"/>
          <w:szCs w:val="16"/>
          <w:color w:val="auto"/>
        </w:rPr>
        <w:t>Changes in net sales for the third quarter and year to date were attributed to the following factors. Consumer product sales reflect increased sales of walk power mowers, electric products and the continued acceptance of the new lower-priced lawn tractor introduced last spring. These increases were attributed to heavy ordering by distributors and mass merchandisers in anticipation of a better retail selling season than last year, expansion of the distribution channel and retail network, and strong acceptance of new products. The commercial product sales decrease for the third quarter was primarily attributable to an aggressive introduction of the new Workman-TM-vehicle in fiscal 1993 and earlier shipments to distributors in the first half of fiscal 1994 to replenish low field inventory levels. On a year to date basis, commercial product sales are experiencing an increase over the prior year. The irrigation product sales increase reflects improving domestic economic conditions and changes in the distribution network implemented in the first quarter of this fiscal year. The slight increase in irrigation sales year to date reflects some strengthening in the domestic market. The international sales increase was attributed to increases in commercial product sales, particularly the new Workman-TM- vehicle which was new in the market last year.</w:t>
      </w:r>
    </w:p>
    <w:p>
      <w:pPr>
        <w:spacing w:after="0" w:line="194"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Gross profit of $97.7 million was $13.9 million (16.6%) higher than the $83.8 million reported for the third quarter of fiscal 1993. As a percent of sales, gross profit increased slightly to 35.3% for the third quarter of fiscal 1994 compared to 34.7% for the third quarter last year. Year to date gross profit was $213.3 million, $36.9 million (20.9%) higher than the $176.4 million reported last year. The dollar increase is attributed to increased sales volume and improved manufacturing efficiencies.</w:t>
      </w:r>
    </w:p>
    <w:p>
      <w:pPr>
        <w:spacing w:after="0" w:line="18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Selling, general and administrative (S G &amp; A) expenses increased $11.3 million, or 19.0%, to $70.8 million from the $59.5 million for the third quarter last year. Year to date S G &amp; A of $179.6 million increased $29.5 million from the $150.1 million reported a year ago. The increases occurred principally as a result of investments in consumer product brand advertising, customer support services related to changes made in irrigation's distribution channel, research and development expenditures, a consumer warranty provision for a lawn tractor component modification, and start-up costs for the fertilizer and debris businesses.</w:t>
      </w:r>
    </w:p>
    <w:p>
      <w:pPr>
        <w:spacing w:after="0" w:line="189"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Interest expense of $3.6 million for the quarter was $1.0 million, or 21.7%, less than the $4.6 million the same period last year. Year to date interest expense decreased $2.8 million to $10.2 million from the $13.0 million reported a year ago. These decreases are principally because of the reduction in long-term debt.</w:t>
      </w:r>
    </w:p>
    <w:p>
      <w:pPr>
        <w:spacing w:after="0" w:line="187"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Net other income increased $2.0 million to $2.8 million from $0.8 million from the third quarter last year. The increase resulted primarily from the settlement of a patent infringement lawsuit and the sale of the portable heater business. Year to date net other income of $6.9 million is $3.4 million higher than the $3.5 million reported a year ago. The year to date increase reflects $1.85 million received in settlement of a lawsuit relating to the purchase of Lawn-Boy, Inc., as well as the items mentioned above. In addition to the items listed, other income includes foreign currency exchange losses, royalty income and gains/losses incurred on joint ventures.</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Provision for income taxes as a percent of pre-tax earnings was 40.0% for the third quarter of fiscal 1994 and provision for income taxes as a percent of pre-tax loss was 38.0% for the same period in fiscal 1993. The tax rate increase reflects the enactment of the new tax law. The tax rate is expected to remain at 40% for the remainder of fiscal 1994.</w:t>
      </w:r>
    </w:p>
    <w:p>
      <w:pPr>
        <w:spacing w:after="0" w:line="187"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We are optimistic about our outlook for the remainder of the fiscal year, and have good momentum to carry us into fiscal 1995.</w:t>
      </w:r>
    </w:p>
    <w:p>
      <w:pPr>
        <w:spacing w:after="0" w:line="200" w:lineRule="exact"/>
        <w:rPr>
          <w:sz w:val="20"/>
          <w:szCs w:val="20"/>
          <w:color w:val="auto"/>
        </w:rPr>
      </w:pPr>
    </w:p>
    <w:p>
      <w:pPr>
        <w:spacing w:after="0" w:line="35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8" w:name="page9"/>
    <w:bookmarkEnd w:id="8"/>
    <w:p>
      <w:pPr>
        <w:ind w:left="2400"/>
        <w:spacing w:after="0"/>
        <w:tabs>
          <w:tab w:leader="none" w:pos="33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37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760" w:hanging="473"/>
        <w:spacing w:after="0"/>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11  Computation of Earnings per Common Share</w:t>
      </w:r>
    </w:p>
    <w:p>
      <w:pPr>
        <w:spacing w:after="0" w:line="188" w:lineRule="exact"/>
        <w:rPr>
          <w:rFonts w:ascii="Courier New" w:cs="Courier New" w:eastAsia="Courier New" w:hAnsi="Courier New"/>
          <w:sz w:val="16"/>
          <w:szCs w:val="16"/>
          <w:color w:val="auto"/>
        </w:rPr>
      </w:pPr>
    </w:p>
    <w:p>
      <w:pPr>
        <w:ind w:left="760" w:hanging="473"/>
        <w:spacing w:after="0"/>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0" w:lineRule="exact"/>
        <w:rPr>
          <w:rFonts w:ascii="Courier New" w:cs="Courier New" w:eastAsia="Courier New" w:hAnsi="Courier New"/>
          <w:sz w:val="16"/>
          <w:szCs w:val="16"/>
          <w:color w:val="auto"/>
        </w:rPr>
      </w:pPr>
    </w:p>
    <w:p>
      <w:pPr>
        <w:ind w:left="760" w:right="34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Form 8-K reports during the third quarter of fiscal 1994.</w:t>
      </w:r>
    </w:p>
    <w:p>
      <w:pPr>
        <w:spacing w:after="0" w:line="372"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jc w:val="both"/>
        <w:ind w:left="280" w:right="329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1"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THE TORO COMPANY</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(Registrant)</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By /s/ Gerald T. Knight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Gerald T. Knight</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Vice President, Finance</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Chief Financial Officer</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(principal financial officer)</w:t>
      </w:r>
    </w:p>
    <w:p>
      <w:pPr>
        <w:spacing w:after="0" w:line="373"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5"/>
          <w:szCs w:val="15"/>
          <w:color w:val="auto"/>
        </w:rPr>
        <w:t>June 10, 1994</w:t>
      </w:r>
    </w:p>
    <w:p>
      <w:pPr>
        <w:spacing w:after="0" w:line="200" w:lineRule="exact"/>
        <w:rPr>
          <w:sz w:val="20"/>
          <w:szCs w:val="20"/>
          <w:color w:val="auto"/>
        </w:rPr>
      </w:pPr>
    </w:p>
    <w:p>
      <w:pPr>
        <w:spacing w:after="0" w:line="35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9" w:right="1440" w:bottom="1440" w:gutter="0" w:footer="0" w:header="0"/>
        </w:sectPr>
      </w:pPr>
    </w:p>
    <w:bookmarkStart w:id="9" w:name="page10"/>
    <w:bookmarkEnd w:id="9"/>
    <w:p>
      <w:pPr>
        <w:ind w:left="6441"/>
        <w:spacing w:after="0"/>
        <w:rPr>
          <w:sz w:val="20"/>
          <w:szCs w:val="20"/>
          <w:color w:val="auto"/>
        </w:rPr>
      </w:pPr>
      <w:r>
        <w:rPr>
          <w:rFonts w:ascii="Courier New" w:cs="Courier New" w:eastAsia="Courier New" w:hAnsi="Courier New"/>
          <w:sz w:val="16"/>
          <w:szCs w:val="16"/>
          <w:color w:val="auto"/>
        </w:rPr>
        <w:t>Exhibit 11</w:t>
      </w:r>
    </w:p>
    <w:p>
      <w:pPr>
        <w:spacing w:after="0" w:line="373"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6"/>
          <w:szCs w:val="16"/>
          <w:color w:val="auto"/>
        </w:rPr>
        <w:t>THE TORO COMPANY AND SUBSIDIARIES</w:t>
      </w:r>
    </w:p>
    <w:p>
      <w:pPr>
        <w:spacing w:after="0" w:line="4"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6"/>
          <w:szCs w:val="16"/>
          <w:color w:val="auto"/>
        </w:rPr>
        <w:t>COMPUTATION OF EARNINGS (LOSS) PER COMMON SHARE (UNAUDITED)</w:t>
      </w:r>
    </w:p>
    <w:p>
      <w:pPr>
        <w:spacing w:after="0" w:line="4" w:lineRule="exact"/>
        <w:rPr>
          <w:sz w:val="20"/>
          <w:szCs w:val="20"/>
          <w:color w:val="auto"/>
        </w:rPr>
      </w:pPr>
    </w:p>
    <w:p>
      <w:pPr>
        <w:jc w:val="center"/>
        <w:ind w:right="4119"/>
        <w:spacing w:after="0"/>
        <w:rPr>
          <w:sz w:val="20"/>
          <w:szCs w:val="20"/>
          <w:color w:val="auto"/>
        </w:rPr>
      </w:pPr>
      <w:r>
        <w:rPr>
          <w:rFonts w:ascii="Courier New" w:cs="Courier New" w:eastAsia="Courier New" w:hAnsi="Courier New"/>
          <w:sz w:val="16"/>
          <w:szCs w:val="16"/>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4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Three Months Ended</w:t>
            </w:r>
          </w:p>
        </w:tc>
        <w:tc>
          <w:tcPr>
            <w:tcW w:w="300" w:type="dxa"/>
            <w:vAlign w:val="bottom"/>
          </w:tcPr>
          <w:p>
            <w:pPr>
              <w:spacing w:after="0"/>
              <w:rPr>
                <w:sz w:val="15"/>
                <w:szCs w:val="15"/>
                <w:color w:val="auto"/>
              </w:rPr>
            </w:pPr>
          </w:p>
        </w:tc>
        <w:tc>
          <w:tcPr>
            <w:tcW w:w="244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Nine Months Ended</w:t>
            </w:r>
          </w:p>
        </w:tc>
      </w:tr>
      <w:tr>
        <w:trPr>
          <w:trHeight w:val="185"/>
        </w:trPr>
        <w:tc>
          <w:tcPr>
            <w:tcW w:w="586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3"/>
              </w:rPr>
              <w:t>--------------------------</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April 29,</w:t>
            </w:r>
          </w:p>
        </w:tc>
        <w:tc>
          <w:tcPr>
            <w:tcW w:w="300" w:type="dxa"/>
            <w:vAlign w:val="bottom"/>
          </w:tcPr>
          <w:p>
            <w:pPr>
              <w:spacing w:after="0"/>
              <w:rPr>
                <w:sz w:val="16"/>
                <w:szCs w:val="16"/>
                <w:color w:val="auto"/>
              </w:rPr>
            </w:pPr>
          </w:p>
        </w:tc>
        <w:tc>
          <w:tcPr>
            <w:tcW w:w="11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April 30,</w:t>
            </w:r>
          </w:p>
        </w:tc>
        <w:tc>
          <w:tcPr>
            <w:tcW w:w="30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April 29,</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April 30,</w:t>
            </w:r>
          </w:p>
        </w:tc>
      </w:tr>
      <w:tr>
        <w:trPr>
          <w:trHeight w:val="185"/>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1994</w:t>
            </w:r>
          </w:p>
        </w:tc>
        <w:tc>
          <w:tcPr>
            <w:tcW w:w="300" w:type="dxa"/>
            <w:vAlign w:val="bottom"/>
          </w:tcPr>
          <w:p>
            <w:pPr>
              <w:spacing w:after="0"/>
              <w:rPr>
                <w:sz w:val="16"/>
                <w:szCs w:val="16"/>
                <w:color w:val="auto"/>
              </w:rPr>
            </w:pPr>
          </w:p>
        </w:tc>
        <w:tc>
          <w:tcPr>
            <w:tcW w:w="11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1993</w:t>
            </w:r>
          </w:p>
        </w:tc>
        <w:tc>
          <w:tcPr>
            <w:tcW w:w="300" w:type="dxa"/>
            <w:vAlign w:val="bottom"/>
          </w:tcPr>
          <w:p>
            <w:pPr>
              <w:spacing w:after="0"/>
              <w:rPr>
                <w:sz w:val="16"/>
                <w:szCs w:val="16"/>
                <w:color w:val="auto"/>
              </w:rPr>
            </w:pPr>
          </w:p>
        </w:tc>
        <w:tc>
          <w:tcPr>
            <w:tcW w:w="116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1994</w:t>
            </w:r>
          </w:p>
        </w:tc>
        <w:tc>
          <w:tcPr>
            <w:tcW w:w="280" w:type="dxa"/>
            <w:vAlign w:val="bottom"/>
          </w:tcPr>
          <w:p>
            <w:pPr>
              <w:spacing w:after="0"/>
              <w:rPr>
                <w:sz w:val="16"/>
                <w:szCs w:val="16"/>
                <w:color w:val="auto"/>
              </w:rPr>
            </w:pPr>
          </w:p>
        </w:tc>
        <w:tc>
          <w:tcPr>
            <w:tcW w:w="10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1993</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58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9"/>
              </w:rPr>
              <w:t>Net earnings  . . . . . . . . . . . . . . . . . . . . . . .</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15,637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12,742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18,219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10,422</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spacing w:after="0"/>
              <w:rPr>
                <w:sz w:val="20"/>
                <w:szCs w:val="20"/>
                <w:color w:val="auto"/>
              </w:rPr>
            </w:pPr>
            <w:r>
              <w:rPr>
                <w:rFonts w:ascii="Courier New" w:cs="Courier New" w:eastAsia="Courier New" w:hAnsi="Courier New"/>
                <w:sz w:val="16"/>
                <w:szCs w:val="16"/>
                <w:color w:val="auto"/>
              </w:rPr>
              <w:t>Primary:</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860" w:type="dxa"/>
            <w:vAlign w:val="bottom"/>
          </w:tcPr>
          <w:p>
            <w:pPr>
              <w:jc w:val="right"/>
              <w:ind w:right="2040"/>
              <w:spacing w:after="0"/>
              <w:rPr>
                <w:sz w:val="20"/>
                <w:szCs w:val="20"/>
                <w:color w:val="auto"/>
              </w:rPr>
            </w:pPr>
            <w:r>
              <w:rPr>
                <w:rFonts w:ascii="Courier New" w:cs="Courier New" w:eastAsia="Courier New" w:hAnsi="Courier New"/>
                <w:sz w:val="16"/>
                <w:szCs w:val="16"/>
                <w:color w:val="auto"/>
              </w:rPr>
              <w:t>Shares for common and common share</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jc w:val="right"/>
              <w:ind w:right="2040"/>
              <w:spacing w:after="0"/>
              <w:rPr>
                <w:sz w:val="20"/>
                <w:szCs w:val="20"/>
                <w:color w:val="auto"/>
              </w:rPr>
            </w:pPr>
            <w:r>
              <w:rPr>
                <w:rFonts w:ascii="Courier New" w:cs="Courier New" w:eastAsia="Courier New" w:hAnsi="Courier New"/>
                <w:sz w:val="16"/>
                <w:szCs w:val="16"/>
                <w:color w:val="auto"/>
              </w:rPr>
              <w:t>equivalent net earnings per share:</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ind w:left="680"/>
              <w:spacing w:after="0"/>
              <w:rPr>
                <w:sz w:val="20"/>
                <w:szCs w:val="20"/>
                <w:color w:val="auto"/>
              </w:rPr>
            </w:pPr>
            <w:r>
              <w:rPr>
                <w:rFonts w:ascii="Courier New" w:cs="Courier New" w:eastAsia="Courier New" w:hAnsi="Courier New"/>
                <w:sz w:val="16"/>
                <w:szCs w:val="16"/>
                <w:color w:val="auto"/>
              </w:rPr>
              <w:t>Weighted average number of common</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shares outstanding . . . . . . . . . . . . . . . .</w:t>
            </w:r>
          </w:p>
        </w:tc>
        <w:tc>
          <w:tcPr>
            <w:tcW w:w="3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12,564,692</w:t>
            </w:r>
          </w:p>
        </w:tc>
        <w:tc>
          <w:tcPr>
            <w:tcW w:w="30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12,185,120</w:t>
            </w:r>
          </w:p>
        </w:tc>
        <w:tc>
          <w:tcPr>
            <w:tcW w:w="300" w:type="dxa"/>
            <w:vAlign w:val="bottom"/>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12,434,277</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12,093,899</w:t>
            </w:r>
          </w:p>
        </w:tc>
      </w:tr>
      <w:tr>
        <w:trPr>
          <w:trHeight w:val="185"/>
        </w:trPr>
        <w:tc>
          <w:tcPr>
            <w:tcW w:w="5860" w:type="dxa"/>
            <w:vAlign w:val="bottom"/>
          </w:tcPr>
          <w:p>
            <w:pPr>
              <w:ind w:left="680"/>
              <w:spacing w:after="0"/>
              <w:rPr>
                <w:sz w:val="20"/>
                <w:szCs w:val="20"/>
                <w:color w:val="auto"/>
              </w:rPr>
            </w:pPr>
            <w:r>
              <w:rPr>
                <w:rFonts w:ascii="Courier New" w:cs="Courier New" w:eastAsia="Courier New" w:hAnsi="Courier New"/>
                <w:sz w:val="16"/>
                <w:szCs w:val="16"/>
                <w:color w:val="auto"/>
              </w:rPr>
              <w:t>Dilutive effect of outstanding</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stock options (1). . . . . . . . . . . . . . . . .</w:t>
            </w:r>
          </w:p>
        </w:tc>
        <w:tc>
          <w:tcPr>
            <w:tcW w:w="3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544,903</w:t>
            </w:r>
          </w:p>
        </w:tc>
        <w:tc>
          <w:tcPr>
            <w:tcW w:w="30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406,921</w:t>
            </w:r>
          </w:p>
        </w:tc>
        <w:tc>
          <w:tcPr>
            <w:tcW w:w="300" w:type="dxa"/>
            <w:vAlign w:val="bottom"/>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543,553</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218,013</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13,109,595</w:t>
            </w:r>
          </w:p>
        </w:tc>
        <w:tc>
          <w:tcPr>
            <w:tcW w:w="30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12,592,041</w:t>
            </w:r>
          </w:p>
        </w:tc>
        <w:tc>
          <w:tcPr>
            <w:tcW w:w="300" w:type="dxa"/>
            <w:vAlign w:val="bottom"/>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12,977,830</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12,311,912</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ind w:left="680"/>
              <w:spacing w:after="0"/>
              <w:rPr>
                <w:sz w:val="20"/>
                <w:szCs w:val="20"/>
                <w:color w:val="auto"/>
              </w:rPr>
            </w:pPr>
            <w:r>
              <w:rPr>
                <w:rFonts w:ascii="Courier New" w:cs="Courier New" w:eastAsia="Courier New" w:hAnsi="Courier New"/>
                <w:sz w:val="16"/>
                <w:szCs w:val="16"/>
                <w:color w:val="auto"/>
              </w:rPr>
              <w:t>Net earnings per common and</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common share equivalent. . . . . . . . . . . . . .</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0.85</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586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860" w:type="dxa"/>
            <w:vAlign w:val="bottom"/>
          </w:tcPr>
          <w:p>
            <w:pPr>
              <w:jc w:val="right"/>
              <w:ind w:right="2040"/>
              <w:spacing w:after="0"/>
              <w:rPr>
                <w:sz w:val="20"/>
                <w:szCs w:val="20"/>
                <w:color w:val="auto"/>
              </w:rPr>
            </w:pPr>
            <w:r>
              <w:rPr>
                <w:rFonts w:ascii="Courier New" w:cs="Courier New" w:eastAsia="Courier New" w:hAnsi="Courier New"/>
                <w:sz w:val="16"/>
                <w:szCs w:val="16"/>
                <w:color w:val="auto"/>
              </w:rPr>
              <w:t>Shares for common and common share</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jc w:val="right"/>
              <w:ind w:right="2040"/>
              <w:spacing w:after="0"/>
              <w:rPr>
                <w:sz w:val="20"/>
                <w:szCs w:val="20"/>
                <w:color w:val="auto"/>
              </w:rPr>
            </w:pPr>
            <w:r>
              <w:rPr>
                <w:rFonts w:ascii="Courier New" w:cs="Courier New" w:eastAsia="Courier New" w:hAnsi="Courier New"/>
                <w:sz w:val="16"/>
                <w:szCs w:val="16"/>
                <w:color w:val="auto"/>
              </w:rPr>
              <w:t>equivalent net earnings per share:</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ind w:left="680"/>
              <w:spacing w:after="0"/>
              <w:rPr>
                <w:sz w:val="20"/>
                <w:szCs w:val="20"/>
                <w:color w:val="auto"/>
              </w:rPr>
            </w:pPr>
            <w:r>
              <w:rPr>
                <w:rFonts w:ascii="Courier New" w:cs="Courier New" w:eastAsia="Courier New" w:hAnsi="Courier New"/>
                <w:sz w:val="16"/>
                <w:szCs w:val="16"/>
                <w:color w:val="auto"/>
              </w:rPr>
              <w:t>Weighted average number of common</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shares outstanding. . . . . . . . . . . . . . . . .</w:t>
            </w:r>
          </w:p>
        </w:tc>
        <w:tc>
          <w:tcPr>
            <w:tcW w:w="3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12,564,692</w:t>
            </w:r>
          </w:p>
        </w:tc>
        <w:tc>
          <w:tcPr>
            <w:tcW w:w="30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12,185,120</w:t>
            </w:r>
          </w:p>
        </w:tc>
        <w:tc>
          <w:tcPr>
            <w:tcW w:w="300" w:type="dxa"/>
            <w:vAlign w:val="bottom"/>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12,434,277</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12,093,899</w:t>
            </w:r>
          </w:p>
        </w:tc>
      </w:tr>
      <w:tr>
        <w:trPr>
          <w:trHeight w:val="185"/>
        </w:trPr>
        <w:tc>
          <w:tcPr>
            <w:tcW w:w="5860" w:type="dxa"/>
            <w:vAlign w:val="bottom"/>
          </w:tcPr>
          <w:p>
            <w:pPr>
              <w:ind w:left="680"/>
              <w:spacing w:after="0"/>
              <w:rPr>
                <w:sz w:val="20"/>
                <w:szCs w:val="20"/>
                <w:color w:val="auto"/>
              </w:rPr>
            </w:pPr>
            <w:r>
              <w:rPr>
                <w:rFonts w:ascii="Courier New" w:cs="Courier New" w:eastAsia="Courier New" w:hAnsi="Courier New"/>
                <w:sz w:val="16"/>
                <w:szCs w:val="16"/>
                <w:color w:val="auto"/>
              </w:rPr>
              <w:t>Dilutive effect of outstanding</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5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stock options (2). . . . . . . . . . . . . . . . .</w:t>
            </w:r>
          </w:p>
        </w:tc>
        <w:tc>
          <w:tcPr>
            <w:tcW w:w="3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544,903</w:t>
            </w:r>
          </w:p>
        </w:tc>
        <w:tc>
          <w:tcPr>
            <w:tcW w:w="30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406,921</w:t>
            </w:r>
          </w:p>
        </w:tc>
        <w:tc>
          <w:tcPr>
            <w:tcW w:w="300" w:type="dxa"/>
            <w:vAlign w:val="bottom"/>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561,648</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409,761</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13,109,595</w:t>
            </w:r>
          </w:p>
        </w:tc>
        <w:tc>
          <w:tcPr>
            <w:tcW w:w="30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12,592,041</w:t>
            </w:r>
          </w:p>
        </w:tc>
        <w:tc>
          <w:tcPr>
            <w:tcW w:w="300" w:type="dxa"/>
            <w:vAlign w:val="bottom"/>
          </w:tcPr>
          <w:p>
            <w:pPr>
              <w:spacing w:after="0"/>
              <w:rPr>
                <w:sz w:val="16"/>
                <w:szCs w:val="16"/>
                <w:color w:val="auto"/>
              </w:rPr>
            </w:pP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12,995,925</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12,503,660</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860" w:type="dxa"/>
            <w:vAlign w:val="bottom"/>
          </w:tcPr>
          <w:p>
            <w:pPr>
              <w:ind w:left="680"/>
              <w:spacing w:after="0"/>
              <w:rPr>
                <w:sz w:val="20"/>
                <w:szCs w:val="20"/>
                <w:color w:val="auto"/>
              </w:rPr>
            </w:pPr>
            <w:r>
              <w:rPr>
                <w:rFonts w:ascii="Courier New" w:cs="Courier New" w:eastAsia="Courier New" w:hAnsi="Courier New"/>
                <w:sz w:val="16"/>
                <w:szCs w:val="16"/>
                <w:color w:val="auto"/>
              </w:rPr>
              <w:t>Net earnings per common and</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5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common share equivalent. . . . . . . . . . . . . .</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1.01</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0.83</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860" w:type="dxa"/>
            <w:vAlign w:val="bottom"/>
          </w:tcPr>
          <w:p>
            <w:pPr>
              <w:spacing w:after="0"/>
              <w:rPr>
                <w:sz w:val="16"/>
                <w:szCs w:val="16"/>
                <w:color w:val="auto"/>
              </w:rPr>
            </w:pPr>
          </w:p>
        </w:tc>
        <w:tc>
          <w:tcPr>
            <w:tcW w:w="148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481" w:right="4320" w:hanging="481"/>
        <w:spacing w:after="0" w:line="243" w:lineRule="auto"/>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share equivalents by the treasury stock method using the average market price of the Company's stock during each period.</w:t>
      </w:r>
    </w:p>
    <w:p>
      <w:pPr>
        <w:spacing w:after="0" w:line="189" w:lineRule="exact"/>
        <w:rPr>
          <w:rFonts w:ascii="Courier New" w:cs="Courier New" w:eastAsia="Courier New" w:hAnsi="Courier New"/>
          <w:sz w:val="16"/>
          <w:szCs w:val="16"/>
          <w:color w:val="auto"/>
        </w:rPr>
      </w:pPr>
    </w:p>
    <w:p>
      <w:pPr>
        <w:ind w:left="481" w:right="4320" w:hanging="481"/>
        <w:spacing w:after="0" w:line="243" w:lineRule="auto"/>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share equivalents by the treasury stock method using the greater of the average market price or the period-end market price of the Company's stock during each period.</w:t>
      </w:r>
    </w:p>
    <w:p>
      <w:pPr>
        <w:spacing w:after="0" w:line="200" w:lineRule="exact"/>
        <w:rPr>
          <w:sz w:val="20"/>
          <w:szCs w:val="20"/>
          <w:color w:val="auto"/>
        </w:rPr>
      </w:pPr>
    </w:p>
    <w:p>
      <w:pPr>
        <w:spacing w:after="0" w:line="357"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-10-</w:t>
      </w:r>
    </w:p>
    <w:sectPr>
      <w:pgSz w:w="11900" w:h="16838" w:orient="portrait"/>
      <w:cols w:equalWidth="0" w:num="1">
        <w:col w:w="11521"/>
      </w:cols>
      <w:pgMar w:left="239" w:top="50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2019-12-13T14:06:14Z</dcterms:created>
  <dcterms:modified xsi:type="dcterms:W3CDTF">2019-12-13T14:06:14Z</dcterms:modified>
</cp:coreProperties>
</file>