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308610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63" w:lineRule="exact"/>
        <w:rPr>
          <w:sz w:val="24"/>
          <w:szCs w:val="24"/>
          <w:color w:val="auto"/>
        </w:rPr>
      </w:pPr>
    </w:p>
    <w:p>
      <w:pPr>
        <w:jc w:val="center"/>
        <w:ind w:right="-927"/>
        <w:spacing w:after="0"/>
        <w:rPr>
          <w:sz w:val="20"/>
          <w:szCs w:val="20"/>
          <w:color w:val="auto"/>
        </w:rPr>
      </w:pPr>
      <w:r>
        <w:rPr>
          <w:rFonts w:ascii="Arial" w:cs="Arial" w:eastAsia="Arial" w:hAnsi="Arial"/>
          <w:sz w:val="14"/>
          <w:szCs w:val="14"/>
          <w:b w:val="1"/>
          <w:bCs w:val="1"/>
          <w:color w:val="auto"/>
        </w:rPr>
        <w:t>SECURITIES AND EXCHANGE COMMISSION</w:t>
      </w:r>
    </w:p>
    <w:p>
      <w:pPr>
        <w:spacing w:after="0" w:line="169" w:lineRule="exact"/>
        <w:rPr>
          <w:sz w:val="24"/>
          <w:szCs w:val="24"/>
          <w:color w:val="auto"/>
        </w:rPr>
      </w:pPr>
    </w:p>
    <w:p>
      <w:pPr>
        <w:jc w:val="center"/>
        <w:ind w:right="-927"/>
        <w:spacing w:after="0"/>
        <w:rPr>
          <w:sz w:val="20"/>
          <w:szCs w:val="20"/>
          <w:color w:val="auto"/>
        </w:rPr>
      </w:pPr>
      <w:r>
        <w:rPr>
          <w:rFonts w:ascii="Arial" w:cs="Arial" w:eastAsia="Arial" w:hAnsi="Arial"/>
          <w:sz w:val="12"/>
          <w:szCs w:val="12"/>
          <w:b w:val="1"/>
          <w:bCs w:val="1"/>
          <w:color w:val="auto"/>
        </w:rPr>
        <w:t>Washington, D.C. 20549</w:t>
      </w:r>
    </w:p>
    <w:p>
      <w:pPr>
        <w:spacing w:after="0" w:line="163" w:lineRule="exact"/>
        <w:rPr>
          <w:sz w:val="24"/>
          <w:szCs w:val="24"/>
          <w:color w:val="auto"/>
        </w:rPr>
      </w:pPr>
    </w:p>
    <w:p>
      <w:pPr>
        <w:jc w:val="center"/>
        <w:ind w:right="-927"/>
        <w:spacing w:after="0"/>
        <w:rPr>
          <w:sz w:val="20"/>
          <w:szCs w:val="20"/>
          <w:color w:val="auto"/>
        </w:rPr>
      </w:pPr>
      <w:r>
        <w:rPr>
          <w:rFonts w:ascii="Arial" w:cs="Arial" w:eastAsia="Arial" w:hAnsi="Arial"/>
          <w:sz w:val="14"/>
          <w:szCs w:val="14"/>
          <w:b w:val="1"/>
          <w:bCs w:val="1"/>
          <w:color w:val="auto"/>
        </w:rPr>
        <w:t>FORM 8-K</w:t>
      </w:r>
    </w:p>
    <w:p>
      <w:pPr>
        <w:spacing w:after="0" w:line="169" w:lineRule="exact"/>
        <w:rPr>
          <w:sz w:val="24"/>
          <w:szCs w:val="24"/>
          <w:color w:val="auto"/>
        </w:rPr>
      </w:pPr>
    </w:p>
    <w:p>
      <w:pPr>
        <w:jc w:val="center"/>
        <w:ind w:right="-927"/>
        <w:spacing w:after="0"/>
        <w:rPr>
          <w:sz w:val="20"/>
          <w:szCs w:val="20"/>
          <w:color w:val="auto"/>
        </w:rPr>
      </w:pPr>
      <w:r>
        <w:rPr>
          <w:rFonts w:ascii="Arial" w:cs="Arial" w:eastAsia="Arial" w:hAnsi="Arial"/>
          <w:sz w:val="12"/>
          <w:szCs w:val="12"/>
          <w:b w:val="1"/>
          <w:bCs w:val="1"/>
          <w:color w:val="auto"/>
        </w:rPr>
        <w:t>CURRENT REPORT</w:t>
      </w:r>
    </w:p>
    <w:p>
      <w:pPr>
        <w:spacing w:after="0" w:line="168" w:lineRule="exact"/>
        <w:rPr>
          <w:sz w:val="24"/>
          <w:szCs w:val="24"/>
          <w:color w:val="auto"/>
        </w:rPr>
      </w:pPr>
    </w:p>
    <w:p>
      <w:pPr>
        <w:jc w:val="center"/>
        <w:ind w:right="-92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8" w:lineRule="exact"/>
        <w:rPr>
          <w:sz w:val="24"/>
          <w:szCs w:val="24"/>
          <w:color w:val="auto"/>
        </w:rPr>
      </w:pPr>
    </w:p>
    <w:p>
      <w:pPr>
        <w:ind w:left="4008"/>
        <w:spacing w:after="0"/>
        <w:rPr>
          <w:sz w:val="20"/>
          <w:szCs w:val="20"/>
          <w:color w:val="auto"/>
        </w:rPr>
      </w:pPr>
      <w:r>
        <w:rPr>
          <w:rFonts w:ascii="Arial" w:cs="Arial" w:eastAsia="Arial" w:hAnsi="Arial"/>
          <w:sz w:val="12"/>
          <w:szCs w:val="12"/>
          <w:b w:val="1"/>
          <w:bCs w:val="1"/>
          <w:color w:val="auto"/>
        </w:rPr>
        <w:t>Date of Report (Date of earliest event reported): February 19, 2009</w:t>
      </w:r>
    </w:p>
    <w:p>
      <w:pPr>
        <w:spacing w:after="0" w:line="316" w:lineRule="exact"/>
        <w:rPr>
          <w:sz w:val="24"/>
          <w:szCs w:val="24"/>
          <w:color w:val="auto"/>
        </w:rPr>
      </w:pPr>
    </w:p>
    <w:p>
      <w:pPr>
        <w:jc w:val="center"/>
        <w:ind w:right="-927"/>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ind w:left="4508"/>
        <w:spacing w:after="0"/>
        <w:rPr>
          <w:sz w:val="20"/>
          <w:szCs w:val="20"/>
          <w:color w:val="auto"/>
        </w:rPr>
      </w:pPr>
      <w:r>
        <w:rPr>
          <w:rFonts w:ascii="Arial" w:cs="Arial" w:eastAsia="Arial" w:hAnsi="Arial"/>
          <w:sz w:val="12"/>
          <w:szCs w:val="12"/>
          <w:color w:val="auto"/>
        </w:rPr>
        <w:t>(Exact name of registrant as specified in its charter)</w:t>
      </w:r>
    </w:p>
    <w:p>
      <w:pPr>
        <w:spacing w:after="0" w:line="316" w:lineRule="exact"/>
        <w:rPr>
          <w:sz w:val="24"/>
          <w:szCs w:val="24"/>
          <w:color w:val="auto"/>
        </w:rPr>
      </w:pPr>
    </w:p>
    <w:tbl>
      <w:tblPr>
        <w:tblLayout w:type="fixed"/>
        <w:tblInd w:w="1348" w:type="dxa"/>
        <w:tblCellMar>
          <w:top w:w="0" w:type="dxa"/>
          <w:left w:w="0" w:type="dxa"/>
          <w:bottom w:w="0" w:type="dxa"/>
          <w:right w:w="0" w:type="dxa"/>
        </w:tblCellMar>
      </w:tblPr>
      <w:tr>
        <w:trPr>
          <w:trHeight w:val="148"/>
        </w:trPr>
        <w:tc>
          <w:tcPr>
            <w:tcW w:w="2480" w:type="dxa"/>
            <w:vAlign w:val="bottom"/>
            <w:gridSpan w:val="2"/>
          </w:tcPr>
          <w:p>
            <w:pPr>
              <w:jc w:val="center"/>
              <w:ind w:right="1300"/>
              <w:spacing w:after="0"/>
              <w:rPr>
                <w:sz w:val="20"/>
                <w:szCs w:val="20"/>
                <w:color w:val="auto"/>
              </w:rPr>
            </w:pPr>
            <w:r>
              <w:rPr>
                <w:rFonts w:ascii="Arial" w:cs="Arial" w:eastAsia="Arial" w:hAnsi="Arial"/>
                <w:sz w:val="12"/>
                <w:szCs w:val="12"/>
                <w:b w:val="1"/>
                <w:bCs w:val="1"/>
                <w:color w:val="auto"/>
                <w:w w:val="91"/>
              </w:rPr>
              <w:t>Delaware</w:t>
            </w:r>
          </w:p>
        </w:tc>
        <w:tc>
          <w:tcPr>
            <w:tcW w:w="4520" w:type="dxa"/>
            <w:vAlign w:val="bottom"/>
          </w:tcPr>
          <w:p>
            <w:pPr>
              <w:jc w:val="center"/>
              <w:ind w:right="640"/>
              <w:spacing w:after="0"/>
              <w:rPr>
                <w:sz w:val="20"/>
                <w:szCs w:val="20"/>
                <w:color w:val="auto"/>
              </w:rPr>
            </w:pPr>
            <w:r>
              <w:rPr>
                <w:rFonts w:ascii="Arial" w:cs="Arial" w:eastAsia="Arial" w:hAnsi="Arial"/>
                <w:sz w:val="12"/>
                <w:szCs w:val="12"/>
                <w:b w:val="1"/>
                <w:bCs w:val="1"/>
                <w:color w:val="auto"/>
                <w:w w:val="90"/>
              </w:rPr>
              <w:t>1-8649</w:t>
            </w:r>
          </w:p>
        </w:tc>
        <w:tc>
          <w:tcPr>
            <w:tcW w:w="220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41-0580470</w:t>
            </w:r>
          </w:p>
        </w:tc>
      </w:tr>
      <w:tr>
        <w:trPr>
          <w:trHeight w:val="153"/>
        </w:trPr>
        <w:tc>
          <w:tcPr>
            <w:tcW w:w="2480" w:type="dxa"/>
            <w:vAlign w:val="bottom"/>
            <w:gridSpan w:val="2"/>
          </w:tcPr>
          <w:p>
            <w:pPr>
              <w:jc w:val="center"/>
              <w:ind w:right="1280"/>
              <w:spacing w:after="0"/>
              <w:rPr>
                <w:sz w:val="20"/>
                <w:szCs w:val="20"/>
                <w:color w:val="auto"/>
              </w:rPr>
            </w:pPr>
            <w:r>
              <w:rPr>
                <w:rFonts w:ascii="Arial" w:cs="Arial" w:eastAsia="Arial" w:hAnsi="Arial"/>
                <w:sz w:val="12"/>
                <w:szCs w:val="12"/>
                <w:color w:val="auto"/>
                <w:w w:val="92"/>
              </w:rPr>
              <w:t>(State of Incorporation)</w:t>
            </w:r>
          </w:p>
        </w:tc>
        <w:tc>
          <w:tcPr>
            <w:tcW w:w="4520" w:type="dxa"/>
            <w:vAlign w:val="bottom"/>
          </w:tcPr>
          <w:p>
            <w:pPr>
              <w:jc w:val="center"/>
              <w:ind w:right="620"/>
              <w:spacing w:after="0"/>
              <w:rPr>
                <w:sz w:val="20"/>
                <w:szCs w:val="20"/>
                <w:color w:val="auto"/>
              </w:rPr>
            </w:pPr>
            <w:r>
              <w:rPr>
                <w:rFonts w:ascii="Arial" w:cs="Arial" w:eastAsia="Arial" w:hAnsi="Arial"/>
                <w:sz w:val="12"/>
                <w:szCs w:val="12"/>
                <w:color w:val="auto"/>
                <w:w w:val="92"/>
              </w:rPr>
              <w:t>(Commission File Number)</w:t>
            </w:r>
          </w:p>
        </w:tc>
        <w:tc>
          <w:tcPr>
            <w:tcW w:w="2200" w:type="dxa"/>
            <w:vAlign w:val="bottom"/>
            <w:gridSpan w:val="2"/>
          </w:tcPr>
          <w:p>
            <w:pPr>
              <w:jc w:val="center"/>
              <w:ind w:left="180"/>
              <w:spacing w:after="0"/>
              <w:rPr>
                <w:sz w:val="20"/>
                <w:szCs w:val="20"/>
                <w:color w:val="auto"/>
              </w:rPr>
            </w:pPr>
            <w:r>
              <w:rPr>
                <w:rFonts w:ascii="Arial" w:cs="Arial" w:eastAsia="Arial" w:hAnsi="Arial"/>
                <w:sz w:val="12"/>
                <w:szCs w:val="12"/>
                <w:color w:val="auto"/>
                <w:w w:val="93"/>
              </w:rPr>
              <w:t>(I.R.S. Employer Identification Number)</w:t>
            </w:r>
          </w:p>
        </w:tc>
      </w:tr>
      <w:tr>
        <w:trPr>
          <w:trHeight w:val="455"/>
        </w:trPr>
        <w:tc>
          <w:tcPr>
            <w:tcW w:w="5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2"/>
                <w:szCs w:val="12"/>
                <w:b w:val="1"/>
                <w:bCs w:val="1"/>
                <w:color w:val="auto"/>
                <w:w w:val="87"/>
              </w:rPr>
              <w:t>8111 Lyndale Avenue South</w:t>
            </w:r>
          </w:p>
        </w:tc>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48"/>
        </w:trPr>
        <w:tc>
          <w:tcPr>
            <w:tcW w:w="56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b w:val="1"/>
                <w:bCs w:val="1"/>
                <w:color w:val="auto"/>
                <w:w w:val="89"/>
              </w:rPr>
              <w:t>Bloomington, Minnesota</w:t>
            </w:r>
          </w:p>
        </w:tc>
        <w:tc>
          <w:tcPr>
            <w:tcW w:w="45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b w:val="1"/>
                <w:bCs w:val="1"/>
                <w:color w:val="auto"/>
              </w:rPr>
              <w:t>55420</w:t>
            </w:r>
          </w:p>
        </w:tc>
        <w:tc>
          <w:tcPr>
            <w:tcW w:w="1680" w:type="dxa"/>
            <w:vAlign w:val="bottom"/>
          </w:tcPr>
          <w:p>
            <w:pPr>
              <w:spacing w:after="0"/>
              <w:rPr>
                <w:sz w:val="12"/>
                <w:szCs w:val="12"/>
                <w:color w:val="auto"/>
              </w:rPr>
            </w:pPr>
          </w:p>
        </w:tc>
      </w:tr>
      <w:tr>
        <w:trPr>
          <w:trHeight w:val="133"/>
        </w:trPr>
        <w:tc>
          <w:tcPr>
            <w:tcW w:w="560" w:type="dxa"/>
            <w:vAlign w:val="bottom"/>
          </w:tcPr>
          <w:p>
            <w:pPr>
              <w:spacing w:after="0"/>
              <w:rPr>
                <w:sz w:val="11"/>
                <w:szCs w:val="11"/>
                <w:color w:val="auto"/>
              </w:rPr>
            </w:pPr>
          </w:p>
        </w:tc>
        <w:tc>
          <w:tcPr>
            <w:tcW w:w="1920" w:type="dxa"/>
            <w:vAlign w:val="bottom"/>
          </w:tcPr>
          <w:p>
            <w:pPr>
              <w:jc w:val="center"/>
              <w:spacing w:after="0" w:line="106" w:lineRule="exact"/>
              <w:rPr>
                <w:sz w:val="20"/>
                <w:szCs w:val="20"/>
                <w:color w:val="auto"/>
              </w:rPr>
            </w:pPr>
            <w:r>
              <w:rPr>
                <w:rFonts w:ascii="Arial" w:cs="Arial" w:eastAsia="Arial" w:hAnsi="Arial"/>
                <w:sz w:val="12"/>
                <w:szCs w:val="12"/>
                <w:color w:val="auto"/>
                <w:w w:val="93"/>
              </w:rPr>
              <w:t>(Address of principal executive offices)</w:t>
            </w:r>
          </w:p>
        </w:tc>
        <w:tc>
          <w:tcPr>
            <w:tcW w:w="4520" w:type="dxa"/>
            <w:vAlign w:val="bottom"/>
          </w:tcPr>
          <w:p>
            <w:pPr>
              <w:spacing w:after="0"/>
              <w:rPr>
                <w:sz w:val="11"/>
                <w:szCs w:val="11"/>
                <w:color w:val="auto"/>
              </w:rPr>
            </w:pPr>
          </w:p>
        </w:tc>
        <w:tc>
          <w:tcPr>
            <w:tcW w:w="2200" w:type="dxa"/>
            <w:vAlign w:val="bottom"/>
            <w:gridSpan w:val="2"/>
          </w:tcPr>
          <w:p>
            <w:pPr>
              <w:jc w:val="center"/>
              <w:ind w:right="1680"/>
              <w:spacing w:after="0" w:line="115" w:lineRule="exact"/>
              <w:rPr>
                <w:sz w:val="20"/>
                <w:szCs w:val="20"/>
                <w:color w:val="auto"/>
              </w:rPr>
            </w:pPr>
            <w:r>
              <w:rPr>
                <w:rFonts w:ascii="Arial" w:cs="Arial" w:eastAsia="Arial" w:hAnsi="Arial"/>
                <w:sz w:val="12"/>
                <w:szCs w:val="12"/>
                <w:color w:val="auto"/>
                <w:w w:val="91"/>
              </w:rPr>
              <w:t>(Zip Code)</w:t>
            </w:r>
          </w:p>
        </w:tc>
      </w:tr>
      <w:tr>
        <w:trPr>
          <w:trHeight w:val="324"/>
        </w:trPr>
        <w:tc>
          <w:tcPr>
            <w:tcW w:w="5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520" w:type="dxa"/>
            <w:vAlign w:val="bottom"/>
          </w:tcPr>
          <w:p>
            <w:pPr>
              <w:jc w:val="center"/>
              <w:ind w:right="64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(952) 888-8801</w:t>
            </w:r>
          </w:p>
        </w:tc>
        <w:tc>
          <w:tcPr>
            <w:tcW w:w="5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bl>
    <w:p>
      <w:pPr>
        <w:spacing w:after="0" w:line="315" w:lineRule="exact"/>
        <w:rPr>
          <w:sz w:val="24"/>
          <w:szCs w:val="24"/>
          <w:color w:val="auto"/>
        </w:rPr>
      </w:pPr>
    </w:p>
    <w:p>
      <w:pPr>
        <w:jc w:val="center"/>
        <w:ind w:right="-927"/>
        <w:spacing w:after="0"/>
        <w:rPr>
          <w:sz w:val="20"/>
          <w:szCs w:val="20"/>
          <w:color w:val="auto"/>
        </w:rPr>
      </w:pPr>
      <w:r>
        <w:rPr>
          <w:rFonts w:ascii="Arial" w:cs="Arial" w:eastAsia="Arial" w:hAnsi="Arial"/>
          <w:sz w:val="12"/>
          <w:szCs w:val="1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-6985</wp:posOffset>
            </wp:positionV>
            <wp:extent cx="13785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8585" cy="5715"/>
                    </a:xfrm>
                    <a:prstGeom prst="rect">
                      <a:avLst/>
                    </a:prstGeom>
                    <a:noFill/>
                  </pic:spPr>
                </pic:pic>
              </a:graphicData>
            </a:graphic>
          </wp:anchor>
        </w:drawing>
      </w:r>
    </w:p>
    <w:p>
      <w:pPr>
        <w:jc w:val="center"/>
        <w:ind w:right="-92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9"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08" w:hanging="108"/>
        <w:spacing w:after="0"/>
        <w:tabs>
          <w:tab w:leader="none" w:pos="108" w:val="left"/>
        </w:tabs>
        <w:numPr>
          <w:ilvl w:val="0"/>
          <w:numId w:val="1"/>
        </w:numPr>
        <w:rPr>
          <w:rFonts w:ascii="Arial" w:cs="Arial" w:eastAsia="Arial" w:hAnsi="Arial"/>
          <w:sz w:val="12"/>
          <w:szCs w:val="12"/>
          <w:color w:val="auto"/>
        </w:rPr>
      </w:pPr>
      <w:r>
        <w:rPr>
          <w:rFonts w:ascii="Arial" w:cs="Arial" w:eastAsia="Arial" w:hAnsi="Arial"/>
          <w:sz w:val="12"/>
          <w:szCs w:val="12"/>
          <w:color w:val="auto"/>
        </w:rPr>
        <w:t>] Written communications pursuant to Rule 425 under the Securities Act (17 CFR 230.425)</w:t>
      </w:r>
    </w:p>
    <w:p>
      <w:pPr>
        <w:spacing w:after="0" w:line="168" w:lineRule="exact"/>
        <w:rPr>
          <w:rFonts w:ascii="Arial" w:cs="Arial" w:eastAsia="Arial" w:hAnsi="Arial"/>
          <w:sz w:val="12"/>
          <w:szCs w:val="12"/>
          <w:color w:val="auto"/>
        </w:rPr>
      </w:pPr>
    </w:p>
    <w:p>
      <w:pPr>
        <w:ind w:left="108" w:hanging="108"/>
        <w:spacing w:after="0"/>
        <w:tabs>
          <w:tab w:leader="none" w:pos="108" w:val="left"/>
        </w:tabs>
        <w:numPr>
          <w:ilvl w:val="0"/>
          <w:numId w:val="1"/>
        </w:numPr>
        <w:rPr>
          <w:rFonts w:ascii="Arial" w:cs="Arial" w:eastAsia="Arial" w:hAnsi="Arial"/>
          <w:sz w:val="12"/>
          <w:szCs w:val="12"/>
          <w:color w:val="auto"/>
        </w:rPr>
      </w:pPr>
      <w:r>
        <w:rPr>
          <w:rFonts w:ascii="Arial" w:cs="Arial" w:eastAsia="Arial" w:hAnsi="Arial"/>
          <w:sz w:val="12"/>
          <w:szCs w:val="12"/>
          <w:color w:val="auto"/>
        </w:rPr>
        <w:t>] Soliciting material pursuant to Rule 14a-12 under the Exchange Act (17 CFR 240.14a-12)</w:t>
      </w:r>
    </w:p>
    <w:p>
      <w:pPr>
        <w:spacing w:after="0" w:line="168" w:lineRule="exact"/>
        <w:rPr>
          <w:rFonts w:ascii="Arial" w:cs="Arial" w:eastAsia="Arial" w:hAnsi="Arial"/>
          <w:sz w:val="12"/>
          <w:szCs w:val="12"/>
          <w:color w:val="auto"/>
        </w:rPr>
      </w:pPr>
    </w:p>
    <w:p>
      <w:pPr>
        <w:ind w:left="108" w:hanging="108"/>
        <w:spacing w:after="0"/>
        <w:tabs>
          <w:tab w:leader="none" w:pos="10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14d-2(b) under the Exchange Act (17 CFR 240.14d-2(b))</w:t>
      </w:r>
    </w:p>
    <w:p>
      <w:pPr>
        <w:spacing w:after="0" w:line="168" w:lineRule="exact"/>
        <w:rPr>
          <w:rFonts w:ascii="Arial" w:cs="Arial" w:eastAsia="Arial" w:hAnsi="Arial"/>
          <w:sz w:val="12"/>
          <w:szCs w:val="12"/>
          <w:color w:val="auto"/>
        </w:rPr>
      </w:pPr>
    </w:p>
    <w:p>
      <w:pPr>
        <w:ind w:left="108" w:hanging="108"/>
        <w:spacing w:after="0"/>
        <w:tabs>
          <w:tab w:leader="none" w:pos="10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729932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503555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548"/>
          </w:cols>
          <w:pgMar w:left="212" w:top="896" w:right="113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Section 2 — Financial Information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On February 19, 2009, The Toro Company announced its earnings for the three months ended January 30, 2009.</w:t>
      </w:r>
    </w:p>
    <w:p>
      <w:pPr>
        <w:spacing w:after="0" w:line="168" w:lineRule="exact"/>
        <w:rPr>
          <w:sz w:val="20"/>
          <w:szCs w:val="20"/>
          <w:color w:val="auto"/>
        </w:rPr>
      </w:pPr>
    </w:p>
    <w:p>
      <w:pPr>
        <w:ind w:left="540"/>
        <w:spacing w:after="0" w:line="298" w:lineRule="auto"/>
        <w:rPr>
          <w:sz w:val="20"/>
          <w:szCs w:val="20"/>
          <w:color w:val="auto"/>
        </w:rPr>
      </w:pPr>
      <w:r>
        <w:rPr>
          <w:rFonts w:ascii="Arial" w:cs="Arial" w:eastAsia="Arial" w:hAnsi="Arial"/>
          <w:sz w:val="11"/>
          <w:szCs w:val="11"/>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457835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20" w:top="388" w:right="33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Section 9 —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20"/>
                <w:szCs w:val="20"/>
                <w:color w:val="auto"/>
              </w:rPr>
            </w:pPr>
            <w:r>
              <w:rPr>
                <w:rFonts w:ascii="Arial" w:cs="Arial" w:eastAsia="Arial" w:hAnsi="Arial"/>
                <w:sz w:val="12"/>
                <w:szCs w:val="12"/>
                <w:b w:val="1"/>
                <w:bCs w:val="1"/>
                <w:color w:val="auto"/>
                <w:w w:val="89"/>
              </w:rPr>
              <w:t>Exhibit No.</w:t>
            </w:r>
          </w:p>
        </w:tc>
        <w:tc>
          <w:tcPr>
            <w:tcW w:w="340" w:type="dxa"/>
            <w:vAlign w:val="bottom"/>
          </w:tcPr>
          <w:p>
            <w:pPr>
              <w:spacing w:after="0"/>
              <w:rPr>
                <w:sz w:val="12"/>
                <w:szCs w:val="12"/>
                <w:color w:val="auto"/>
              </w:rPr>
            </w:pPr>
          </w:p>
        </w:tc>
        <w:tc>
          <w:tcPr>
            <w:tcW w:w="105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169"/>
        </w:trPr>
        <w:tc>
          <w:tcPr>
            <w:tcW w:w="580" w:type="dxa"/>
            <w:vAlign w:val="bottom"/>
          </w:tcPr>
          <w:p>
            <w:pPr>
              <w:spacing w:after="0"/>
              <w:rPr>
                <w:sz w:val="20"/>
                <w:szCs w:val="20"/>
                <w:color w:val="auto"/>
              </w:rPr>
            </w:pPr>
            <w:r>
              <w:rPr>
                <w:rFonts w:ascii="Arial" w:cs="Arial" w:eastAsia="Arial" w:hAnsi="Arial"/>
                <w:sz w:val="12"/>
                <w:szCs w:val="12"/>
                <w:color w:val="auto"/>
              </w:rPr>
              <w:t>99.1</w:t>
            </w:r>
          </w:p>
        </w:tc>
        <w:tc>
          <w:tcPr>
            <w:tcW w:w="340" w:type="dxa"/>
            <w:vAlign w:val="bottom"/>
          </w:tcPr>
          <w:p>
            <w:pPr>
              <w:spacing w:after="0"/>
              <w:rPr>
                <w:sz w:val="14"/>
                <w:szCs w:val="14"/>
                <w:color w:val="auto"/>
              </w:rPr>
            </w:pPr>
          </w:p>
        </w:tc>
        <w:tc>
          <w:tcPr>
            <w:tcW w:w="10560" w:type="dxa"/>
            <w:vAlign w:val="bottom"/>
            <w:gridSpan w:val="2"/>
          </w:tcPr>
          <w:p>
            <w:pPr>
              <w:spacing w:after="0"/>
              <w:rPr>
                <w:sz w:val="20"/>
                <w:szCs w:val="20"/>
                <w:color w:val="auto"/>
              </w:rPr>
            </w:pPr>
            <w:r>
              <w:rPr>
                <w:rFonts w:ascii="Arial" w:cs="Arial" w:eastAsia="Arial" w:hAnsi="Arial"/>
                <w:sz w:val="12"/>
                <w:szCs w:val="12"/>
                <w:color w:val="auto"/>
              </w:rPr>
              <w:t>Press release dated February 19, 2009 (furnished herewith).</w:t>
            </w:r>
          </w:p>
        </w:tc>
      </w:tr>
      <w:tr>
        <w:trPr>
          <w:trHeight w:val="760"/>
        </w:trPr>
        <w:tc>
          <w:tcPr>
            <w:tcW w:w="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color w:val="auto"/>
        </w:rPr>
        <w:t>SIGNATURES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9160" w:type="dxa"/>
            <w:vAlign w:val="bottom"/>
            <w:gridSpan w:val="3"/>
          </w:tcPr>
          <w:p>
            <w:pPr>
              <w:ind w:left="1140"/>
              <w:spacing w:after="0"/>
              <w:rPr>
                <w:sz w:val="20"/>
                <w:szCs w:val="20"/>
                <w:color w:val="auto"/>
              </w:rPr>
            </w:pPr>
            <w:r>
              <w:rPr>
                <w:rFonts w:ascii="Arial" w:cs="Arial" w:eastAsia="Arial" w:hAnsi="Arial"/>
                <w:sz w:val="12"/>
                <w:szCs w:val="12"/>
                <w:color w:val="auto"/>
              </w:rPr>
              <w:t>THE TORO COMPANY</w:t>
            </w:r>
          </w:p>
        </w:tc>
      </w:tr>
      <w:tr>
        <w:trPr>
          <w:trHeight w:val="153"/>
        </w:trPr>
        <w:tc>
          <w:tcPr>
            <w:tcW w:w="2320" w:type="dxa"/>
            <w:vAlign w:val="bottom"/>
          </w:tcPr>
          <w:p>
            <w:pPr>
              <w:spacing w:after="0"/>
              <w:rPr>
                <w:sz w:val="13"/>
                <w:szCs w:val="13"/>
                <w:color w:val="auto"/>
              </w:rPr>
            </w:pPr>
          </w:p>
        </w:tc>
        <w:tc>
          <w:tcPr>
            <w:tcW w:w="9160" w:type="dxa"/>
            <w:vAlign w:val="bottom"/>
            <w:gridSpan w:val="3"/>
          </w:tcPr>
          <w:p>
            <w:pPr>
              <w:ind w:left="1140"/>
              <w:spacing w:after="0"/>
              <w:rPr>
                <w:sz w:val="20"/>
                <w:szCs w:val="20"/>
                <w:color w:val="auto"/>
              </w:rPr>
            </w:pPr>
            <w:r>
              <w:rPr>
                <w:rFonts w:ascii="Arial" w:cs="Arial" w:eastAsia="Arial" w:hAnsi="Arial"/>
                <w:sz w:val="12"/>
                <w:szCs w:val="12"/>
                <w:color w:val="auto"/>
              </w:rPr>
              <w:t>(Registrant)</w:t>
            </w:r>
          </w:p>
        </w:tc>
      </w:tr>
      <w:tr>
        <w:trPr>
          <w:trHeight w:val="279"/>
        </w:trPr>
        <w:tc>
          <w:tcPr>
            <w:tcW w:w="2320" w:type="dxa"/>
            <w:vAlign w:val="bottom"/>
          </w:tcPr>
          <w:p>
            <w:pPr>
              <w:spacing w:after="0"/>
              <w:rPr>
                <w:sz w:val="20"/>
                <w:szCs w:val="20"/>
                <w:color w:val="auto"/>
              </w:rPr>
            </w:pPr>
            <w:r>
              <w:rPr>
                <w:rFonts w:ascii="Arial" w:cs="Arial" w:eastAsia="Arial" w:hAnsi="Arial"/>
                <w:sz w:val="12"/>
                <w:szCs w:val="12"/>
                <w:color w:val="auto"/>
              </w:rPr>
              <w:t>Date: February 19, 2009</w:t>
            </w:r>
          </w:p>
        </w:tc>
        <w:tc>
          <w:tcPr>
            <w:tcW w:w="9160" w:type="dxa"/>
            <w:vAlign w:val="bottom"/>
            <w:gridSpan w:val="3"/>
          </w:tcPr>
          <w:p>
            <w:pPr>
              <w:ind w:left="3080"/>
              <w:spacing w:after="0"/>
              <w:rPr>
                <w:sz w:val="20"/>
                <w:szCs w:val="20"/>
                <w:color w:val="auto"/>
              </w:rPr>
            </w:pPr>
            <w:r>
              <w:rPr>
                <w:rFonts w:ascii="Arial" w:cs="Arial" w:eastAsia="Arial" w:hAnsi="Arial"/>
                <w:sz w:val="12"/>
                <w:szCs w:val="12"/>
                <w:color w:val="auto"/>
              </w:rPr>
              <w:t>By /s/ Stephen P. Wolfe</w:t>
            </w:r>
          </w:p>
        </w:tc>
      </w:tr>
      <w:tr>
        <w:trPr>
          <w:trHeight w:val="20"/>
        </w:trPr>
        <w:tc>
          <w:tcPr>
            <w:tcW w:w="2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42"/>
        </w:trPr>
        <w:tc>
          <w:tcPr>
            <w:tcW w:w="2320" w:type="dxa"/>
            <w:vAlign w:val="bottom"/>
          </w:tcPr>
          <w:p>
            <w:pPr>
              <w:spacing w:after="0"/>
              <w:rPr>
                <w:sz w:val="12"/>
                <w:szCs w:val="12"/>
                <w:color w:val="auto"/>
              </w:rPr>
            </w:pPr>
          </w:p>
        </w:tc>
        <w:tc>
          <w:tcPr>
            <w:tcW w:w="9160" w:type="dxa"/>
            <w:vAlign w:val="bottom"/>
            <w:gridSpan w:val="3"/>
          </w:tcPr>
          <w:p>
            <w:pPr>
              <w:ind w:left="3080"/>
              <w:spacing w:after="0"/>
              <w:rPr>
                <w:sz w:val="20"/>
                <w:szCs w:val="20"/>
                <w:color w:val="auto"/>
              </w:rPr>
            </w:pPr>
            <w:r>
              <w:rPr>
                <w:rFonts w:ascii="Arial" w:cs="Arial" w:eastAsia="Arial" w:hAnsi="Arial"/>
                <w:sz w:val="12"/>
                <w:szCs w:val="12"/>
                <w:color w:val="auto"/>
              </w:rPr>
              <w:t>Stephen P. Wolfe</w:t>
            </w:r>
          </w:p>
        </w:tc>
      </w:tr>
      <w:tr>
        <w:trPr>
          <w:trHeight w:val="153"/>
        </w:trPr>
        <w:tc>
          <w:tcPr>
            <w:tcW w:w="2320" w:type="dxa"/>
            <w:vAlign w:val="bottom"/>
          </w:tcPr>
          <w:p>
            <w:pPr>
              <w:spacing w:after="0"/>
              <w:rPr>
                <w:sz w:val="13"/>
                <w:szCs w:val="13"/>
                <w:color w:val="auto"/>
              </w:rPr>
            </w:pPr>
          </w:p>
        </w:tc>
        <w:tc>
          <w:tcPr>
            <w:tcW w:w="9160" w:type="dxa"/>
            <w:vAlign w:val="bottom"/>
            <w:gridSpan w:val="3"/>
          </w:tcPr>
          <w:p>
            <w:pPr>
              <w:ind w:left="3080"/>
              <w:spacing w:after="0"/>
              <w:rPr>
                <w:sz w:val="20"/>
                <w:szCs w:val="20"/>
                <w:color w:val="auto"/>
              </w:rPr>
            </w:pPr>
            <w:r>
              <w:rPr>
                <w:rFonts w:ascii="Arial" w:cs="Arial" w:eastAsia="Arial" w:hAnsi="Arial"/>
                <w:sz w:val="12"/>
                <w:szCs w:val="12"/>
                <w:color w:val="auto"/>
              </w:rPr>
              <w:t>Vice President, Finance and Chief Financial Officer</w:t>
            </w:r>
          </w:p>
        </w:tc>
      </w:tr>
      <w:tr>
        <w:trPr>
          <w:trHeight w:val="598"/>
        </w:trPr>
        <w:tc>
          <w:tcPr>
            <w:tcW w:w="23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EXHIBIT INDEX</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EXHIBIT NUMBER</w:t>
            </w:r>
          </w:p>
        </w:tc>
        <w:tc>
          <w:tcPr>
            <w:tcW w:w="320" w:type="dxa"/>
            <w:vAlign w:val="bottom"/>
            <w:tcBorders>
              <w:top w:val="single" w:sz="8" w:color="auto"/>
            </w:tcBorders>
          </w:tcPr>
          <w:p>
            <w:pPr>
              <w:spacing w:after="0"/>
              <w:rPr>
                <w:sz w:val="10"/>
                <w:szCs w:val="10"/>
                <w:color w:val="auto"/>
              </w:rPr>
            </w:pPr>
          </w:p>
        </w:tc>
        <w:tc>
          <w:tcPr>
            <w:tcW w:w="101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rPr>
              <w:t>DESCRIPTION</w:t>
            </w:r>
          </w:p>
        </w:tc>
      </w:tr>
      <w:tr>
        <w:trPr>
          <w:trHeight w:val="20"/>
        </w:trPr>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69"/>
        </w:trPr>
        <w:tc>
          <w:tcPr>
            <w:tcW w:w="1060" w:type="dxa"/>
            <w:vAlign w:val="bottom"/>
          </w:tcPr>
          <w:p>
            <w:pPr>
              <w:spacing w:after="0"/>
              <w:rPr>
                <w:sz w:val="20"/>
                <w:szCs w:val="20"/>
                <w:color w:val="auto"/>
              </w:rPr>
            </w:pPr>
            <w:r>
              <w:rPr>
                <w:rFonts w:ascii="Arial" w:cs="Arial" w:eastAsia="Arial" w:hAnsi="Arial"/>
                <w:sz w:val="12"/>
                <w:szCs w:val="12"/>
                <w:color w:val="auto"/>
              </w:rPr>
              <w:t>99.1</w:t>
            </w:r>
          </w:p>
        </w:tc>
        <w:tc>
          <w:tcPr>
            <w:tcW w:w="320" w:type="dxa"/>
            <w:vAlign w:val="bottom"/>
          </w:tcPr>
          <w:p>
            <w:pPr>
              <w:spacing w:after="0"/>
              <w:rPr>
                <w:sz w:val="14"/>
                <w:szCs w:val="14"/>
                <w:color w:val="auto"/>
              </w:rPr>
            </w:pPr>
          </w:p>
        </w:tc>
        <w:tc>
          <w:tcPr>
            <w:tcW w:w="10100" w:type="dxa"/>
            <w:vAlign w:val="bottom"/>
            <w:gridSpan w:val="2"/>
          </w:tcPr>
          <w:p>
            <w:pPr>
              <w:spacing w:after="0"/>
              <w:rPr>
                <w:sz w:val="20"/>
                <w:szCs w:val="20"/>
                <w:color w:val="auto"/>
              </w:rPr>
            </w:pPr>
            <w:r>
              <w:rPr>
                <w:rFonts w:ascii="Arial" w:cs="Arial" w:eastAsia="Arial" w:hAnsi="Arial"/>
                <w:sz w:val="12"/>
                <w:szCs w:val="12"/>
                <w:color w:val="auto"/>
              </w:rPr>
              <w:t>Press release dated February 19, 2009 (furnished herewith).</w:t>
            </w:r>
          </w:p>
        </w:tc>
      </w:tr>
      <w:tr>
        <w:trPr>
          <w:trHeight w:val="454"/>
        </w:trPr>
        <w:tc>
          <w:tcPr>
            <w:tcW w:w="10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257175</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134620</wp:posOffset>
            </wp:positionH>
            <wp:positionV relativeFrom="page">
              <wp:posOffset>151765</wp:posOffset>
            </wp:positionV>
            <wp:extent cx="835025" cy="549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35025" cy="549275"/>
                    </a:xfrm>
                    <a:prstGeom prst="rect">
                      <a:avLst/>
                    </a:prstGeom>
                    <a:noFill/>
                  </pic:spPr>
                </pic:pic>
              </a:graphicData>
            </a:graphic>
          </wp:anchor>
        </w:drawing>
        <w:t>Ex</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99.1</w:t>
      </w:r>
    </w:p>
    <w:p>
      <w:pPr>
        <w:spacing w:after="0" w:line="160" w:lineRule="exact"/>
        <w:rPr>
          <w:sz w:val="20"/>
          <w:szCs w:val="20"/>
          <w:color w:val="auto"/>
        </w:rPr>
      </w:pPr>
    </w:p>
    <w:p>
      <w:pPr>
        <w:ind w:left="8"/>
        <w:spacing w:after="0"/>
        <w:tabs>
          <w:tab w:leader="none" w:pos="6188" w:val="left"/>
          <w:tab w:leader="none" w:pos="6728" w:val="left"/>
        </w:tabs>
        <w:rPr>
          <w:sz w:val="20"/>
          <w:szCs w:val="20"/>
          <w:color w:val="auto"/>
        </w:rPr>
      </w:pPr>
      <w:r>
        <w:rPr>
          <w:rFonts w:ascii="Arial" w:cs="Arial" w:eastAsia="Arial" w:hAnsi="Arial"/>
          <w:sz w:val="14"/>
          <w:szCs w:val="14"/>
          <w:color w:val="auto"/>
        </w:rPr>
        <w:t>0;</w:t>
      </w:r>
      <w:r>
        <w:rPr>
          <w:sz w:val="20"/>
          <w:szCs w:val="20"/>
          <w:color w:val="auto"/>
        </w:rPr>
        <w:tab/>
      </w:r>
      <w:r>
        <w:rPr>
          <w:rFonts w:ascii="Arial" w:cs="Arial" w:eastAsia="Arial" w:hAnsi="Arial"/>
          <w:sz w:val="14"/>
          <w:szCs w:val="14"/>
          <w:color w:val="auto"/>
        </w:rPr>
        <w:t>&amp;  #</w:t>
      </w:r>
      <w:r>
        <w:rPr>
          <w:sz w:val="20"/>
          <w:szCs w:val="20"/>
          <w:color w:val="auto"/>
        </w:rPr>
        <w:tab/>
      </w:r>
      <w:r>
        <w:rPr>
          <w:rFonts w:ascii="Arial" w:cs="Arial" w:eastAsia="Arial" w:hAnsi="Arial"/>
          <w:sz w:val="14"/>
          <w:szCs w:val="14"/>
          <w:color w:val="auto"/>
        </w:rPr>
        <w:t>1  6  0  ;</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 Relations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John Wright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Director, Investor Relations</w:t>
      </w:r>
    </w:p>
    <w:p>
      <w:pPr>
        <w:spacing w:after="0" w:line="6"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887-8865, </w:t>
      </w:r>
      <w:r>
        <w:rPr>
          <w:rFonts w:ascii="Arial" w:cs="Arial" w:eastAsia="Arial" w:hAnsi="Arial"/>
          <w:sz w:val="12"/>
          <w:szCs w:val="12"/>
          <w:u w:val="single" w:color="auto"/>
          <w:color w:val="auto"/>
        </w:rPr>
        <w:t>invest@toro.com</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 Relations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Branden Happel</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Manager, Public Relations</w:t>
      </w:r>
    </w:p>
    <w:p>
      <w:pPr>
        <w:spacing w:after="0" w:line="6" w:lineRule="exact"/>
        <w:rPr>
          <w:sz w:val="20"/>
          <w:szCs w:val="20"/>
          <w:color w:val="auto"/>
        </w:rPr>
      </w:pPr>
    </w:p>
    <w:p>
      <w:pPr>
        <w:ind w:left="8" w:right="10100" w:hanging="8"/>
        <w:spacing w:after="0" w:line="361" w:lineRule="auto"/>
        <w:tabs>
          <w:tab w:leader="none" w:pos="298"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887-8930, </w:t>
      </w:r>
      <w:r>
        <w:rPr>
          <w:rFonts w:ascii="Arial" w:cs="Arial" w:eastAsia="Arial" w:hAnsi="Arial"/>
          <w:sz w:val="10"/>
          <w:szCs w:val="10"/>
          <w:u w:val="single" w:color="auto"/>
          <w:color w:val="auto"/>
        </w:rPr>
        <w:t>pr@toro.com</w:t>
      </w:r>
      <w:r>
        <w:rPr>
          <w:rFonts w:ascii="Arial" w:cs="Arial" w:eastAsia="Arial" w:hAnsi="Arial"/>
          <w:sz w:val="10"/>
          <w:szCs w:val="10"/>
          <w:color w:val="auto"/>
        </w:rPr>
        <w:t xml:space="preserve"> www.thetorocompany.com</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For Immediate Release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Toro Reports Fiscal 2009 First Quarter Results</w:t>
      </w:r>
    </w:p>
    <w:p>
      <w:pPr>
        <w:spacing w:after="0" w:line="172" w:lineRule="exact"/>
        <w:rPr>
          <w:sz w:val="20"/>
          <w:szCs w:val="20"/>
          <w:color w:val="auto"/>
        </w:rPr>
      </w:pPr>
    </w:p>
    <w:p>
      <w:pPr>
        <w:ind w:left="208" w:hanging="82"/>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Company delivers net earnings per share of $0.18</w:t>
      </w:r>
    </w:p>
    <w:p>
      <w:pPr>
        <w:spacing w:after="0" w:line="14" w:lineRule="exact"/>
        <w:rPr>
          <w:rFonts w:ascii="Arial" w:cs="Arial" w:eastAsia="Arial" w:hAnsi="Arial"/>
          <w:sz w:val="12"/>
          <w:szCs w:val="12"/>
          <w:color w:val="auto"/>
        </w:rPr>
      </w:pPr>
    </w:p>
    <w:p>
      <w:pPr>
        <w:ind w:left="208" w:hanging="82"/>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Residential segment sales flat; Professional segment sales down 22 percent</w:t>
      </w:r>
    </w:p>
    <w:p>
      <w:pPr>
        <w:spacing w:after="0" w:line="6" w:lineRule="exact"/>
        <w:rPr>
          <w:rFonts w:ascii="Arial" w:cs="Arial" w:eastAsia="Arial" w:hAnsi="Arial"/>
          <w:sz w:val="12"/>
          <w:szCs w:val="12"/>
          <w:color w:val="auto"/>
        </w:rPr>
      </w:pPr>
    </w:p>
    <w:p>
      <w:pPr>
        <w:ind w:left="208" w:hanging="82"/>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Focused efforts to reduce working capital drive improved balance sheet</w:t>
      </w:r>
    </w:p>
    <w:p>
      <w:pPr>
        <w:spacing w:after="0" w:line="159" w:lineRule="exact"/>
        <w:rPr>
          <w:sz w:val="20"/>
          <w:szCs w:val="20"/>
          <w:color w:val="auto"/>
        </w:rPr>
      </w:pPr>
    </w:p>
    <w:p>
      <w:pPr>
        <w:ind w:left="8" w:right="240"/>
        <w:spacing w:after="0" w:line="263" w:lineRule="auto"/>
        <w:rPr>
          <w:sz w:val="20"/>
          <w:szCs w:val="20"/>
          <w:color w:val="auto"/>
        </w:rPr>
      </w:pPr>
      <w:r>
        <w:rPr>
          <w:rFonts w:ascii="Arial" w:cs="Arial" w:eastAsia="Arial" w:hAnsi="Arial"/>
          <w:sz w:val="12"/>
          <w:szCs w:val="12"/>
          <w:color w:val="auto"/>
        </w:rPr>
        <w:t>BLOOMINGTON, Minn. (February 19, 2009) – The Toro Company (NYSE: TTC) today reported net earnings of $6.7 million, or $0.18 per share, on net sales of $340.2 million for its fiscal first quarter ended January 30, 2009. The company’s first quarter results were reduced by a pre-tax charge of $1.3 million, or $0.02 per share on an after-tax basis, to account for workforce adjustments. In the comparable fiscal 2008 period, the company reported net earnings of $18.6 million, or $0.47 per share, on net sales of $405.8 million.</w:t>
      </w:r>
    </w:p>
    <w:p>
      <w:pPr>
        <w:spacing w:after="0" w:line="141" w:lineRule="exact"/>
        <w:rPr>
          <w:sz w:val="20"/>
          <w:szCs w:val="20"/>
          <w:color w:val="auto"/>
        </w:rPr>
      </w:pPr>
    </w:p>
    <w:p>
      <w:pPr>
        <w:jc w:val="both"/>
        <w:ind w:left="8" w:right="120"/>
        <w:spacing w:after="0" w:line="263" w:lineRule="auto"/>
        <w:rPr>
          <w:sz w:val="20"/>
          <w:szCs w:val="20"/>
          <w:color w:val="auto"/>
        </w:rPr>
      </w:pPr>
      <w:r>
        <w:rPr>
          <w:rFonts w:ascii="Arial" w:cs="Arial" w:eastAsia="Arial" w:hAnsi="Arial"/>
          <w:sz w:val="12"/>
          <w:szCs w:val="12"/>
          <w:color w:val="auto"/>
        </w:rPr>
        <w:t>“We are operating in an extremely challenging business environment with revenue uncertainties, as well as overall currency and commodity pressures,“ said Michael J. Hoffman, Toro’s chairman and chief executive officer. “Accordingly, we are managing production volumes very closely and reducing expenses company-wide. As a result of our continued focus on working capital, we have brought down inventories, lowered short-term borrowings by $60 million compared to last year’s first quarter, and strengthened our balance sheet. Additionally, field inventories are down from last year’s levels.”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SEGMENT RESULTS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Professional</w:t>
      </w:r>
    </w:p>
    <w:p>
      <w:pPr>
        <w:spacing w:after="0" w:line="172" w:lineRule="exact"/>
        <w:rPr>
          <w:sz w:val="20"/>
          <w:szCs w:val="20"/>
          <w:color w:val="auto"/>
        </w:rPr>
      </w:pPr>
    </w:p>
    <w:p>
      <w:pPr>
        <w:jc w:val="both"/>
        <w:ind w:left="208" w:right="60" w:hanging="100"/>
        <w:spacing w:after="0" w:line="298" w:lineRule="auto"/>
        <w:tabs>
          <w:tab w:leader="none" w:pos="208" w:val="left"/>
        </w:tabs>
        <w:numPr>
          <w:ilvl w:val="0"/>
          <w:numId w:val="5"/>
        </w:numPr>
        <w:rPr>
          <w:rFonts w:ascii="Arial" w:cs="Arial" w:eastAsia="Arial" w:hAnsi="Arial"/>
          <w:sz w:val="11"/>
          <w:szCs w:val="11"/>
          <w:color w:val="auto"/>
        </w:rPr>
      </w:pPr>
      <w:r>
        <w:rPr>
          <w:rFonts w:ascii="Arial" w:cs="Arial" w:eastAsia="Arial" w:hAnsi="Arial"/>
          <w:sz w:val="11"/>
          <w:szCs w:val="11"/>
          <w:color w:val="auto"/>
        </w:rPr>
        <w:t>Professional segment net sales for the fiscal 2009 first quarter were $229.4 million, down 22.3 percent from the comparable fiscal 2008 period. Shipments declined across most domestic and international product categories due to challenging market conditions and cautious ordering among professional customers. Worldwide sales of golf maintenance equipment and irrigation systems were down significantly as existing courses delayed investments in new equipment and new golf course construction slowed. In addition, orders for professionally installed residential and commercial irrigation products declined due to ongoing pressures in housing and commercial construction.</w:t>
      </w:r>
    </w:p>
    <w:p>
      <w:pPr>
        <w:spacing w:after="0" w:line="123" w:lineRule="exact"/>
        <w:rPr>
          <w:rFonts w:ascii="Arial" w:cs="Arial" w:eastAsia="Arial" w:hAnsi="Arial"/>
          <w:sz w:val="11"/>
          <w:szCs w:val="11"/>
          <w:color w:val="auto"/>
        </w:rPr>
      </w:pPr>
    </w:p>
    <w:p>
      <w:pPr>
        <w:ind w:left="208" w:hanging="100"/>
        <w:spacing w:after="0"/>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Professional segment earnings for the fiscal 2009 first quarter were $30.1 million, down 41.5 percent from last year’s first quarter.</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Residential</w:t>
      </w:r>
    </w:p>
    <w:p>
      <w:pPr>
        <w:spacing w:after="0" w:line="172" w:lineRule="exact"/>
        <w:rPr>
          <w:sz w:val="20"/>
          <w:szCs w:val="20"/>
          <w:color w:val="auto"/>
        </w:rPr>
      </w:pPr>
    </w:p>
    <w:p>
      <w:pPr>
        <w:ind w:left="208" w:right="80" w:hanging="100"/>
        <w:spacing w:after="0" w:line="323" w:lineRule="auto"/>
        <w:tabs>
          <w:tab w:leader="none" w:pos="208" w:val="left"/>
        </w:tabs>
        <w:numPr>
          <w:ilvl w:val="0"/>
          <w:numId w:val="6"/>
        </w:numPr>
        <w:rPr>
          <w:rFonts w:ascii="Arial" w:cs="Arial" w:eastAsia="Arial" w:hAnsi="Arial"/>
          <w:sz w:val="11"/>
          <w:szCs w:val="11"/>
          <w:color w:val="auto"/>
        </w:rPr>
      </w:pPr>
      <w:r>
        <w:rPr>
          <w:rFonts w:ascii="Arial" w:cs="Arial" w:eastAsia="Arial" w:hAnsi="Arial"/>
          <w:sz w:val="11"/>
          <w:szCs w:val="11"/>
          <w:color w:val="auto"/>
        </w:rPr>
        <w:t>Residential segment net sales for the fiscal 2009 first quarter were $107 million, up slightly from the comparable fiscal 2008 period. Sales benefited from strong worldwide demand for snowthrower products, and improved product placement of a new and broader line of walk power mowers that boosted preseason orders. These gains were somewhat offset by delayed shipments of riding products as customers shifted orders closer to retail demand.</w:t>
      </w:r>
    </w:p>
    <w:p>
      <w:pPr>
        <w:spacing w:after="0" w:line="109" w:lineRule="exact"/>
        <w:rPr>
          <w:rFonts w:ascii="Arial" w:cs="Arial" w:eastAsia="Arial" w:hAnsi="Arial"/>
          <w:sz w:val="11"/>
          <w:szCs w:val="11"/>
          <w:color w:val="auto"/>
        </w:rPr>
      </w:pPr>
    </w:p>
    <w:p>
      <w:pPr>
        <w:ind w:left="188" w:hanging="89"/>
        <w:spacing w:after="0"/>
        <w:tabs>
          <w:tab w:leader="none" w:pos="188" w:val="left"/>
        </w:tabs>
        <w:numPr>
          <w:ilvl w:val="0"/>
          <w:numId w:val="6"/>
        </w:numPr>
        <w:rPr>
          <w:rFonts w:ascii="Arial" w:cs="Arial" w:eastAsia="Arial" w:hAnsi="Arial"/>
          <w:sz w:val="12"/>
          <w:szCs w:val="12"/>
          <w:color w:val="auto"/>
        </w:rPr>
      </w:pPr>
      <w:r>
        <w:rPr>
          <w:rFonts w:ascii="Arial" w:cs="Arial" w:eastAsia="Arial" w:hAnsi="Arial"/>
          <w:sz w:val="12"/>
          <w:szCs w:val="12"/>
          <w:color w:val="auto"/>
        </w:rPr>
        <w:t>Residential segment earnings for the fiscal 2009 first quarter were $4.8 million, up 26.8 percent from last year’s first quarter.</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REVIEW OF OPERATIONS</w:t>
      </w:r>
    </w:p>
    <w:p>
      <w:pPr>
        <w:spacing w:after="0" w:line="172"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Gross margin for the fiscal 2009 first quarter was 34.8 percent compared with 36.8 percent in the comparable fiscal 2008 period. The decline was primarily due to production cuts from lower sales volumes and efforts to reduce inventory levels, unfavorable product mix, and increased commodity costs. Some of the decline was offset by lower freight costs.</w:t>
      </w:r>
    </w:p>
    <w:p>
      <w:pPr>
        <w:spacing w:after="0" w:line="133" w:lineRule="exact"/>
        <w:rPr>
          <w:sz w:val="20"/>
          <w:szCs w:val="20"/>
          <w:color w:val="auto"/>
        </w:rPr>
      </w:pPr>
    </w:p>
    <w:p>
      <w:pPr>
        <w:ind w:left="8" w:right="460"/>
        <w:spacing w:after="0" w:line="276" w:lineRule="auto"/>
        <w:rPr>
          <w:sz w:val="20"/>
          <w:szCs w:val="20"/>
          <w:color w:val="auto"/>
        </w:rPr>
      </w:pPr>
      <w:r>
        <w:rPr>
          <w:rFonts w:ascii="Arial" w:cs="Arial" w:eastAsia="Arial" w:hAnsi="Arial"/>
          <w:sz w:val="12"/>
          <w:szCs w:val="12"/>
          <w:color w:val="auto"/>
        </w:rPr>
        <w:t>Selling, general and administrative (SG&amp;A) expenses for the fiscal 2009 first quarter declined $12.6 million, or 10.7 percent, but increased to 30.7 percent of net sales from 28.9 percent in the same period last year. SG&amp;A expenses declined as a result of reduced spending and lower profit sharing and incentive expenses.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Interest expense for the first quarter was down $0.5 million from the same period last year. The decline in interest expense resulted from substantially lower short-term borrowing levels in the fiscal 2009 first quarter.</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effective tax rate for the fiscal 2009 first quarter was 33.7 percent compared with 35.4 percent in the comparable fiscal 2008 period primarily due to the extension of the federal Research &amp; Engineering Tax Credit.</w:t>
      </w:r>
    </w:p>
    <w:p>
      <w:pPr>
        <w:spacing w:after="0" w:line="168" w:lineRule="exact"/>
        <w:rPr>
          <w:sz w:val="20"/>
          <w:szCs w:val="20"/>
          <w:color w:val="auto"/>
        </w:rPr>
      </w:pPr>
    </w:p>
    <w:p>
      <w:pPr>
        <w:ind w:left="8" w:right="100"/>
        <w:spacing w:after="0" w:line="323" w:lineRule="auto"/>
        <w:rPr>
          <w:sz w:val="20"/>
          <w:szCs w:val="20"/>
          <w:color w:val="auto"/>
        </w:rPr>
      </w:pPr>
      <w:r>
        <w:rPr>
          <w:rFonts w:ascii="Arial" w:cs="Arial" w:eastAsia="Arial" w:hAnsi="Arial"/>
          <w:sz w:val="11"/>
          <w:szCs w:val="11"/>
          <w:color w:val="auto"/>
        </w:rPr>
        <w:t>Accounts receivable at the end of the fiscal 2009 first quarter totaled $298 million, down $46.7 million or 13.6 percent from last year’s first quarter, on a sales decline of 16.2 percent. Net inventories were $238.7 million for the fiscal 2009 first quarter, down $57.2 million or 19.3 percent from the comparable fiscal 2008 period. The company’s ongoing efforts to reduce working capital contributed to lower seasonal short-term borrowing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8"/>
          </w:cols>
          <w:pgMar w:left="212" w:top="1251" w:right="13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auto"/>
        </w:rPr>
        <w:t>BUSINESS OUTLOOK</w:t>
      </w:r>
    </w:p>
    <w:p>
      <w:pPr>
        <w:spacing w:after="0" w:line="17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expect the global recessionary conditions to continue for the remainder of our fiscal year,” said Hoffman. “However, we believe we are well positioned to manage through a period of reduced volume because of actions we have taken to improve operating efficiency and asset utilization. Our focus as we enter the peak selling season is on generating customer demand for our innovative new products, while keeping production closely aligned with expected shipment volumes.”</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Given the intensifying global recession, the company cautioned that its outlook for the year is more uncertain. The company currently expects fiscal 2009 revenues to decline about 15 percent from fiscal 2008, and net earnings per share to be approximately $1.75 to $2.00. For its fiscal 2009 second quarter, the company expects to report net earnings per share of $0.85 to $1.00.</w:t>
      </w:r>
    </w:p>
    <w:p>
      <w:pPr>
        <w:spacing w:after="0" w:line="13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February 19, 10:00 a.m. CST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www.thetorocompany.com/invest</w:t>
      </w:r>
    </w:p>
    <w:p>
      <w:pPr>
        <w:spacing w:after="0" w:line="159" w:lineRule="exact"/>
        <w:rPr>
          <w:sz w:val="20"/>
          <w:szCs w:val="20"/>
          <w:color w:val="auto"/>
        </w:rPr>
      </w:pPr>
    </w:p>
    <w:p>
      <w:pPr>
        <w:ind w:right="620"/>
        <w:spacing w:after="0" w:line="380" w:lineRule="auto"/>
        <w:rPr>
          <w:sz w:val="20"/>
          <w:szCs w:val="20"/>
          <w:color w:val="auto"/>
        </w:rPr>
      </w:pPr>
      <w:r>
        <w:rPr>
          <w:rFonts w:ascii="Arial" w:cs="Arial" w:eastAsia="Arial" w:hAnsi="Arial"/>
          <w:sz w:val="10"/>
          <w:szCs w:val="10"/>
          <w:i w:val="1"/>
          <w:iCs w:val="1"/>
          <w:color w:val="auto"/>
        </w:rPr>
        <w:t xml:space="preserve">The Toro Company will conduct a conference call and webcast for investors beginning at 10:00 a.m. Central Time (CST) on February 19, 2009. The webcast will be available at </w:t>
      </w:r>
      <w:r>
        <w:rPr>
          <w:rFonts w:ascii="Arial" w:cs="Arial" w:eastAsia="Arial" w:hAnsi="Arial"/>
          <w:sz w:val="10"/>
          <w:szCs w:val="10"/>
          <w:i w:val="1"/>
          <w:iCs w:val="1"/>
          <w:u w:val="single" w:color="auto"/>
          <w:color w:val="auto"/>
        </w:rPr>
        <w:t>www.streetevents.com</w:t>
      </w:r>
      <w:r>
        <w:rPr>
          <w:rFonts w:ascii="Arial" w:cs="Arial" w:eastAsia="Arial" w:hAnsi="Arial"/>
          <w:sz w:val="10"/>
          <w:szCs w:val="10"/>
          <w:i w:val="1"/>
          <w:iCs w:val="1"/>
          <w:color w:val="auto"/>
        </w:rPr>
        <w:t xml:space="preserve"> or at </w:t>
      </w:r>
      <w:r>
        <w:rPr>
          <w:rFonts w:ascii="Arial" w:cs="Arial" w:eastAsia="Arial" w:hAnsi="Arial"/>
          <w:sz w:val="10"/>
          <w:szCs w:val="10"/>
          <w:i w:val="1"/>
          <w:iCs w:val="1"/>
          <w:u w:val="single" w:color="auto"/>
          <w:color w:val="auto"/>
        </w:rPr>
        <w:t>www.thetorocompany.com/invest</w:t>
      </w:r>
      <w:r>
        <w:rPr>
          <w:rFonts w:ascii="Arial" w:cs="Arial" w:eastAsia="Arial" w:hAnsi="Arial"/>
          <w:sz w:val="10"/>
          <w:szCs w:val="10"/>
          <w:i w:val="1"/>
          <w:iCs w:val="1"/>
          <w:color w:val="auto"/>
        </w:rPr>
        <w:t>. Webcast participants will need to complete a brief registration form and should allocate extra time before the webcast begins to register and, if necessary, download and install audio software.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w:t>
      </w:r>
    </w:p>
    <w:p>
      <w:pPr>
        <w:spacing w:after="0" w:line="19" w:lineRule="exact"/>
        <w:rPr>
          <w:sz w:val="20"/>
          <w:szCs w:val="20"/>
          <w:color w:val="auto"/>
        </w:rPr>
      </w:pPr>
    </w:p>
    <w:p>
      <w:pPr>
        <w:spacing w:after="0" w:line="273" w:lineRule="auto"/>
        <w:rPr>
          <w:sz w:val="20"/>
          <w:szCs w:val="20"/>
          <w:color w:val="auto"/>
        </w:rPr>
      </w:pPr>
      <w:r>
        <w:rPr>
          <w:rFonts w:ascii="Arial" w:cs="Arial" w:eastAsia="Arial" w:hAnsi="Arial"/>
          <w:sz w:val="11"/>
          <w:szCs w:val="11"/>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fluctuating fuel and other costs of transportation; the impact of abnormal weather patterns and natural disasters; the level of growth or contraction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or other problems in the development, production and</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466090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6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9"/>
              </w:rPr>
              <w:t>THE TORO COMPANY AND SUBSIDIARIES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6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89"/>
              </w:rPr>
              <w:t>Condensed Consolidated Statements of Earnings (Unaudited)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6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88"/>
              </w:rPr>
              <w:t>(Dollars and shares in thousands, except per-share data)</w:t>
            </w:r>
          </w:p>
        </w:tc>
        <w:tc>
          <w:tcPr>
            <w:tcW w:w="2460" w:type="dxa"/>
            <w:vAlign w:val="bottom"/>
            <w:gridSpan w:val="5"/>
            <w:vMerge w:val="restart"/>
          </w:tcPr>
          <w:p>
            <w:pPr>
              <w:jc w:val="right"/>
              <w:ind w:right="860"/>
              <w:spacing w:after="0"/>
              <w:rPr>
                <w:sz w:val="20"/>
                <w:szCs w:val="20"/>
                <w:color w:val="auto"/>
              </w:rPr>
            </w:pPr>
            <w:r>
              <w:rPr>
                <w:rFonts w:ascii="Arial" w:cs="Arial" w:eastAsia="Arial" w:hAnsi="Arial"/>
                <w:sz w:val="12"/>
                <w:szCs w:val="12"/>
                <w:color w:val="auto"/>
              </w:rPr>
              <w:t>Three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2"/>
                <w:szCs w:val="12"/>
                <w:b w:val="1"/>
                <w:bCs w:val="1"/>
                <w:color w:val="auto"/>
                <w:w w:val="90"/>
              </w:rPr>
              <w:t>January 30,</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00"/>
              <w:spacing w:after="0" w:line="129" w:lineRule="exact"/>
              <w:rPr>
                <w:sz w:val="20"/>
                <w:szCs w:val="20"/>
                <w:color w:val="auto"/>
              </w:rPr>
            </w:pPr>
            <w:r>
              <w:rPr>
                <w:rFonts w:ascii="Arial" w:cs="Arial" w:eastAsia="Arial" w:hAnsi="Arial"/>
                <w:sz w:val="12"/>
                <w:szCs w:val="12"/>
                <w:b w:val="1"/>
                <w:bCs w:val="1"/>
                <w:color w:val="auto"/>
                <w:w w:val="92"/>
              </w:rPr>
              <w:t>February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2009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666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340,172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405,799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118,260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149,137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Gross profit percent</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w w:val="98"/>
              </w:rPr>
              <w:t>Selling, general, and administrative expense</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104,559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117,117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Earnings from operations</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13,701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(4,358)</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(4,883)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tcPr>
          <w:p>
            <w:pPr>
              <w:ind w:left="300"/>
              <w:spacing w:after="0"/>
              <w:rPr>
                <w:sz w:val="20"/>
                <w:szCs w:val="20"/>
                <w:color w:val="auto"/>
              </w:rPr>
            </w:pPr>
            <w:r>
              <w:rPr>
                <w:rFonts w:ascii="Arial" w:cs="Arial" w:eastAsia="Arial" w:hAnsi="Arial"/>
                <w:sz w:val="12"/>
                <w:szCs w:val="12"/>
                <w:color w:val="auto"/>
              </w:rPr>
              <w:t>Earnings before income taxes</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10,153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28,835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tcPr>
          <w:p>
            <w:pPr>
              <w:ind w:left="300"/>
              <w:spacing w:after="0"/>
              <w:rPr>
                <w:sz w:val="20"/>
                <w:szCs w:val="20"/>
                <w:color w:val="auto"/>
              </w:rPr>
            </w:pPr>
            <w:r>
              <w:rPr>
                <w:rFonts w:ascii="Arial" w:cs="Arial" w:eastAsia="Arial" w:hAnsi="Arial"/>
                <w:sz w:val="12"/>
                <w:szCs w:val="12"/>
                <w:color w:val="auto"/>
              </w:rPr>
              <w:t>Net earnings</w:t>
            </w:r>
          </w:p>
        </w:tc>
        <w:tc>
          <w:tcPr>
            <w:tcW w:w="648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6,731</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18,627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Basic net earnings per share</w:t>
            </w:r>
          </w:p>
        </w:tc>
        <w:tc>
          <w:tcPr>
            <w:tcW w:w="666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0.19</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ind w:left="80"/>
              <w:spacing w:after="0"/>
              <w:rPr>
                <w:sz w:val="20"/>
                <w:szCs w:val="20"/>
                <w:color w:val="auto"/>
              </w:rPr>
            </w:pPr>
            <w:r>
              <w:rPr>
                <w:rFonts w:ascii="Arial" w:cs="Arial" w:eastAsia="Arial" w:hAnsi="Arial"/>
                <w:sz w:val="12"/>
                <w:szCs w:val="12"/>
                <w:color w:val="auto"/>
              </w:rPr>
              <w:t>Diluted net earnings per share</w:t>
            </w:r>
          </w:p>
        </w:tc>
        <w:tc>
          <w:tcPr>
            <w:tcW w:w="666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0.18</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w w:val="90"/>
              </w:rPr>
              <w:t>Weighted average number of shares of common</w:t>
            </w:r>
          </w:p>
        </w:tc>
        <w:tc>
          <w:tcPr>
            <w:tcW w:w="6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80"/>
              <w:spacing w:after="0"/>
              <w:rPr>
                <w:sz w:val="20"/>
                <w:szCs w:val="20"/>
                <w:color w:val="auto"/>
              </w:rPr>
            </w:pPr>
            <w:r>
              <w:rPr>
                <w:rFonts w:ascii="Arial" w:cs="Arial" w:eastAsia="Arial" w:hAnsi="Arial"/>
                <w:sz w:val="12"/>
                <w:szCs w:val="12"/>
                <w:color w:val="auto"/>
              </w:rPr>
              <w:t>stock outstanding – Basic</w:t>
            </w:r>
          </w:p>
        </w:tc>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36,366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38,386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w w:val="90"/>
              </w:rPr>
              <w:t>Weighted average number of shares of common</w:t>
            </w:r>
          </w:p>
        </w:tc>
        <w:tc>
          <w:tcPr>
            <w:tcW w:w="6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80"/>
              <w:spacing w:after="0"/>
              <w:rPr>
                <w:sz w:val="20"/>
                <w:szCs w:val="20"/>
                <w:color w:val="auto"/>
              </w:rPr>
            </w:pPr>
            <w:r>
              <w:rPr>
                <w:rFonts w:ascii="Arial" w:cs="Arial" w:eastAsia="Arial" w:hAnsi="Arial"/>
                <w:sz w:val="12"/>
                <w:szCs w:val="12"/>
                <w:color w:val="auto"/>
              </w:rPr>
              <w:t>stock outstanding – Dilutive</w:t>
            </w:r>
          </w:p>
        </w:tc>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36,805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39,395</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6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0"/>
              </w:rPr>
              <w:t>Segment Data (Unaudited)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6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89"/>
              </w:rPr>
              <w:t>(Dollars in thousands)</w:t>
            </w:r>
          </w:p>
        </w:tc>
        <w:tc>
          <w:tcPr>
            <w:tcW w:w="2340" w:type="dxa"/>
            <w:vAlign w:val="bottom"/>
            <w:gridSpan w:val="4"/>
            <w:vMerge w:val="restart"/>
          </w:tcPr>
          <w:p>
            <w:pPr>
              <w:jc w:val="right"/>
              <w:ind w:right="680"/>
              <w:spacing w:after="0"/>
              <w:rPr>
                <w:sz w:val="20"/>
                <w:szCs w:val="20"/>
                <w:color w:val="auto"/>
              </w:rPr>
            </w:pPr>
            <w:r>
              <w:rPr>
                <w:rFonts w:ascii="Arial" w:cs="Arial" w:eastAsia="Arial" w:hAnsi="Arial"/>
                <w:sz w:val="12"/>
                <w:szCs w:val="12"/>
                <w:color w:val="auto"/>
              </w:rPr>
              <w:t>Three Months Ended</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January 30,</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February 1,</w:t>
            </w:r>
          </w:p>
        </w:tc>
        <w:tc>
          <w:tcPr>
            <w:tcW w:w="0" w:type="dxa"/>
            <w:vAlign w:val="bottom"/>
          </w:tcPr>
          <w:p>
            <w:pPr>
              <w:spacing w:after="0"/>
              <w:rPr>
                <w:sz w:val="1"/>
                <w:szCs w:val="1"/>
                <w:color w:val="auto"/>
              </w:rPr>
            </w:pPr>
          </w:p>
        </w:tc>
      </w:tr>
      <w:tr>
        <w:trPr>
          <w:trHeight w:val="130"/>
        </w:trPr>
        <w:tc>
          <w:tcPr>
            <w:tcW w:w="23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Segment Net Sales</w:t>
            </w:r>
          </w:p>
        </w:tc>
        <w:tc>
          <w:tcPr>
            <w:tcW w:w="6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20"/>
              <w:spacing w:after="0" w:line="130" w:lineRule="exact"/>
              <w:rPr>
                <w:sz w:val="20"/>
                <w:szCs w:val="20"/>
                <w:color w:val="auto"/>
              </w:rPr>
            </w:pPr>
            <w:r>
              <w:rPr>
                <w:rFonts w:ascii="Arial" w:cs="Arial" w:eastAsia="Arial" w:hAnsi="Arial"/>
                <w:sz w:val="12"/>
                <w:szCs w:val="12"/>
                <w:b w:val="1"/>
                <w:bCs w:val="1"/>
                <w:color w:val="auto"/>
                <w:w w:val="89"/>
              </w:rPr>
              <w:t>2009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00"/>
              <w:spacing w:after="0" w:line="130" w:lineRule="exact"/>
              <w:rPr>
                <w:sz w:val="20"/>
                <w:szCs w:val="20"/>
                <w:color w:val="auto"/>
              </w:rPr>
            </w:pPr>
            <w:r>
              <w:rPr>
                <w:rFonts w:ascii="Arial" w:cs="Arial" w:eastAsia="Arial" w:hAnsi="Arial"/>
                <w:sz w:val="12"/>
                <w:szCs w:val="12"/>
                <w:b w:val="1"/>
                <w:bCs w:val="1"/>
                <w:color w:val="auto"/>
                <w:w w:val="89"/>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Professional</w:t>
            </w:r>
          </w:p>
        </w:tc>
        <w:tc>
          <w:tcPr>
            <w:tcW w:w="6660" w:type="dxa"/>
            <w:vAlign w:val="bottom"/>
            <w:gridSpan w:val="2"/>
            <w:shd w:val="clear" w:color="auto" w:fill="CCEEFF"/>
          </w:tcPr>
          <w:p>
            <w:pPr>
              <w:jc w:val="right"/>
              <w:ind w:right="70"/>
              <w:spacing w:after="0" w:line="129"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229,369</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295,047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Residential</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107,024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106,325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648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340,172</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405,799</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360" w:type="dxa"/>
            <w:vAlign w:val="bottom"/>
            <w:gridSpan w:val="3"/>
          </w:tcPr>
          <w:p>
            <w:pPr>
              <w:spacing w:after="0"/>
              <w:rPr>
                <w:sz w:val="20"/>
                <w:szCs w:val="20"/>
                <w:color w:val="auto"/>
              </w:rPr>
            </w:pPr>
            <w:r>
              <w:rPr>
                <w:rFonts w:ascii="Arial" w:cs="Arial" w:eastAsia="Arial" w:hAnsi="Arial"/>
                <w:sz w:val="12"/>
                <w:szCs w:val="12"/>
                <w:color w:val="auto"/>
              </w:rPr>
              <w:t>* Includes international sales of</w:t>
            </w:r>
          </w:p>
        </w:tc>
        <w:tc>
          <w:tcPr>
            <w:tcW w:w="666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130,391</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158,457</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2"/>
                <w:szCs w:val="12"/>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January 30,</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February 1,</w:t>
            </w:r>
          </w:p>
        </w:tc>
        <w:tc>
          <w:tcPr>
            <w:tcW w:w="0" w:type="dxa"/>
            <w:vAlign w:val="bottom"/>
          </w:tcPr>
          <w:p>
            <w:pPr>
              <w:spacing w:after="0"/>
              <w:rPr>
                <w:sz w:val="1"/>
                <w:szCs w:val="1"/>
                <w:color w:val="auto"/>
              </w:rPr>
            </w:pPr>
          </w:p>
        </w:tc>
      </w:tr>
      <w:tr>
        <w:trPr>
          <w:trHeight w:val="130"/>
        </w:trPr>
        <w:tc>
          <w:tcPr>
            <w:tcW w:w="23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87"/>
              </w:rPr>
              <w:t>Segment Earnings (Loss) Before Income Taxes</w:t>
            </w:r>
          </w:p>
        </w:tc>
        <w:tc>
          <w:tcPr>
            <w:tcW w:w="6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20"/>
              <w:spacing w:after="0" w:line="130" w:lineRule="exact"/>
              <w:rPr>
                <w:sz w:val="20"/>
                <w:szCs w:val="20"/>
                <w:color w:val="auto"/>
              </w:rPr>
            </w:pPr>
            <w:r>
              <w:rPr>
                <w:rFonts w:ascii="Arial" w:cs="Arial" w:eastAsia="Arial" w:hAnsi="Arial"/>
                <w:sz w:val="12"/>
                <w:szCs w:val="12"/>
                <w:b w:val="1"/>
                <w:bCs w:val="1"/>
                <w:color w:val="auto"/>
                <w:w w:val="89"/>
              </w:rPr>
              <w:t>2009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00"/>
              <w:spacing w:after="0" w:line="130" w:lineRule="exact"/>
              <w:rPr>
                <w:sz w:val="20"/>
                <w:szCs w:val="20"/>
                <w:color w:val="auto"/>
              </w:rPr>
            </w:pPr>
            <w:r>
              <w:rPr>
                <w:rFonts w:ascii="Arial" w:cs="Arial" w:eastAsia="Arial" w:hAnsi="Arial"/>
                <w:sz w:val="12"/>
                <w:szCs w:val="12"/>
                <w:b w:val="1"/>
                <w:bCs w:val="1"/>
                <w:color w:val="auto"/>
                <w:w w:val="89"/>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Professional</w:t>
            </w:r>
          </w:p>
        </w:tc>
        <w:tc>
          <w:tcPr>
            <w:tcW w:w="6660" w:type="dxa"/>
            <w:vAlign w:val="bottom"/>
            <w:gridSpan w:val="2"/>
            <w:shd w:val="clear" w:color="auto" w:fill="CCEEFF"/>
          </w:tcPr>
          <w:p>
            <w:pPr>
              <w:jc w:val="right"/>
              <w:ind w:right="70"/>
              <w:spacing w:after="0" w:line="129"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30,129</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51,516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Residential</w:t>
            </w: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4,840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3,818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6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(24,816)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648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10,153</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0" w:type="dxa"/>
            <w:vAlign w:val="bottom"/>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THE TORO COMPANY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January 30,</w:t>
            </w:r>
          </w:p>
        </w:tc>
        <w:tc>
          <w:tcPr>
            <w:tcW w:w="16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February 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840" w:type="dxa"/>
            <w:vAlign w:val="bottom"/>
            <w:gridSpan w:val="4"/>
          </w:tcPr>
          <w:p>
            <w:pPr>
              <w:spacing w:after="0" w:line="133" w:lineRule="exact"/>
              <w:rPr>
                <w:sz w:val="20"/>
                <w:szCs w:val="20"/>
                <w:color w:val="auto"/>
              </w:rPr>
            </w:pPr>
            <w:r>
              <w:rPr>
                <w:rFonts w:ascii="Arial" w:cs="Arial" w:eastAsia="Arial" w:hAnsi="Arial"/>
                <w:sz w:val="12"/>
                <w:szCs w:val="12"/>
                <w:color w:val="auto"/>
              </w:rPr>
              <w:t>ASSETS</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35,597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29,762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Receivables, net</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297,962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344,682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Inventories, net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238,704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295,923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23,813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14,626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55,311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ind w:left="180"/>
              <w:spacing w:after="0"/>
              <w:rPr>
                <w:sz w:val="20"/>
                <w:szCs w:val="20"/>
                <w:color w:val="auto"/>
              </w:rPr>
            </w:pPr>
            <w:r>
              <w:rPr>
                <w:rFonts w:ascii="Arial" w:cs="Arial" w:eastAsia="Arial" w:hAnsi="Arial"/>
                <w:sz w:val="12"/>
                <w:szCs w:val="12"/>
                <w:color w:val="auto"/>
              </w:rPr>
              <w:t>Total current assets</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651,387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741,863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Property, plant, and equipment, net</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167,727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170,569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Goodwill and other assets, net</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112,619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112,012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938,187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1,031,109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0" w:type="dxa"/>
            <w:vAlign w:val="bottom"/>
            <w:gridSpan w:val="2"/>
          </w:tcPr>
          <w:p>
            <w:pPr>
              <w:spacing w:after="0"/>
              <w:rPr>
                <w:sz w:val="10"/>
                <w:szCs w:val="10"/>
                <w:color w:val="auto"/>
              </w:rPr>
            </w:pPr>
          </w:p>
        </w:tc>
        <w:tc>
          <w:tcPr>
            <w:tcW w:w="204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2"/>
                <w:szCs w:val="12"/>
                <w:color w:val="auto"/>
                <w:w w:val="97"/>
              </w:rPr>
              <w:t>LIABILITIES AND STOCKHOLDERS’ EQUITY</w:t>
            </w:r>
          </w:p>
        </w:tc>
        <w:tc>
          <w:tcPr>
            <w:tcW w:w="6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Current portion of long-term debt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3,377</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2,241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Short-term debt</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Accounts payable</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89,561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101,866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214,403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ind w:left="180"/>
              <w:spacing w:after="0"/>
              <w:rPr>
                <w:sz w:val="20"/>
                <w:szCs w:val="20"/>
                <w:color w:val="auto"/>
              </w:rPr>
            </w:pPr>
            <w:r>
              <w:rPr>
                <w:rFonts w:ascii="Arial" w:cs="Arial" w:eastAsia="Arial" w:hAnsi="Arial"/>
                <w:sz w:val="12"/>
                <w:szCs w:val="12"/>
                <w:color w:val="auto"/>
              </w:rPr>
              <w:t>Total current liabilities</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332,341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431,644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Long-term debt, less current portion</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226,396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228,241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revenue and other long-term liabilities</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15,012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17,086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Stockholders’ equity</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364,438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354,138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 liabilities and stockholders’ equity</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938,187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1,031,109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2"/>
          <w:szCs w:val="12"/>
          <w:b w:val="1"/>
          <w:bCs w:val="1"/>
          <w:color w:val="auto"/>
        </w:rPr>
        <w:t>THE TORO COMPANY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2"/>
                <w:szCs w:val="12"/>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2"/>
                <w:szCs w:val="12"/>
                <w:b w:val="1"/>
                <w:bCs w:val="1"/>
                <w:color w:val="auto"/>
              </w:rPr>
              <w:t>January 30,</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00"/>
              <w:spacing w:after="0" w:line="129" w:lineRule="exact"/>
              <w:rPr>
                <w:sz w:val="20"/>
                <w:szCs w:val="20"/>
                <w:color w:val="auto"/>
              </w:rPr>
            </w:pPr>
            <w:r>
              <w:rPr>
                <w:rFonts w:ascii="Arial" w:cs="Arial" w:eastAsia="Arial" w:hAnsi="Arial"/>
                <w:sz w:val="12"/>
                <w:szCs w:val="12"/>
                <w:b w:val="1"/>
                <w:bCs w:val="1"/>
                <w:color w:val="auto"/>
              </w:rPr>
              <w:t>February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tcPr>
          <w:p>
            <w:pPr>
              <w:ind w:left="180"/>
              <w:spacing w:after="0" w:line="136" w:lineRule="exact"/>
              <w:rPr>
                <w:sz w:val="20"/>
                <w:szCs w:val="20"/>
                <w:color w:val="auto"/>
              </w:rPr>
            </w:pPr>
            <w:r>
              <w:rPr>
                <w:rFonts w:ascii="Arial" w:cs="Arial" w:eastAsia="Arial" w:hAnsi="Arial"/>
                <w:sz w:val="12"/>
                <w:szCs w:val="12"/>
                <w:color w:val="auto"/>
              </w:rPr>
              <w:t>Adjustments to reconcile net earnings to net cash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tcPr>
          <w:p>
            <w:pPr>
              <w:ind w:left="400"/>
              <w:spacing w:after="0"/>
              <w:rPr>
                <w:sz w:val="20"/>
                <w:szCs w:val="20"/>
                <w:color w:val="auto"/>
              </w:rPr>
            </w:pPr>
            <w:r>
              <w:rPr>
                <w:rFonts w:ascii="Arial" w:cs="Arial" w:eastAsia="Arial" w:hAnsi="Arial"/>
                <w:sz w:val="12"/>
                <w:szCs w:val="12"/>
                <w:color w:val="auto"/>
              </w:rPr>
              <w:t>used in operating activities: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losses from investments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Provision for depreciation and amortization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10,389</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10,986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(gain) on disposal of property, plant, and equipment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Gain on sale of a business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Decrease (increase) in deferred income taxes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60"/>
              <w:spacing w:after="0"/>
              <w:rPr>
                <w:sz w:val="20"/>
                <w:szCs w:val="20"/>
                <w:color w:val="auto"/>
              </w:rPr>
            </w:pPr>
            <w:r>
              <w:rPr>
                <w:rFonts w:ascii="Arial" w:cs="Arial" w:eastAsia="Arial" w:hAnsi="Arial"/>
                <w:sz w:val="12"/>
                <w:szCs w:val="12"/>
                <w:color w:val="auto"/>
              </w:rPr>
              <w:t>Receivables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(42,970)</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(62,267)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Inventories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(32,586)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(46,799)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6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(4,947)</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(3,885)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Accounts payable, accrued liabilities, deferred revenue, and other</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long-term liabilities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(10,306)</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ind w:left="620"/>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(72,527)</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(70,030)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property, plant, and equipment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(9,499)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(11,027)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Proceeds from asset disposals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investment in affiliates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(Increase) decrease in other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(567)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 of a business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Acquisition, net of cash acquired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(10,060)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Increase in short-term debt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22,675</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85,428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Repayments of long-term debt, net of costs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Excess tax benefits from stock-based awards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exercise of stock options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80"/>
              <w:spacing w:after="0"/>
              <w:rPr>
                <w:sz w:val="20"/>
                <w:szCs w:val="20"/>
                <w:color w:val="auto"/>
              </w:rPr>
            </w:pPr>
            <w:r>
              <w:rPr>
                <w:rFonts w:ascii="Arial" w:cs="Arial" w:eastAsia="Arial" w:hAnsi="Arial"/>
                <w:sz w:val="12"/>
                <w:szCs w:val="12"/>
                <w:color w:val="auto"/>
              </w:rPr>
              <w:t>Purchases of Toro common 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(1,579)</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(31,835)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Dividends paid on Toro common stock</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(5,456)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ind w:left="620"/>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18,731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48,735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Effect of exchange rates on cash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Net decrease in cash and cash equivalents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(63,762)</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(32,285)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as of the beginning of the fiscal period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99,359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62,047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as of the end of the fiscal period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35,597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2019-12-10T05:47:40Z</dcterms:created>
  <dcterms:modified xsi:type="dcterms:W3CDTF">2019-12-10T05:47:40Z</dcterms:modified>
</cp:coreProperties>
</file>