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7046595" cy="53232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323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O'Rourke James Calvin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0" w:right="640" w:firstLine="10"/>
        <w:spacing w:after="0" w:line="256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#2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#1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81.5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27,051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81.5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11/01/2034</w:t>
            </w:r>
          </w:p>
        </w:tc>
        <w:tc>
          <w:tcPr>
            <w:tcW w:w="60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 w:right="280" w:firstLine="1"/>
        <w:spacing w:after="0" w:line="236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indirectly held the following shares in the respective grantor retained annuity trust (GRAT) for the benefit of the reporting person: (a) 3,515 shares of TTC common stock ("GRAT 2 Shares") in GRAT 2; (b) 7,802 shares of TTC common stock ("GRAT 1 Shares") in GRAT 1; and (c) 12,034 shares of TTC common stock ("GRAT 2B Shares") in GRAT 2B. Upon termination of the respective GRAT, the following shares were distributed to the reporting person: (a) 3,515 of the GRAT 2 Shares from GRAT 2; (b) 7,802 of the GRAT 1 Shares from GRAT 1; and 12,034 of the GRAT 2B Shares from GRAT 2B.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common stock award for service as a non-employee director issued under The Toro Company 2022 Equity and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option grant for service as a non-employee director issued under The Toro Company 2022 Equity and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the first anniversary of the November 1, 2024 grant date.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11/05/2024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92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-20955</wp:posOffset>
            </wp:positionV>
            <wp:extent cx="3003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-86360</wp:posOffset>
            </wp:positionV>
            <wp:extent cx="478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53221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2024-11-05T10:45:46Z</dcterms:created>
  <dcterms:modified xsi:type="dcterms:W3CDTF">2024-11-05T10:45:46Z</dcterms:modified>
</cp:coreProperties>
</file>