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21, 2008</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1540"/>
        <w:spacing w:after="0"/>
        <w:tabs>
          <w:tab w:leader="none" w:pos="5440" w:val="left"/>
          <w:tab w:leader="none" w:pos="90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1-8649</w:t>
      </w:r>
      <w:r>
        <w:rPr>
          <w:sz w:val="20"/>
          <w:szCs w:val="20"/>
          <w:color w:val="auto"/>
        </w:rPr>
        <w:tab/>
      </w:r>
      <w:r>
        <w:rPr>
          <w:rFonts w:ascii="Arial" w:cs="Arial" w:eastAsia="Arial" w:hAnsi="Arial"/>
          <w:sz w:val="16"/>
          <w:szCs w:val="16"/>
          <w:b w:val="1"/>
          <w:bCs w:val="1"/>
          <w:color w:val="auto"/>
        </w:rPr>
        <w:t>41-0580470</w:t>
      </w:r>
    </w:p>
    <w:p>
      <w:pPr>
        <w:spacing w:after="0" w:line="27" w:lineRule="exact"/>
        <w:rPr>
          <w:sz w:val="24"/>
          <w:szCs w:val="24"/>
          <w:color w:val="auto"/>
        </w:rPr>
      </w:pPr>
    </w:p>
    <w:p>
      <w:pPr>
        <w:ind w:left="1060"/>
        <w:spacing w:after="0"/>
        <w:tabs>
          <w:tab w:leader="none" w:pos="4700" w:val="left"/>
          <w:tab w:leader="none" w:pos="802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ectPr>
          <w:pgSz w:w="11900" w:h="16838" w:orient="portrait"/>
          <w:cols w:equalWidth="0" w:num="1">
            <w:col w:w="11400"/>
          </w:cols>
          <w:pgMar w:left="240" w:top="1273" w:right="25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u w:val="single" w:color="auto"/>
          <w:color w:val="auto"/>
        </w:rPr>
        <w:t>(Address of principal executive offices)</w:t>
      </w:r>
    </w:p>
    <w:p>
      <w:pPr>
        <w:spacing w:after="0" w:line="28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6"/>
          <w:szCs w:val="16"/>
          <w:u w:val="single" w:color="auto"/>
          <w:color w:val="auto"/>
        </w:rPr>
        <w:t>(Zip Code)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6980" w:space="80"/>
            <w:col w:w="4340"/>
          </w:cols>
          <w:pgMar w:left="240" w:top="1273"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August 21, 2008, The Toro Company announced its earnings for the three and nine months ended August 1, 2008.</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9480" w:type="dxa"/>
            <w:vAlign w:val="bottom"/>
          </w:tcPr>
          <w:p>
            <w:pPr>
              <w:spacing w:after="0"/>
              <w:rPr>
                <w:sz w:val="20"/>
                <w:szCs w:val="20"/>
                <w:color w:val="auto"/>
              </w:rPr>
            </w:pP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2"/>
                <w:szCs w:val="22"/>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Press release dated August 21, 2008 (furnished herewith).</w:t>
            </w:r>
          </w:p>
        </w:tc>
      </w:tr>
      <w:tr>
        <w:trPr>
          <w:trHeight w:val="902"/>
        </w:trPr>
        <w:tc>
          <w:tcPr>
            <w:tcW w:w="8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520" w:type="dxa"/>
            <w:vAlign w:val="bottom"/>
            <w:gridSpan w:val="2"/>
          </w:tcPr>
          <w:p>
            <w:pPr>
              <w:ind w:left="480"/>
              <w:spacing w:after="0"/>
              <w:rPr>
                <w:sz w:val="20"/>
                <w:szCs w:val="20"/>
                <w:color w:val="auto"/>
              </w:rPr>
            </w:pPr>
            <w:r>
              <w:rPr>
                <w:rFonts w:ascii="Arial" w:cs="Arial" w:eastAsia="Arial" w:hAnsi="Arial"/>
                <w:sz w:val="22"/>
                <w:szCs w:val="22"/>
                <w:color w:val="auto"/>
              </w:rPr>
              <w:t>(Registrant)</w:t>
            </w:r>
          </w:p>
        </w:tc>
      </w:tr>
      <w:tr>
        <w:trPr>
          <w:trHeight w:val="391"/>
        </w:trPr>
        <w:tc>
          <w:tcPr>
            <w:tcW w:w="2160" w:type="dxa"/>
            <w:vAlign w:val="bottom"/>
          </w:tcPr>
          <w:p>
            <w:pPr>
              <w:spacing w:after="0"/>
              <w:rPr>
                <w:sz w:val="20"/>
                <w:szCs w:val="20"/>
                <w:color w:val="auto"/>
              </w:rPr>
            </w:pPr>
            <w:r>
              <w:rPr>
                <w:rFonts w:ascii="Arial" w:cs="Arial" w:eastAsia="Arial" w:hAnsi="Arial"/>
                <w:sz w:val="18"/>
                <w:szCs w:val="18"/>
                <w:color w:val="auto"/>
              </w:rPr>
              <w:t>Date: August 21, 2008</w:t>
            </w:r>
          </w:p>
        </w:tc>
        <w:tc>
          <w:tcPr>
            <w:tcW w:w="9260" w:type="dxa"/>
            <w:vAlign w:val="bottom"/>
            <w:gridSpan w:val="3"/>
          </w:tcPr>
          <w:p>
            <w:pPr>
              <w:ind w:left="480"/>
              <w:spacing w:after="0"/>
              <w:rPr>
                <w:sz w:val="20"/>
                <w:szCs w:val="20"/>
                <w:color w:val="auto"/>
              </w:rPr>
            </w:pPr>
            <w:r>
              <w:rPr>
                <w:rFonts w:ascii="Arial" w:cs="Arial" w:eastAsia="Arial" w:hAnsi="Arial"/>
                <w:sz w:val="18"/>
                <w:szCs w:val="18"/>
                <w:color w:val="auto"/>
              </w:rPr>
              <w:t>By /s/ Stephen P. Wolfe</w:t>
            </w:r>
          </w:p>
        </w:tc>
      </w:tr>
      <w:tr>
        <w:trPr>
          <w:trHeight w:val="20"/>
        </w:trPr>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9260" w:type="dxa"/>
            <w:vAlign w:val="bottom"/>
            <w:gridSpan w:val="3"/>
          </w:tcPr>
          <w:p>
            <w:pPr>
              <w:ind w:left="480"/>
              <w:spacing w:after="0"/>
              <w:rPr>
                <w:sz w:val="20"/>
                <w:szCs w:val="20"/>
                <w:color w:val="auto"/>
              </w:rPr>
            </w:pPr>
            <w:r>
              <w:rPr>
                <w:rFonts w:ascii="Arial" w:cs="Arial" w:eastAsia="Arial" w:hAnsi="Arial"/>
                <w:sz w:val="18"/>
                <w:szCs w:val="18"/>
                <w:color w:val="auto"/>
              </w:rPr>
              <w:t>Stephen P. Wolfe</w:t>
            </w:r>
          </w:p>
        </w:tc>
      </w:tr>
      <w:tr>
        <w:trPr>
          <w:trHeight w:val="216"/>
        </w:trPr>
        <w:tc>
          <w:tcPr>
            <w:tcW w:w="2160" w:type="dxa"/>
            <w:vAlign w:val="bottom"/>
          </w:tcPr>
          <w:p>
            <w:pPr>
              <w:spacing w:after="0"/>
              <w:rPr>
                <w:sz w:val="18"/>
                <w:szCs w:val="18"/>
                <w:color w:val="auto"/>
              </w:rPr>
            </w:pPr>
          </w:p>
        </w:tc>
        <w:tc>
          <w:tcPr>
            <w:tcW w:w="9260" w:type="dxa"/>
            <w:vAlign w:val="bottom"/>
            <w:gridSpan w:val="3"/>
          </w:tcPr>
          <w:p>
            <w:pPr>
              <w:ind w:left="480"/>
              <w:spacing w:after="0"/>
              <w:rPr>
                <w:sz w:val="20"/>
                <w:szCs w:val="20"/>
                <w:color w:val="auto"/>
              </w:rPr>
            </w:pPr>
            <w:r>
              <w:rPr>
                <w:rFonts w:ascii="Arial" w:cs="Arial" w:eastAsia="Arial" w:hAnsi="Arial"/>
                <w:sz w:val="18"/>
                <w:szCs w:val="18"/>
                <w:color w:val="auto"/>
              </w:rPr>
              <w:t>Vice President, Finance</w:t>
            </w:r>
          </w:p>
        </w:tc>
      </w:tr>
      <w:tr>
        <w:trPr>
          <w:trHeight w:val="216"/>
        </w:trPr>
        <w:tc>
          <w:tcPr>
            <w:tcW w:w="2160" w:type="dxa"/>
            <w:vAlign w:val="bottom"/>
          </w:tcPr>
          <w:p>
            <w:pPr>
              <w:spacing w:after="0"/>
              <w:rPr>
                <w:sz w:val="18"/>
                <w:szCs w:val="18"/>
                <w:color w:val="auto"/>
              </w:rPr>
            </w:pPr>
          </w:p>
        </w:tc>
        <w:tc>
          <w:tcPr>
            <w:tcW w:w="9260" w:type="dxa"/>
            <w:vAlign w:val="bottom"/>
            <w:gridSpan w:val="3"/>
          </w:tcPr>
          <w:p>
            <w:pPr>
              <w:ind w:left="48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2160" w:type="dxa"/>
            <w:vAlign w:val="bottom"/>
          </w:tcPr>
          <w:p>
            <w:pPr>
              <w:spacing w:after="0"/>
              <w:rPr>
                <w:sz w:val="20"/>
                <w:szCs w:val="20"/>
                <w:color w:val="auto"/>
              </w:rPr>
            </w:pPr>
          </w:p>
        </w:tc>
        <w:tc>
          <w:tcPr>
            <w:tcW w:w="9260" w:type="dxa"/>
            <w:vAlign w:val="bottom"/>
            <w:gridSpan w:val="3"/>
          </w:tcPr>
          <w:p>
            <w:pPr>
              <w:ind w:left="480"/>
              <w:spacing w:after="0"/>
              <w:rPr>
                <w:sz w:val="20"/>
                <w:szCs w:val="20"/>
                <w:color w:val="auto"/>
              </w:rPr>
            </w:pPr>
            <w:r>
              <w:rPr>
                <w:rFonts w:ascii="Arial" w:cs="Arial" w:eastAsia="Arial" w:hAnsi="Arial"/>
                <w:sz w:val="18"/>
                <w:szCs w:val="18"/>
                <w:color w:val="auto"/>
              </w:rPr>
              <w:t>(duly authorized officer and principal financial officer)</w:t>
            </w:r>
          </w:p>
        </w:tc>
      </w:tr>
      <w:tr>
        <w:trPr>
          <w:trHeight w:val="902"/>
        </w:trPr>
        <w:tc>
          <w:tcPr>
            <w:tcW w:w="2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7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78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8780" w:type="dxa"/>
            <w:vAlign w:val="bottom"/>
          </w:tcPr>
          <w:p>
            <w:pPr>
              <w:spacing w:after="0"/>
              <w:rPr>
                <w:sz w:val="24"/>
                <w:szCs w:val="24"/>
                <w:color w:val="auto"/>
              </w:rPr>
            </w:pPr>
          </w:p>
        </w:tc>
      </w:tr>
      <w:tr>
        <w:trPr>
          <w:trHeight w:val="196"/>
        </w:trPr>
        <w:tc>
          <w:tcPr>
            <w:tcW w:w="8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8"/>
              </w:rPr>
              <w:t>NUMBER</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780" w:type="dxa"/>
            <w:vAlign w:val="bottom"/>
          </w:tcPr>
          <w:p>
            <w:pPr>
              <w:spacing w:after="0"/>
              <w:rPr>
                <w:sz w:val="17"/>
                <w:szCs w:val="17"/>
                <w:color w:val="auto"/>
              </w:rPr>
            </w:pPr>
          </w:p>
        </w:tc>
      </w:tr>
      <w:tr>
        <w:trPr>
          <w:trHeight w:val="264"/>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Press release dated August 21, 2008 (furnished herewith).</w:t>
            </w:r>
          </w:p>
        </w:tc>
      </w:tr>
      <w:tr>
        <w:trPr>
          <w:trHeight w:val="902"/>
        </w:trPr>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929765" cy="1269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right="92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887-8930,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TORO REPORTS THIRD QUARTER 2008 RESULTS</w:t>
      </w:r>
    </w:p>
    <w:p>
      <w:pPr>
        <w:spacing w:after="0" w:line="256"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delivers net earnings per share of $0.99</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up 3 percent driven by strength of international business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cash flow improves by $42 million driven by lower inventories</w:t>
      </w:r>
    </w:p>
    <w:p>
      <w:pPr>
        <w:spacing w:after="0" w:line="23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BLOOMINGTON, Minn. (August 21, 2008) – The Toro Company (NYSE: TTC) today reported net earnings of $38.2 million, or $0.99 per share, on net sales of $492.6 million for its fiscal third quarter ended August 1, 2008. In the comparable fiscal 2007 period, the company reported net earnings of $42.5 million, or $1.02 per share, on net sales of $478.7 million.</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year to date, Toro reported net earnings of $119.6 million, or $3.06 per share, on net sales of $1,536.9 million. In the comparable fiscal 2007 period, Toro reported net earnings of $135.9 million, or $3.23 per share, on net sales of $1,544.4 million.</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expected, weakness in the domestic economy dampened demand through our fiscal third quarter, however, our strong international business enabled us to deliver modest sales growth,” said Michael J. Hoffman, Toro’s chairman and chief executive officer. “Additionally, our actions to manage production, reduce inventories and control expenses improved our working capital position and increased our operating cash flow significantly.”</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repurchased 1.4 million common shares during the third quarter for a total of $49.8 million, and currently has authorization to repurchase up to 3.0 million additional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jc w:val="both"/>
        <w:ind w:left="660" w:hanging="139"/>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net sales for the fiscal 2008 third quarter increased 5.9 percent to $351.6 million. Strong worldwide sales of golf maintenance equipment and golf irrigation systems, along with an increase in domestic shipments for landscape contractor products, more than offset a decline in professionally-installed residential and commercial irrigation products. For the year to date, professional segment net sales grew 2.2 percent to $1,074.7 million.</w:t>
      </w:r>
    </w:p>
    <w:p>
      <w:pPr>
        <w:spacing w:after="0" w:line="213"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earnings for the fiscal 2008 third quarter were $71.1 million, up 0.3 percent compared with the fiscal 2007 third quarter. For the year to date, professional segment earnings totaled $220.2 million, down 3.3 percent.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jc w:val="both"/>
        <w:ind w:left="660" w:hanging="13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net sales for the fiscal 2008 third quarter declined 0.6 percent to $132.1 million. Increased shipments of snowthrower products in North America and strong international sales were offset by lower shipments of domestic walk power mowers. For the year to date, residential segment net sales declined 4.6 percent to $441.6 million.</w:t>
      </w:r>
    </w:p>
    <w:p>
      <w:pPr>
        <w:spacing w:after="0" w:line="208"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the fiscal 2008 third quarter were $3.4 million, down 58.3 percent compared with the fiscal 2007 third quarter. For the year to date, residential segment earnings totaled $27.3 million, down 31.8 percent.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Gross margin for the fiscal 2008 third quarter was 35.3 percent compared with 37.1 percent in the comparable fiscal 2007 period. For the year to date, gross margin was 35.8 percent compared with 36.4 percent in the first nine months of fiscal 2007. The margin decline in both the fiscal 2008 third quarter and year to date was primarily the result of higher commodity and freight costs, and lower production volumes.</w:t>
      </w:r>
    </w:p>
    <w:p>
      <w:pPr>
        <w:spacing w:after="0" w:line="20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Selling, general and administrative (SG&amp;A) expenses for the fiscal 2008 third quarter improved as a percent of sales to 22.5 percent from 23.1 percent in the same period last year due to lower incentive expenses somewhat offset by increased spending for marketing and engineering investments. For the year to</w:t>
      </w:r>
    </w:p>
    <w:p>
      <w:pPr>
        <w:sectPr>
          <w:pgSz w:w="11900" w:h="16838" w:orient="portrait"/>
          <w:cols w:equalWidth="0" w:num="1">
            <w:col w:w="11420"/>
          </w:cols>
          <w:pgMar w:left="240" w:top="1440" w:right="239" w:bottom="0" w:gutter="0" w:footer="0" w:header="0"/>
        </w:sectPr>
      </w:pPr>
    </w:p>
    <w:bookmarkStart w:id="8" w:name="page9"/>
    <w:bookmarkEnd w:id="8"/>
    <w:p>
      <w:pPr>
        <w:ind w:right="240"/>
        <w:spacing w:after="0" w:line="342" w:lineRule="auto"/>
        <w:rPr>
          <w:sz w:val="20"/>
          <w:szCs w:val="20"/>
          <w:color w:val="auto"/>
        </w:rPr>
      </w:pPr>
      <w:r>
        <w:rPr>
          <w:rFonts w:ascii="Arial" w:cs="Arial" w:eastAsia="Arial" w:hAnsi="Arial"/>
          <w:sz w:val="16"/>
          <w:szCs w:val="16"/>
          <w:color w:val="auto"/>
        </w:rPr>
        <w:t>date, SG&amp;A expenses were 23.0 percent of net sales compared with 22.6 percent in the prior year’s first nine months. SG&amp;A expenses for the year to date were higher mainly due to increased marketing expenses and investments in engineering, which were somewhat offset by lower incentive expenses.</w:t>
      </w:r>
    </w:p>
    <w:p>
      <w:pPr>
        <w:spacing w:after="0" w:line="15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expense for the third quarter was down $0.3 million compared to the prior year’s third quarter. For the year to date, interest expense totaled $14.9 million, down $0.3 million compared to the first nine months of fiscal 2007.</w:t>
      </w:r>
    </w:p>
    <w:p>
      <w:pPr>
        <w:spacing w:after="0" w:line="19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effective tax rate for the third quarter of fiscal 2008 was 34.2 percent compared with 33.4 percent in the fiscal 2007 third quarter. This year’s third quarter tax rate was mainly higher due to the December 31, 2007 expiration of the federal Research and Engineering Tax Credit.</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Accounts receivable as of the end of the fiscal 2008 third quarter totaled $365 million, down $14.8 million or 3.9 percent on a sales increase of 2.9 percent for the quarter. Net inventories decreased by $31.7 million, or 13 percent, compared with last year’s third quarter. Cash generated by operating activities through the first nine months increased by $42 million compared with the same period in fiscal 2007, a reflection of the company’s commitment to improve asset management.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expects overall economic conditions to remain difficult for the remainder of fiscal 2008. “In the current environment, we’ll maintain our focus on driving retail demand, managing inventory levels and addressing rising commodity costs,” said Hoffman. “Long-term, we win in the marketplace by delivering innovative, high-quality products that solve customers’ problems. To that end, we’re looking forward to upcoming industry events this fall where we expect to introduce a number of exciting products for the new fiscal year.”</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reaffirmed that it expects fiscal 2008 net sales to be roughly equal to fiscal 2007 net sales of $1,876.9 million and now expects net earnings per share to be down 6 to 9 percent from the $3.40 per share reported for fiscal 2007.</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21,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The Toro Company will conduct a conference call and webcast for investors beginning at 10:00 a.m. Central Time (CST) on August 21, 2008.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i w:val="1"/>
          <w:iCs w:val="1"/>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i w:val="1"/>
          <w:iCs w:val="1"/>
          <w:color w:val="auto"/>
        </w:rPr>
        <w:t>. Webcast participants will need to complete a brief registration form and should allocate extra time before the webcast begins to register and, if necessary, download and install audio software.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resins and other commodities; rising fuel and other costs of transportation; the impact of abnormal weather patterns and natural disasters; the level of growth in our markets, including the golf market; reduced government spending for grounds maintenance equipment due to reduced tax revenue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855980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9"/>
          </w:tcPr>
          <w:p>
            <w:pPr>
              <w:jc w:val="right"/>
              <w:ind w:right="78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4"/>
          </w:tcPr>
          <w:p>
            <w:pPr>
              <w:ind w:left="40"/>
              <w:spacing w:after="0" w:line="198" w:lineRule="exact"/>
              <w:rPr>
                <w:sz w:val="20"/>
                <w:szCs w:val="20"/>
                <w:color w:val="auto"/>
              </w:rPr>
            </w:pPr>
            <w:r>
              <w:rPr>
                <w:rFonts w:ascii="Arial" w:cs="Arial" w:eastAsia="Arial" w:hAnsi="Arial"/>
                <w:sz w:val="18"/>
                <w:szCs w:val="18"/>
                <w:b w:val="1"/>
                <w:bCs w:val="1"/>
                <w:color w:val="auto"/>
              </w:rPr>
              <w:t>August 1,</w:t>
            </w: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August 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4"/>
          </w:tcPr>
          <w:p>
            <w:pPr>
              <w:jc w:val="right"/>
              <w:ind w:right="460"/>
              <w:spacing w:after="0" w:line="198" w:lineRule="exact"/>
              <w:rPr>
                <w:sz w:val="20"/>
                <w:szCs w:val="20"/>
                <w:color w:val="auto"/>
              </w:rPr>
            </w:pPr>
            <w:r>
              <w:rPr>
                <w:rFonts w:ascii="Arial" w:cs="Arial" w:eastAsia="Arial" w:hAnsi="Arial"/>
                <w:sz w:val="18"/>
                <w:szCs w:val="18"/>
                <w:b w:val="1"/>
                <w:bCs w:val="1"/>
                <w:color w:val="auto"/>
                <w:w w:val="87"/>
              </w:rPr>
              <w:t>August 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492,635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1,536,944</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1,544,448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173,940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177,443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550,843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562,224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Gross profit percent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110,874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110,598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352,934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348,722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Earnings from operations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197,909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213,502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(14,947)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480"/>
              <w:spacing w:after="0"/>
              <w:rPr>
                <w:sz w:val="20"/>
                <w:szCs w:val="20"/>
                <w:color w:val="auto"/>
              </w:rPr>
            </w:pPr>
            <w:r>
              <w:rPr>
                <w:rFonts w:ascii="Arial" w:cs="Arial" w:eastAsia="Arial" w:hAnsi="Arial"/>
                <w:sz w:val="18"/>
                <w:szCs w:val="18"/>
                <w:color w:val="auto"/>
              </w:rPr>
              <w:t>Earnings before income taxes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58,053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63,840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183,494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204,088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63,856</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480"/>
              <w:spacing w:after="0"/>
              <w:rPr>
                <w:sz w:val="20"/>
                <w:szCs w:val="20"/>
                <w:color w:val="auto"/>
              </w:rPr>
            </w:pPr>
            <w:r>
              <w:rPr>
                <w:rFonts w:ascii="Arial" w:cs="Arial" w:eastAsia="Arial" w:hAnsi="Arial"/>
                <w:sz w:val="18"/>
                <w:szCs w:val="18"/>
                <w:color w:val="auto"/>
              </w:rPr>
              <w:t>Net earnings</w:t>
            </w:r>
          </w:p>
        </w:tc>
        <w:tc>
          <w:tcPr>
            <w:tcW w:w="1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38,227</w:t>
            </w: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42,486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119,638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135,902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Basic net earnings per share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Diluted net earnings per share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0.99</w:t>
            </w: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3"/>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stock outstanding – Basic</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37,901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38,177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40,938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3"/>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stock outstanding – Diluted</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38,708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41,803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39,039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Segment Data (Unaudited)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Nine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August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August 1,</w:t>
            </w:r>
          </w:p>
        </w:tc>
        <w:tc>
          <w:tcPr>
            <w:tcW w:w="16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August 3,</w:t>
            </w:r>
          </w:p>
        </w:tc>
        <w:tc>
          <w:tcPr>
            <w:tcW w:w="0" w:type="dxa"/>
            <w:vAlign w:val="bottom"/>
          </w:tcPr>
          <w:p>
            <w:pPr>
              <w:spacing w:after="0"/>
              <w:rPr>
                <w:sz w:val="1"/>
                <w:szCs w:val="1"/>
                <w:color w:val="auto"/>
              </w:rPr>
            </w:pPr>
          </w:p>
        </w:tc>
      </w:tr>
      <w:tr>
        <w:trPr>
          <w:trHeight w:val="194"/>
        </w:trPr>
        <w:tc>
          <w:tcPr>
            <w:tcW w:w="4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Segment Net Sales</w:t>
            </w: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5"/>
              </w:rPr>
              <w:t>August 1, 2008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20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332,014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1,074,678</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132,143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132,981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441,634</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463,043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20,632</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tcBorders>
              <w:left w:val="single" w:sz="8" w:color="CCEEFF"/>
            </w:tcBorders>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Total *</w:t>
            </w:r>
          </w:p>
        </w:tc>
        <w:tc>
          <w:tcPr>
            <w:tcW w:w="2060" w:type="dxa"/>
            <w:vAlign w:val="bottom"/>
            <w:gridSpan w:val="3"/>
          </w:tcPr>
          <w:p>
            <w:pPr>
              <w:ind w:left="19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492,635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478,707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1,536,944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1,544,448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 Includes international sales of</w:t>
            </w:r>
          </w:p>
        </w:tc>
        <w:tc>
          <w:tcPr>
            <w:tcW w:w="2060" w:type="dxa"/>
            <w:vAlign w:val="bottom"/>
            <w:gridSpan w:val="3"/>
          </w:tcPr>
          <w:p>
            <w:pPr>
              <w:ind w:left="19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138,682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120,319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494,909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441,793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Nine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August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August 1,</w:t>
            </w:r>
          </w:p>
        </w:tc>
        <w:tc>
          <w:tcPr>
            <w:tcW w:w="16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August 3,</w:t>
            </w:r>
          </w:p>
        </w:tc>
        <w:tc>
          <w:tcPr>
            <w:tcW w:w="0" w:type="dxa"/>
            <w:vAlign w:val="bottom"/>
          </w:tcPr>
          <w:p>
            <w:pPr>
              <w:spacing w:after="0"/>
              <w:rPr>
                <w:sz w:val="1"/>
                <w:szCs w:val="1"/>
                <w:color w:val="auto"/>
              </w:rPr>
            </w:pPr>
          </w:p>
        </w:tc>
      </w:tr>
      <w:tr>
        <w:trPr>
          <w:trHeight w:val="194"/>
        </w:trPr>
        <w:tc>
          <w:tcPr>
            <w:tcW w:w="4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Segment Earnings (Loss) Before Income Taxes</w:t>
            </w: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5"/>
              </w:rPr>
              <w:t>August 1, 2008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20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70,887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220,239</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27,333</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(16,496)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(64,078)</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tcBorders>
              <w:left w:val="single" w:sz="8" w:color="CCEEFF"/>
            </w:tcBorders>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060" w:type="dxa"/>
            <w:vAlign w:val="bottom"/>
            <w:gridSpan w:val="3"/>
          </w:tcPr>
          <w:p>
            <w:pPr>
              <w:ind w:left="19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58,053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183,494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204,088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4"/>
        </w:trPr>
        <w:tc>
          <w:tcPr>
            <w:tcW w:w="20" w:type="dxa"/>
            <w:vAlign w:val="bottom"/>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5"/>
              </w:rPr>
              <w:t>August 1, 2008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60" w:type="dxa"/>
            <w:vAlign w:val="bottom"/>
            <w:gridSpan w:val="4"/>
          </w:tcPr>
          <w:p>
            <w:pPr>
              <w:spacing w:after="0" w:line="202" w:lineRule="exact"/>
              <w:rPr>
                <w:sz w:val="20"/>
                <w:szCs w:val="20"/>
                <w:color w:val="auto"/>
              </w:rPr>
            </w:pPr>
            <w:r>
              <w:rPr>
                <w:rFonts w:ascii="Arial" w:cs="Arial" w:eastAsia="Arial" w:hAnsi="Arial"/>
                <w:sz w:val="18"/>
                <w:szCs w:val="18"/>
                <w:color w:val="auto"/>
              </w:rPr>
              <w:t>ASSETS</w:t>
            </w:r>
          </w:p>
        </w:tc>
        <w:tc>
          <w:tcPr>
            <w:tcW w:w="2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364,988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3"/>
          </w:tcPr>
          <w:p>
            <w:pPr>
              <w:ind w:left="320"/>
              <w:spacing w:after="0"/>
              <w:rPr>
                <w:sz w:val="20"/>
                <w:szCs w:val="20"/>
                <w:color w:val="auto"/>
              </w:rPr>
            </w:pPr>
            <w:r>
              <w:rPr>
                <w:rFonts w:ascii="Arial" w:cs="Arial" w:eastAsia="Arial" w:hAnsi="Arial"/>
                <w:sz w:val="18"/>
                <w:szCs w:val="18"/>
                <w:color w:val="auto"/>
              </w:rPr>
              <w:t>Total current assets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702,719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788,934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173,812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Goodwill and other assets, net</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68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992,335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2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gridSpan w:val="2"/>
          </w:tcPr>
          <w:p>
            <w:pPr>
              <w:ind w:left="256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2,441</w:t>
            </w:r>
          </w:p>
        </w:tc>
        <w:tc>
          <w:tcPr>
            <w:tcW w:w="2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86,824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347,511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227,266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 and other long-term liabilities</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401,722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475,397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68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992,335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1,060,106</w:t>
            </w:r>
          </w:p>
        </w:tc>
        <w:tc>
          <w:tcPr>
            <w:tcW w:w="0" w:type="dxa"/>
            <w:vAlign w:val="bottom"/>
          </w:tcPr>
          <w:p>
            <w:pPr>
              <w:spacing w:after="0"/>
              <w:rPr>
                <w:sz w:val="1"/>
                <w:szCs w:val="1"/>
                <w:color w:val="auto"/>
              </w:rPr>
            </w:pPr>
          </w:p>
        </w:tc>
      </w:tr>
      <w:tr>
        <w:trPr>
          <w:trHeight w:val="1327"/>
        </w:trPr>
        <w:tc>
          <w:tcPr>
            <w:tcW w:w="20" w:type="dxa"/>
            <w:vAlign w:val="bottom"/>
          </w:tcPr>
          <w:p>
            <w:pPr>
              <w:spacing w:after="0"/>
              <w:rPr>
                <w:sz w:val="24"/>
                <w:szCs w:val="24"/>
                <w:color w:val="auto"/>
              </w:rPr>
            </w:pPr>
          </w:p>
        </w:tc>
        <w:tc>
          <w:tcPr>
            <w:tcW w:w="640" w:type="dxa"/>
            <w:vAlign w:val="bottom"/>
            <w:tcBorders>
              <w:top w:val="single" w:sz="8" w:color="CCEEFF"/>
              <w:bottom w:val="single" w:sz="8" w:color="808080"/>
            </w:tcBorders>
          </w:tcPr>
          <w:p>
            <w:pPr>
              <w:spacing w:after="0"/>
              <w:rPr>
                <w:sz w:val="24"/>
                <w:szCs w:val="24"/>
                <w:color w:val="auto"/>
              </w:rPr>
            </w:pPr>
          </w:p>
        </w:tc>
        <w:tc>
          <w:tcPr>
            <w:tcW w:w="3040" w:type="dxa"/>
            <w:vAlign w:val="bottom"/>
            <w:tcBorders>
              <w:top w:val="single" w:sz="8" w:color="CCEEFF"/>
              <w:bottom w:val="single" w:sz="8" w:color="808080"/>
            </w:tcBorders>
          </w:tcPr>
          <w:p>
            <w:pPr>
              <w:spacing w:after="0"/>
              <w:rPr>
                <w:sz w:val="24"/>
                <w:szCs w:val="24"/>
                <w:color w:val="auto"/>
              </w:rPr>
            </w:pPr>
          </w:p>
        </w:tc>
        <w:tc>
          <w:tcPr>
            <w:tcW w:w="2560" w:type="dxa"/>
            <w:vAlign w:val="bottom"/>
            <w:tcBorders>
              <w:top w:val="single" w:sz="8" w:color="CCEEFF"/>
              <w:bottom w:val="single" w:sz="8" w:color="808080"/>
            </w:tcBorders>
          </w:tcPr>
          <w:p>
            <w:pPr>
              <w:spacing w:after="0"/>
              <w:rPr>
                <w:sz w:val="24"/>
                <w:szCs w:val="24"/>
                <w:color w:val="auto"/>
              </w:rPr>
            </w:pPr>
          </w:p>
        </w:tc>
        <w:tc>
          <w:tcPr>
            <w:tcW w:w="256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9"/>
              </w:rPr>
              <w:t>August 1, 2008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119,638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provided by operating activities: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losses from investments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Provision for depreciation and amortization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property, plant, and equipment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Gain on sale of business</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Increase in deferred income taxes</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(79,252)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accrued expenses, and deferred revenue and  other long-term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Proceeds from asset disposals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investment in affiliates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(Increase) decrease in other assets</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a business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Acquisition, net of cash acquired</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(Decrease) increase in short-term debt</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long-term debt, net of costs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Repayments of long-term debt</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Toro common stock</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Dividends paid on Toro common stock</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(17,170)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55,013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94,192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4"/>
        </w:trPr>
        <w:tc>
          <w:tcPr>
            <w:tcW w:w="20" w:type="dxa"/>
            <w:vAlign w:val="bottom"/>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52"/>
    </w:lvl>
  </w:abstractNum>
  <w:abstractNum w:abstractNumId="2">
    <w:nsid w:val="238E1F29"/>
    <w:multiLevelType w:val="hybridMultilevel"/>
    <w:lvl w:ilvl="0">
      <w:lvlJc w:val="left"/>
      <w:lvlText w:val="(%1)"/>
      <w:numFmt w:val="decimal"/>
      <w:start w:val="95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2019-12-11T14:28:38Z</dcterms:created>
  <dcterms:modified xsi:type="dcterms:W3CDTF">2019-12-11T14:28:38Z</dcterms:modified>
</cp:coreProperties>
</file>