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hanging="195"/>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96" w:lineRule="exact"/>
        <w:rPr>
          <w:sz w:val="24"/>
          <w:szCs w:val="24"/>
          <w:color w:val="auto"/>
        </w:rPr>
      </w:pPr>
    </w:p>
    <w:p>
      <w:pPr>
        <w:ind w:left="236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00" w:lineRule="exact"/>
        <w:rPr>
          <w:sz w:val="24"/>
          <w:szCs w:val="24"/>
          <w:color w:val="auto"/>
        </w:rPr>
      </w:pPr>
    </w:p>
    <w:p>
      <w:pPr>
        <w:jc w:val="center"/>
        <w:ind w:right="1959"/>
        <w:spacing w:after="0"/>
        <w:tabs>
          <w:tab w:leader="none" w:pos="18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27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FORM 10-Q</w:t>
      </w:r>
    </w:p>
    <w:p>
      <w:pPr>
        <w:spacing w:after="0" w:line="200" w:lineRule="exact"/>
        <w:rPr>
          <w:sz w:val="24"/>
          <w:szCs w:val="24"/>
          <w:color w:val="auto"/>
        </w:rPr>
      </w:pPr>
    </w:p>
    <w:p>
      <w:pPr>
        <w:ind w:left="276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Quarterly Report Under Section 13 or 15(d)</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200"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For the Quarter Ended January 28, 1994 Commission File Number 1-8649</w:t>
      </w:r>
    </w:p>
    <w:p>
      <w:pPr>
        <w:spacing w:after="0" w:line="396"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THE TORO COMPANY</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834" w:right="1440" w:bottom="1440" w:gutter="0" w:footer="0" w:header="0"/>
        </w:sectPr>
      </w:pPr>
    </w:p>
    <w:p>
      <w:pPr>
        <w:spacing w:after="0" w:line="396" w:lineRule="exact"/>
        <w:rPr>
          <w:sz w:val="24"/>
          <w:szCs w:val="24"/>
          <w:color w:val="auto"/>
        </w:rPr>
      </w:pPr>
    </w:p>
    <w:p>
      <w:pPr>
        <w:jc w:val="center"/>
        <w:ind w:right="800"/>
        <w:spacing w:after="0"/>
        <w:rPr>
          <w:sz w:val="20"/>
          <w:szCs w:val="20"/>
          <w:color w:val="auto"/>
        </w:rPr>
      </w:pPr>
      <w:r>
        <w:rPr>
          <w:rFonts w:ascii="Courier New" w:cs="Courier New" w:eastAsia="Courier New" w:hAnsi="Courier New"/>
          <w:sz w:val="17"/>
          <w:szCs w:val="17"/>
          <w:color w:val="auto"/>
        </w:rPr>
        <w:t>DELAWARE</w:t>
      </w:r>
    </w:p>
    <w:p>
      <w:pPr>
        <w:spacing w:after="0" w:line="4" w:lineRule="exact"/>
        <w:rPr>
          <w:sz w:val="24"/>
          <w:szCs w:val="24"/>
          <w:color w:val="auto"/>
        </w:rPr>
      </w:pPr>
    </w:p>
    <w:p>
      <w:pPr>
        <w:jc w:val="center"/>
        <w:ind w:right="800"/>
        <w:spacing w:after="0"/>
        <w:rPr>
          <w:sz w:val="20"/>
          <w:szCs w:val="20"/>
          <w:color w:val="auto"/>
        </w:rPr>
      </w:pPr>
      <w:r>
        <w:rPr>
          <w:rFonts w:ascii="Courier New" w:cs="Courier New" w:eastAsia="Courier New" w:hAnsi="Courier New"/>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41-0580470</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(I.R.S. Employer Identification Number)</w:t>
      </w:r>
    </w:p>
    <w:p>
      <w:pPr>
        <w:spacing w:after="0" w:line="200" w:lineRule="exact"/>
        <w:rPr>
          <w:sz w:val="24"/>
          <w:szCs w:val="24"/>
          <w:color w:val="auto"/>
        </w:rPr>
      </w:pPr>
    </w:p>
    <w:p>
      <w:pPr>
        <w:sectPr>
          <w:pgSz w:w="11900" w:h="16838" w:orient="portrait"/>
          <w:cols w:equalWidth="0" w:num="2">
            <w:col w:w="3460" w:space="720"/>
            <w:col w:w="6039"/>
          </w:cols>
          <w:pgMar w:left="240" w:top="834" w:right="1440" w:bottom="1440" w:gutter="0" w:footer="0" w:header="0"/>
          <w:type w:val="continuous"/>
        </w:sectPr>
      </w:pPr>
    </w:p>
    <w:p>
      <w:pPr>
        <w:spacing w:after="0" w:line="196"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8111 LYNDALE AVENUE SOUTH</w:t>
      </w:r>
    </w:p>
    <w:p>
      <w:pPr>
        <w:spacing w:after="0" w:line="4" w:lineRule="exact"/>
        <w:rPr>
          <w:sz w:val="24"/>
          <w:szCs w:val="24"/>
          <w:color w:val="auto"/>
        </w:rPr>
      </w:pPr>
    </w:p>
    <w:p>
      <w:pPr>
        <w:ind w:left="2660"/>
        <w:spacing w:after="0"/>
        <w:tabs>
          <w:tab w:leader="none" w:pos="5080" w:val="left"/>
        </w:tabs>
        <w:rPr>
          <w:sz w:val="20"/>
          <w:szCs w:val="20"/>
          <w:color w:val="auto"/>
        </w:rPr>
      </w:pPr>
      <w:r>
        <w:rPr>
          <w:rFonts w:ascii="Courier New" w:cs="Courier New" w:eastAsia="Courier New" w:hAnsi="Courier New"/>
          <w:sz w:val="17"/>
          <w:szCs w:val="17"/>
          <w:color w:val="auto"/>
        </w:rPr>
        <w:t>BLOOMINGTON, MINNESOTA</w:t>
        <w:tab/>
        <w:t>55420</w:t>
      </w:r>
    </w:p>
    <w:p>
      <w:pPr>
        <w:spacing w:after="0" w:line="4" w:lineRule="exact"/>
        <w:rPr>
          <w:sz w:val="24"/>
          <w:szCs w:val="24"/>
          <w:color w:val="auto"/>
        </w:rPr>
      </w:pPr>
    </w:p>
    <w:p>
      <w:pPr>
        <w:ind w:left="2460"/>
        <w:spacing w:after="0"/>
        <w:rPr>
          <w:sz w:val="20"/>
          <w:szCs w:val="20"/>
          <w:color w:val="auto"/>
        </w:rPr>
      </w:pPr>
      <w:r>
        <w:rPr>
          <w:rFonts w:ascii="Courier New" w:cs="Courier New" w:eastAsia="Courier New" w:hAnsi="Courier New"/>
          <w:sz w:val="17"/>
          <w:szCs w:val="17"/>
          <w:color w:val="auto"/>
        </w:rPr>
        <w:t>TELEPHONE NUMBER: (612) 888-8801</w:t>
      </w:r>
    </w:p>
    <w:p>
      <w:pPr>
        <w:spacing w:after="0" w:line="200" w:lineRule="exact"/>
        <w:rPr>
          <w:sz w:val="24"/>
          <w:szCs w:val="24"/>
          <w:color w:val="auto"/>
        </w:rPr>
      </w:pPr>
    </w:p>
    <w:p>
      <w:pPr>
        <w:spacing w:after="0" w:line="392"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(Address, including zip code, and telephone number, including area code,</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of registrant's principal executive offices)</w:t>
      </w:r>
    </w:p>
    <w:p>
      <w:pPr>
        <w:spacing w:after="0" w:line="200" w:lineRule="exact"/>
        <w:rPr>
          <w:sz w:val="24"/>
          <w:szCs w:val="24"/>
          <w:color w:val="auto"/>
        </w:rPr>
      </w:pPr>
    </w:p>
    <w:p>
      <w:pPr>
        <w:ind w:left="276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4"/>
          <w:szCs w:val="24"/>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834" w:right="1440" w:bottom="1440" w:gutter="0" w:footer="0" w:header="0"/>
          <w:type w:val="continuous"/>
        </w:sectPr>
      </w:pPr>
    </w:p>
    <w:p>
      <w:pPr>
        <w:spacing w:after="0" w:line="394" w:lineRule="exact"/>
        <w:rPr>
          <w:sz w:val="24"/>
          <w:szCs w:val="24"/>
          <w:color w:val="auto"/>
        </w:rPr>
      </w:pPr>
    </w:p>
    <w:p>
      <w:pPr>
        <w:ind w:left="256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400"/>
        <w:spacing w:after="0"/>
        <w:rPr>
          <w:sz w:val="20"/>
          <w:szCs w:val="20"/>
          <w:color w:val="auto"/>
        </w:rPr>
      </w:pPr>
      <w:r>
        <w:rPr>
          <w:rFonts w:ascii="Courier New" w:cs="Courier New" w:eastAsia="Courier New" w:hAnsi="Courier New"/>
          <w:sz w:val="17"/>
          <w:szCs w:val="17"/>
          <w:color w:val="auto"/>
        </w:rPr>
        <w:t>X</w:t>
      </w:r>
    </w:p>
    <w:p>
      <w:pPr>
        <w:spacing w:after="0" w:line="4" w:lineRule="exact"/>
        <w:rPr>
          <w:sz w:val="24"/>
          <w:szCs w:val="24"/>
          <w:color w:val="auto"/>
        </w:rPr>
      </w:pPr>
    </w:p>
    <w:p>
      <w:pPr>
        <w:jc w:val="center"/>
        <w:ind w:right="4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ectPr>
          <w:pgSz w:w="11900" w:h="16838" w:orient="portrait"/>
          <w:cols w:equalWidth="0" w:num="4">
            <w:col w:w="2860" w:space="0"/>
            <w:col w:w="1120" w:space="720"/>
            <w:col w:w="200" w:space="0"/>
            <w:col w:w="5319"/>
          </w:cols>
          <w:pgMar w:left="240" w:top="834" w:right="1440" w:bottom="1440" w:gutter="0" w:footer="0" w:header="0"/>
          <w:type w:val="continuous"/>
        </w:sectPr>
      </w:pPr>
    </w:p>
    <w:p>
      <w:pPr>
        <w:spacing w:after="0" w:line="1" w:lineRule="exact"/>
        <w:rPr>
          <w:sz w:val="24"/>
          <w:szCs w:val="24"/>
          <w:color w:val="auto"/>
        </w:rPr>
      </w:pPr>
    </w:p>
    <w:p>
      <w:pPr>
        <w:ind w:right="2559"/>
        <w:spacing w:after="0" w:line="243" w:lineRule="auto"/>
        <w:rPr>
          <w:sz w:val="20"/>
          <w:szCs w:val="20"/>
          <w:color w:val="auto"/>
        </w:rPr>
      </w:pPr>
      <w:r>
        <w:rPr>
          <w:rFonts w:ascii="Courier New" w:cs="Courier New" w:eastAsia="Courier New" w:hAnsi="Courier New"/>
          <w:sz w:val="17"/>
          <w:szCs w:val="17"/>
          <w:color w:val="auto"/>
        </w:rPr>
        <w:t>The number of shares of Common Stock outstanding as of January 28, 1994 was 12,466,881.</w:t>
      </w:r>
    </w:p>
    <w:p>
      <w:pPr>
        <w:spacing w:after="0" w:line="198" w:lineRule="exact"/>
        <w:rPr>
          <w:sz w:val="24"/>
          <w:szCs w:val="24"/>
          <w:color w:val="auto"/>
        </w:rPr>
      </w:pPr>
    </w:p>
    <w:p>
      <w:pPr>
        <w:ind w:left="200" w:hanging="195"/>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834" w:right="1440" w:bottom="1440" w:gutter="0" w:footer="0" w:header="0"/>
          <w:type w:val="continuous"/>
        </w:sectPr>
      </w:pPr>
    </w:p>
    <w:bookmarkStart w:id="1" w:name="page2"/>
    <w:bookmarkEnd w:id="1"/>
    <w:p>
      <w:pPr>
        <w:jc w:val="center"/>
        <w:ind w:right="2039"/>
        <w:spacing w:after="0"/>
        <w:rPr>
          <w:sz w:val="20"/>
          <w:szCs w:val="20"/>
          <w:color w:val="auto"/>
        </w:rPr>
      </w:pPr>
      <w:r>
        <w:rPr>
          <w:rFonts w:ascii="Courier New" w:cs="Courier New" w:eastAsia="Courier New" w:hAnsi="Courier New"/>
          <w:sz w:val="17"/>
          <w:szCs w:val="17"/>
          <w:color w:val="auto"/>
        </w:rPr>
        <w:t>THE TORO COMPANY</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INDEX TO FORM 10-Q</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Page Number</w:t>
            </w:r>
          </w:p>
        </w:tc>
      </w:tr>
      <w:tr>
        <w:trPr>
          <w:trHeight w:val="196"/>
        </w:trPr>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98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59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FINANCIAL INFORMATION:</w:t>
            </w:r>
          </w:p>
        </w:tc>
        <w:tc>
          <w:tcPr>
            <w:tcW w:w="1160" w:type="dxa"/>
            <w:vAlign w:val="bottom"/>
          </w:tcPr>
          <w:p>
            <w:pPr>
              <w:spacing w:after="0"/>
              <w:rPr>
                <w:sz w:val="17"/>
                <w:szCs w:val="17"/>
                <w:color w:val="auto"/>
              </w:rPr>
            </w:pPr>
          </w:p>
        </w:tc>
      </w:tr>
      <w:tr>
        <w:trPr>
          <w:trHeight w:val="392"/>
        </w:trPr>
        <w:tc>
          <w:tcPr>
            <w:tcW w:w="980" w:type="dxa"/>
            <w:vAlign w:val="bottom"/>
          </w:tcPr>
          <w:p>
            <w:pPr>
              <w:spacing w:after="0"/>
              <w:rPr>
                <w:sz w:val="24"/>
                <w:szCs w:val="24"/>
                <w:color w:val="auto"/>
              </w:rPr>
            </w:pPr>
          </w:p>
        </w:tc>
        <w:tc>
          <w:tcPr>
            <w:tcW w:w="59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Condensed Consolidated Balance Sheets -</w:t>
            </w:r>
          </w:p>
        </w:tc>
        <w:tc>
          <w:tcPr>
            <w:tcW w:w="116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592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January 28, 1994, January 29, 1993 and July 31, 1993</w:t>
            </w:r>
          </w:p>
        </w:tc>
        <w:tc>
          <w:tcPr>
            <w:tcW w:w="11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3</w:t>
            </w:r>
          </w:p>
        </w:tc>
      </w:tr>
      <w:tr>
        <w:trPr>
          <w:trHeight w:val="392"/>
        </w:trPr>
        <w:tc>
          <w:tcPr>
            <w:tcW w:w="980" w:type="dxa"/>
            <w:vAlign w:val="bottom"/>
          </w:tcPr>
          <w:p>
            <w:pPr>
              <w:spacing w:after="0"/>
              <w:rPr>
                <w:sz w:val="24"/>
                <w:szCs w:val="24"/>
                <w:color w:val="auto"/>
              </w:rPr>
            </w:pPr>
          </w:p>
        </w:tc>
        <w:tc>
          <w:tcPr>
            <w:tcW w:w="59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Condensed Consolidated Statements of Operations and</w:t>
            </w:r>
          </w:p>
        </w:tc>
        <w:tc>
          <w:tcPr>
            <w:tcW w:w="116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59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Retained Earnings -</w:t>
            </w: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592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Three and Six Months Ended</w:t>
            </w:r>
          </w:p>
        </w:tc>
        <w:tc>
          <w:tcPr>
            <w:tcW w:w="11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592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January 28, 1994 and January 29, 1993</w:t>
            </w:r>
          </w:p>
        </w:tc>
        <w:tc>
          <w:tcPr>
            <w:tcW w:w="11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w:t>
            </w:r>
          </w:p>
        </w:tc>
      </w:tr>
      <w:tr>
        <w:trPr>
          <w:trHeight w:val="392"/>
        </w:trPr>
        <w:tc>
          <w:tcPr>
            <w:tcW w:w="980" w:type="dxa"/>
            <w:vAlign w:val="bottom"/>
          </w:tcPr>
          <w:p>
            <w:pPr>
              <w:spacing w:after="0"/>
              <w:rPr>
                <w:sz w:val="24"/>
                <w:szCs w:val="24"/>
                <w:color w:val="auto"/>
              </w:rPr>
            </w:pPr>
          </w:p>
        </w:tc>
        <w:tc>
          <w:tcPr>
            <w:tcW w:w="59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Consolidated Statements of Cash Flows -</w:t>
            </w:r>
          </w:p>
        </w:tc>
        <w:tc>
          <w:tcPr>
            <w:tcW w:w="116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592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Six Months Ended January 28, 1994 and January 29, 1993</w:t>
            </w:r>
          </w:p>
        </w:tc>
        <w:tc>
          <w:tcPr>
            <w:tcW w:w="11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5</w:t>
            </w:r>
          </w:p>
        </w:tc>
      </w:tr>
      <w:tr>
        <w:trPr>
          <w:trHeight w:val="392"/>
        </w:trPr>
        <w:tc>
          <w:tcPr>
            <w:tcW w:w="980" w:type="dxa"/>
            <w:vAlign w:val="bottom"/>
          </w:tcPr>
          <w:p>
            <w:pPr>
              <w:spacing w:after="0"/>
              <w:rPr>
                <w:sz w:val="24"/>
                <w:szCs w:val="24"/>
                <w:color w:val="auto"/>
              </w:rPr>
            </w:pPr>
          </w:p>
        </w:tc>
        <w:tc>
          <w:tcPr>
            <w:tcW w:w="59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Notes to Condensed Consolidated Financial Statements</w:t>
            </w:r>
          </w:p>
        </w:tc>
        <w:tc>
          <w:tcPr>
            <w:tcW w:w="11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6</w:t>
            </w:r>
          </w:p>
        </w:tc>
      </w:tr>
      <w:tr>
        <w:trPr>
          <w:trHeight w:val="392"/>
        </w:trPr>
        <w:tc>
          <w:tcPr>
            <w:tcW w:w="980" w:type="dxa"/>
            <w:vAlign w:val="bottom"/>
          </w:tcPr>
          <w:p>
            <w:pPr>
              <w:spacing w:after="0"/>
              <w:rPr>
                <w:sz w:val="24"/>
                <w:szCs w:val="24"/>
                <w:color w:val="auto"/>
              </w:rPr>
            </w:pPr>
          </w:p>
        </w:tc>
        <w:tc>
          <w:tcPr>
            <w:tcW w:w="59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Management's Discussion and Analysis of Financial</w:t>
            </w:r>
          </w:p>
        </w:tc>
        <w:tc>
          <w:tcPr>
            <w:tcW w:w="116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592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Condition and Results of Operations</w:t>
            </w:r>
          </w:p>
        </w:tc>
        <w:tc>
          <w:tcPr>
            <w:tcW w:w="11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7-8</w:t>
            </w:r>
          </w:p>
        </w:tc>
      </w:tr>
      <w:tr>
        <w:trPr>
          <w:trHeight w:val="589"/>
        </w:trPr>
        <w:tc>
          <w:tcPr>
            <w:tcW w:w="980" w:type="dxa"/>
            <w:vAlign w:val="bottom"/>
          </w:tcPr>
          <w:p>
            <w:pPr>
              <w:spacing w:after="0"/>
              <w:rPr>
                <w:sz w:val="20"/>
                <w:szCs w:val="20"/>
                <w:color w:val="auto"/>
              </w:rPr>
            </w:pPr>
            <w:r>
              <w:rPr>
                <w:rFonts w:ascii="Courier New" w:cs="Courier New" w:eastAsia="Courier New" w:hAnsi="Courier New"/>
                <w:sz w:val="17"/>
                <w:szCs w:val="17"/>
                <w:color w:val="auto"/>
              </w:rPr>
              <w:t>PART II.</w:t>
            </w:r>
          </w:p>
        </w:tc>
        <w:tc>
          <w:tcPr>
            <w:tcW w:w="59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OTHER INFORMATION:</w:t>
            </w:r>
          </w:p>
        </w:tc>
        <w:tc>
          <w:tcPr>
            <w:tcW w:w="1160" w:type="dxa"/>
            <w:vAlign w:val="bottom"/>
          </w:tcPr>
          <w:p>
            <w:pPr>
              <w:spacing w:after="0"/>
              <w:rPr>
                <w:sz w:val="24"/>
                <w:szCs w:val="24"/>
                <w:color w:val="auto"/>
              </w:rPr>
            </w:pPr>
          </w:p>
        </w:tc>
      </w:tr>
      <w:tr>
        <w:trPr>
          <w:trHeight w:val="392"/>
        </w:trPr>
        <w:tc>
          <w:tcPr>
            <w:tcW w:w="980" w:type="dxa"/>
            <w:vAlign w:val="bottom"/>
          </w:tcPr>
          <w:p>
            <w:pPr>
              <w:spacing w:after="0"/>
              <w:rPr>
                <w:sz w:val="24"/>
                <w:szCs w:val="24"/>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7"/>
                <w:szCs w:val="17"/>
                <w:color w:val="auto"/>
              </w:rPr>
              <w:t>Item 4</w:t>
            </w:r>
          </w:p>
        </w:tc>
        <w:tc>
          <w:tcPr>
            <w:tcW w:w="5060" w:type="dxa"/>
            <w:vAlign w:val="bottom"/>
          </w:tcPr>
          <w:p>
            <w:pPr>
              <w:ind w:left="100"/>
              <w:spacing w:after="0"/>
              <w:rPr>
                <w:sz w:val="20"/>
                <w:szCs w:val="20"/>
                <w:color w:val="auto"/>
              </w:rPr>
            </w:pPr>
            <w:r>
              <w:rPr>
                <w:rFonts w:ascii="Courier New" w:cs="Courier New" w:eastAsia="Courier New" w:hAnsi="Courier New"/>
                <w:sz w:val="17"/>
                <w:szCs w:val="17"/>
                <w:color w:val="auto"/>
              </w:rPr>
              <w:t>Results of Votes of Security Holders</w:t>
            </w:r>
          </w:p>
        </w:tc>
        <w:tc>
          <w:tcPr>
            <w:tcW w:w="11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9</w:t>
            </w:r>
          </w:p>
        </w:tc>
      </w:tr>
      <w:tr>
        <w:trPr>
          <w:trHeight w:val="392"/>
        </w:trPr>
        <w:tc>
          <w:tcPr>
            <w:tcW w:w="980" w:type="dxa"/>
            <w:vAlign w:val="bottom"/>
          </w:tcPr>
          <w:p>
            <w:pPr>
              <w:spacing w:after="0"/>
              <w:rPr>
                <w:sz w:val="24"/>
                <w:szCs w:val="24"/>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7"/>
                <w:szCs w:val="17"/>
                <w:color w:val="auto"/>
              </w:rPr>
              <w:t>Item 6</w:t>
            </w:r>
          </w:p>
        </w:tc>
        <w:tc>
          <w:tcPr>
            <w:tcW w:w="5060" w:type="dxa"/>
            <w:vAlign w:val="bottom"/>
          </w:tcPr>
          <w:p>
            <w:pPr>
              <w:ind w:left="100"/>
              <w:spacing w:after="0"/>
              <w:rPr>
                <w:sz w:val="20"/>
                <w:szCs w:val="20"/>
                <w:color w:val="auto"/>
              </w:rPr>
            </w:pPr>
            <w:r>
              <w:rPr>
                <w:rFonts w:ascii="Courier New" w:cs="Courier New" w:eastAsia="Courier New" w:hAnsi="Courier New"/>
                <w:sz w:val="17"/>
                <w:szCs w:val="17"/>
                <w:color w:val="auto"/>
              </w:rPr>
              <w:t>Exhibits and Reports on Form 8-K</w:t>
            </w:r>
          </w:p>
        </w:tc>
        <w:tc>
          <w:tcPr>
            <w:tcW w:w="11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9</w:t>
            </w:r>
          </w:p>
        </w:tc>
      </w:tr>
      <w:tr>
        <w:trPr>
          <w:trHeight w:val="392"/>
        </w:trPr>
        <w:tc>
          <w:tcPr>
            <w:tcW w:w="980" w:type="dxa"/>
            <w:vAlign w:val="bottom"/>
          </w:tcPr>
          <w:p>
            <w:pPr>
              <w:spacing w:after="0"/>
              <w:rPr>
                <w:sz w:val="24"/>
                <w:szCs w:val="24"/>
                <w:color w:val="auto"/>
              </w:rPr>
            </w:pPr>
          </w:p>
        </w:tc>
        <w:tc>
          <w:tcPr>
            <w:tcW w:w="592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Exhibit 11  Computation of Earnings (Loss) Per Common</w:t>
            </w:r>
          </w:p>
        </w:tc>
        <w:tc>
          <w:tcPr>
            <w:tcW w:w="116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60" w:type="dxa"/>
            <w:vAlign w:val="bottom"/>
          </w:tcPr>
          <w:p>
            <w:pPr>
              <w:ind w:left="920"/>
              <w:spacing w:after="0"/>
              <w:rPr>
                <w:sz w:val="20"/>
                <w:szCs w:val="20"/>
                <w:color w:val="auto"/>
              </w:rPr>
            </w:pPr>
            <w:r>
              <w:rPr>
                <w:rFonts w:ascii="Courier New" w:cs="Courier New" w:eastAsia="Courier New" w:hAnsi="Courier New"/>
                <w:sz w:val="17"/>
                <w:szCs w:val="17"/>
                <w:color w:val="auto"/>
              </w:rPr>
              <w:t>Share</w:t>
            </w:r>
          </w:p>
        </w:tc>
        <w:tc>
          <w:tcPr>
            <w:tcW w:w="11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10</w:t>
            </w:r>
          </w:p>
        </w:tc>
      </w:tr>
      <w:tr>
        <w:trPr>
          <w:trHeight w:val="785"/>
        </w:trPr>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60" w:type="dxa"/>
            <w:vAlign w:val="bottom"/>
          </w:tcPr>
          <w:p>
            <w:pPr>
              <w:jc w:val="right"/>
              <w:ind w:right="2535"/>
              <w:spacing w:after="0"/>
              <w:rPr>
                <w:sz w:val="20"/>
                <w:szCs w:val="20"/>
                <w:color w:val="auto"/>
              </w:rPr>
            </w:pPr>
            <w:r>
              <w:rPr>
                <w:rFonts w:ascii="Courier New" w:cs="Courier New" w:eastAsia="Courier New" w:hAnsi="Courier New"/>
                <w:sz w:val="17"/>
                <w:szCs w:val="17"/>
                <w:color w:val="auto"/>
              </w:rPr>
              <w:t>-2-</w:t>
            </w:r>
          </w:p>
        </w:tc>
        <w:tc>
          <w:tcPr>
            <w:tcW w:w="1160" w:type="dxa"/>
            <w:vAlign w:val="bottom"/>
          </w:tcPr>
          <w:p>
            <w:pPr>
              <w:spacing w:after="0"/>
              <w:rPr>
                <w:sz w:val="24"/>
                <w:szCs w:val="24"/>
                <w:color w:val="auto"/>
              </w:rPr>
            </w:pPr>
          </w:p>
        </w:tc>
      </w:tr>
    </w:tbl>
    <w:p>
      <w:pPr>
        <w:sectPr>
          <w:pgSz w:w="11900" w:h="16838" w:orient="portrait"/>
          <w:cols w:equalWidth="0" w:num="1">
            <w:col w:w="10219"/>
          </w:cols>
          <w:pgMar w:left="240" w:top="899" w:right="1440" w:bottom="1440" w:gutter="0" w:footer="0" w:header="0"/>
        </w:sectPr>
      </w:pPr>
    </w:p>
    <w:bookmarkStart w:id="2" w:name="page3"/>
    <w:bookmarkEnd w:id="2"/>
    <w:p>
      <w:pPr>
        <w:jc w:val="center"/>
        <w:ind w:right="3240"/>
        <w:spacing w:after="0"/>
        <w:rPr>
          <w:sz w:val="20"/>
          <w:szCs w:val="20"/>
          <w:color w:val="auto"/>
        </w:rPr>
      </w:pPr>
      <w:r>
        <w:rPr>
          <w:rFonts w:ascii="Courier New" w:cs="Courier New" w:eastAsia="Courier New" w:hAnsi="Courier New"/>
          <w:sz w:val="17"/>
          <w:szCs w:val="17"/>
          <w:color w:val="auto"/>
        </w:rPr>
        <w:t>PART I. FINANCIAL INFORMATION</w:t>
      </w:r>
    </w:p>
    <w:p>
      <w:pPr>
        <w:spacing w:after="0" w:line="200"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7"/>
          <w:szCs w:val="17"/>
          <w:color w:val="auto"/>
        </w:rPr>
        <w:t>THE TORO COMPANY AND SUBSIDIARIES</w:t>
      </w:r>
    </w:p>
    <w:p>
      <w:pPr>
        <w:spacing w:after="0" w:line="4"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7"/>
          <w:szCs w:val="17"/>
          <w:color w:val="auto"/>
        </w:rPr>
        <w:t>CONDENSED CONSOLIDATED BALANCE SHEETS (UNAUDITED)</w:t>
      </w:r>
    </w:p>
    <w:p>
      <w:pPr>
        <w:spacing w:after="0" w:line="4"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7"/>
          <w:szCs w:val="17"/>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9"/>
              </w:rPr>
              <w:t>January 28,</w:t>
            </w:r>
          </w:p>
        </w:tc>
        <w:tc>
          <w:tcPr>
            <w:tcW w:w="200" w:type="dxa"/>
            <w:vAlign w:val="bottom"/>
          </w:tcPr>
          <w:p>
            <w:pPr>
              <w:spacing w:after="0"/>
              <w:rPr>
                <w:sz w:val="16"/>
                <w:szCs w:val="16"/>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January 29,</w:t>
            </w:r>
          </w:p>
        </w:tc>
        <w:tc>
          <w:tcPr>
            <w:tcW w:w="260" w:type="dxa"/>
            <w:vAlign w:val="bottom"/>
          </w:tcPr>
          <w:p>
            <w:pPr>
              <w:spacing w:after="0"/>
              <w:rPr>
                <w:sz w:val="16"/>
                <w:szCs w:val="16"/>
                <w:color w:val="auto"/>
              </w:rPr>
            </w:pPr>
          </w:p>
        </w:tc>
        <w:tc>
          <w:tcPr>
            <w:tcW w:w="11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July 31,</w:t>
            </w:r>
          </w:p>
        </w:tc>
      </w:tr>
      <w:tr>
        <w:trPr>
          <w:trHeight w:val="196"/>
        </w:trPr>
        <w:tc>
          <w:tcPr>
            <w:tcW w:w="7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spacing w:after="0"/>
              <w:rPr>
                <w:sz w:val="17"/>
                <w:szCs w:val="17"/>
                <w:color w:val="auto"/>
              </w:rPr>
            </w:pPr>
          </w:p>
        </w:tc>
        <w:tc>
          <w:tcPr>
            <w:tcW w:w="13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1993</w:t>
            </w:r>
          </w:p>
        </w:tc>
        <w:tc>
          <w:tcPr>
            <w:tcW w:w="260" w:type="dxa"/>
            <w:vAlign w:val="bottom"/>
          </w:tcPr>
          <w:p>
            <w:pPr>
              <w:spacing w:after="0"/>
              <w:rPr>
                <w:sz w:val="17"/>
                <w:szCs w:val="17"/>
                <w:color w:val="auto"/>
              </w:rPr>
            </w:pPr>
          </w:p>
        </w:tc>
        <w:tc>
          <w:tcPr>
            <w:tcW w:w="116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1993</w:t>
            </w:r>
          </w:p>
        </w:tc>
      </w:tr>
      <w:tr>
        <w:trPr>
          <w:trHeight w:val="196"/>
        </w:trPr>
        <w:tc>
          <w:tcPr>
            <w:tcW w:w="7040" w:type="dxa"/>
            <w:vAlign w:val="bottom"/>
          </w:tcPr>
          <w:p>
            <w:pPr>
              <w:spacing w:after="0"/>
              <w:rPr>
                <w:sz w:val="17"/>
                <w:szCs w:val="17"/>
                <w:color w:val="auto"/>
              </w:rPr>
            </w:pP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70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7040" w:type="dxa"/>
            <w:vAlign w:val="bottom"/>
          </w:tcPr>
          <w:p>
            <w:pPr>
              <w:spacing w:after="0"/>
              <w:rPr>
                <w:sz w:val="20"/>
                <w:szCs w:val="20"/>
                <w:color w:val="auto"/>
              </w:rPr>
            </w:pPr>
            <w:r>
              <w:rPr>
                <w:rFonts w:ascii="Courier New" w:cs="Courier New" w:eastAsia="Courier New" w:hAnsi="Courier New"/>
                <w:sz w:val="17"/>
                <w:szCs w:val="17"/>
                <w:color w:val="auto"/>
              </w:rPr>
              <w:t>Cash . . . . . . . . . . . . . . . . . . . . . . . . . . . . . . .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9,141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4,684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61,793</w:t>
            </w:r>
          </w:p>
        </w:tc>
      </w:tr>
      <w:tr>
        <w:trPr>
          <w:trHeight w:val="196"/>
        </w:trPr>
        <w:tc>
          <w:tcPr>
            <w:tcW w:w="7040" w:type="dxa"/>
            <w:vAlign w:val="bottom"/>
          </w:tcPr>
          <w:p>
            <w:pPr>
              <w:spacing w:after="0"/>
              <w:rPr>
                <w:sz w:val="20"/>
                <w:szCs w:val="20"/>
                <w:color w:val="auto"/>
              </w:rPr>
            </w:pPr>
            <w:r>
              <w:rPr>
                <w:rFonts w:ascii="Courier New" w:cs="Courier New" w:eastAsia="Courier New" w:hAnsi="Courier New"/>
                <w:sz w:val="17"/>
                <w:szCs w:val="17"/>
                <w:color w:val="auto"/>
              </w:rPr>
              <w:t>Receivables (net). . . . . . . . . . . . . . . . . . . . . . . . . .</w:t>
            </w:r>
          </w:p>
        </w:tc>
        <w:tc>
          <w:tcPr>
            <w:tcW w:w="200" w:type="dxa"/>
            <w:vAlign w:val="bottom"/>
          </w:tcPr>
          <w:p>
            <w:pPr>
              <w:spacing w:after="0"/>
              <w:rPr>
                <w:sz w:val="17"/>
                <w:szCs w:val="17"/>
                <w:color w:val="auto"/>
              </w:rPr>
            </w:pPr>
          </w:p>
        </w:tc>
        <w:tc>
          <w:tcPr>
            <w:tcW w:w="13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215,663</w:t>
            </w:r>
          </w:p>
        </w:tc>
        <w:tc>
          <w:tcPr>
            <w:tcW w:w="20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203,965</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180,363</w:t>
            </w:r>
          </w:p>
        </w:tc>
      </w:tr>
      <w:tr>
        <w:trPr>
          <w:trHeight w:val="196"/>
        </w:trPr>
        <w:tc>
          <w:tcPr>
            <w:tcW w:w="7040" w:type="dxa"/>
            <w:vAlign w:val="bottom"/>
          </w:tcPr>
          <w:p>
            <w:pPr>
              <w:spacing w:after="0"/>
              <w:rPr>
                <w:sz w:val="20"/>
                <w:szCs w:val="20"/>
                <w:color w:val="auto"/>
              </w:rPr>
            </w:pPr>
            <w:r>
              <w:rPr>
                <w:rFonts w:ascii="Courier New" w:cs="Courier New" w:eastAsia="Courier New" w:hAnsi="Courier New"/>
                <w:sz w:val="17"/>
                <w:szCs w:val="17"/>
                <w:color w:val="auto"/>
              </w:rPr>
              <w:t>Inventories. . . . . . . . . . . . . . . . . . . . . . . . . . . . .</w:t>
            </w:r>
          </w:p>
        </w:tc>
        <w:tc>
          <w:tcPr>
            <w:tcW w:w="200" w:type="dxa"/>
            <w:vAlign w:val="bottom"/>
          </w:tcPr>
          <w:p>
            <w:pPr>
              <w:spacing w:after="0"/>
              <w:rPr>
                <w:sz w:val="17"/>
                <w:szCs w:val="17"/>
                <w:color w:val="auto"/>
              </w:rPr>
            </w:pPr>
          </w:p>
        </w:tc>
        <w:tc>
          <w:tcPr>
            <w:tcW w:w="13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128,477</w:t>
            </w:r>
          </w:p>
        </w:tc>
        <w:tc>
          <w:tcPr>
            <w:tcW w:w="20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119,557</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78,708</w:t>
            </w:r>
          </w:p>
        </w:tc>
      </w:tr>
      <w:tr>
        <w:trPr>
          <w:trHeight w:val="196"/>
        </w:trPr>
        <w:tc>
          <w:tcPr>
            <w:tcW w:w="7040" w:type="dxa"/>
            <w:vAlign w:val="bottom"/>
          </w:tcPr>
          <w:p>
            <w:pPr>
              <w:spacing w:after="0"/>
              <w:rPr>
                <w:sz w:val="20"/>
                <w:szCs w:val="20"/>
                <w:color w:val="auto"/>
              </w:rPr>
            </w:pPr>
            <w:r>
              <w:rPr>
                <w:rFonts w:ascii="Courier New" w:cs="Courier New" w:eastAsia="Courier New" w:hAnsi="Courier New"/>
                <w:sz w:val="17"/>
                <w:szCs w:val="17"/>
                <w:color w:val="auto"/>
              </w:rPr>
              <w:t>Prepaid expenses . . . . . . . . . . . . . . . . . . . . . . . . . .</w:t>
            </w:r>
          </w:p>
        </w:tc>
        <w:tc>
          <w:tcPr>
            <w:tcW w:w="200" w:type="dxa"/>
            <w:vAlign w:val="bottom"/>
          </w:tcPr>
          <w:p>
            <w:pPr>
              <w:spacing w:after="0"/>
              <w:rPr>
                <w:sz w:val="17"/>
                <w:szCs w:val="17"/>
                <w:color w:val="auto"/>
              </w:rPr>
            </w:pPr>
          </w:p>
        </w:tc>
        <w:tc>
          <w:tcPr>
            <w:tcW w:w="13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24,014</w:t>
            </w:r>
          </w:p>
        </w:tc>
        <w:tc>
          <w:tcPr>
            <w:tcW w:w="20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25,754</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23,266</w:t>
            </w:r>
          </w:p>
        </w:tc>
      </w:tr>
      <w:tr>
        <w:trPr>
          <w:trHeight w:val="196"/>
        </w:trPr>
        <w:tc>
          <w:tcPr>
            <w:tcW w:w="7040" w:type="dxa"/>
            <w:vAlign w:val="bottom"/>
          </w:tcPr>
          <w:p>
            <w:pPr>
              <w:spacing w:after="0"/>
              <w:rPr>
                <w:sz w:val="17"/>
                <w:szCs w:val="17"/>
                <w:color w:val="auto"/>
              </w:rPr>
            </w:pP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0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current assets . . . . . . . . . . . . . . . . . . . . .</w:t>
            </w:r>
          </w:p>
        </w:tc>
        <w:tc>
          <w:tcPr>
            <w:tcW w:w="200" w:type="dxa"/>
            <w:vAlign w:val="bottom"/>
          </w:tcPr>
          <w:p>
            <w:pPr>
              <w:spacing w:after="0"/>
              <w:rPr>
                <w:sz w:val="17"/>
                <w:szCs w:val="17"/>
                <w:color w:val="auto"/>
              </w:rPr>
            </w:pPr>
          </w:p>
        </w:tc>
        <w:tc>
          <w:tcPr>
            <w:tcW w:w="13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377,295</w:t>
            </w:r>
          </w:p>
        </w:tc>
        <w:tc>
          <w:tcPr>
            <w:tcW w:w="20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353,960</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344,130</w:t>
            </w:r>
          </w:p>
        </w:tc>
      </w:tr>
      <w:tr>
        <w:trPr>
          <w:trHeight w:val="196"/>
        </w:trPr>
        <w:tc>
          <w:tcPr>
            <w:tcW w:w="7040" w:type="dxa"/>
            <w:vAlign w:val="bottom"/>
          </w:tcPr>
          <w:p>
            <w:pPr>
              <w:spacing w:after="0"/>
              <w:rPr>
                <w:sz w:val="17"/>
                <w:szCs w:val="17"/>
                <w:color w:val="auto"/>
              </w:rPr>
            </w:pP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704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Property, plant and equipment. . . . . . . . . . . . . . . . . . . .</w:t>
            </w:r>
          </w:p>
        </w:tc>
        <w:tc>
          <w:tcPr>
            <w:tcW w:w="200" w:type="dxa"/>
            <w:vAlign w:val="bottom"/>
          </w:tcPr>
          <w:p>
            <w:pPr>
              <w:spacing w:after="0"/>
              <w:rPr>
                <w:sz w:val="24"/>
                <w:szCs w:val="24"/>
                <w:color w:val="auto"/>
              </w:rPr>
            </w:pPr>
          </w:p>
        </w:tc>
        <w:tc>
          <w:tcPr>
            <w:tcW w:w="13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177,339</w:t>
            </w:r>
          </w:p>
        </w:tc>
        <w:tc>
          <w:tcPr>
            <w:tcW w:w="200" w:type="dxa"/>
            <w:vAlign w:val="bottom"/>
          </w:tcPr>
          <w:p>
            <w:pPr>
              <w:spacing w:after="0"/>
              <w:rPr>
                <w:sz w:val="24"/>
                <w:szCs w:val="24"/>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179,527</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173,397</w:t>
            </w:r>
          </w:p>
        </w:tc>
      </w:tr>
      <w:tr>
        <w:trPr>
          <w:trHeight w:val="196"/>
        </w:trPr>
        <w:tc>
          <w:tcPr>
            <w:tcW w:w="70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Less accumulated depreciation and amortization . . . . . . . .</w:t>
            </w:r>
          </w:p>
        </w:tc>
        <w:tc>
          <w:tcPr>
            <w:tcW w:w="200" w:type="dxa"/>
            <w:vAlign w:val="bottom"/>
          </w:tcPr>
          <w:p>
            <w:pPr>
              <w:spacing w:after="0"/>
              <w:rPr>
                <w:sz w:val="17"/>
                <w:szCs w:val="17"/>
                <w:color w:val="auto"/>
              </w:rPr>
            </w:pPr>
          </w:p>
        </w:tc>
        <w:tc>
          <w:tcPr>
            <w:tcW w:w="13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120,643</w:t>
            </w:r>
          </w:p>
        </w:tc>
        <w:tc>
          <w:tcPr>
            <w:tcW w:w="20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113,542</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113,428</w:t>
            </w:r>
          </w:p>
        </w:tc>
      </w:tr>
      <w:tr>
        <w:trPr>
          <w:trHeight w:val="196"/>
        </w:trPr>
        <w:tc>
          <w:tcPr>
            <w:tcW w:w="7040" w:type="dxa"/>
            <w:vAlign w:val="bottom"/>
          </w:tcPr>
          <w:p>
            <w:pPr>
              <w:spacing w:after="0"/>
              <w:rPr>
                <w:sz w:val="17"/>
                <w:szCs w:val="17"/>
                <w:color w:val="auto"/>
              </w:rPr>
            </w:pP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0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56,696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65,985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59,969</w:t>
            </w:r>
          </w:p>
        </w:tc>
      </w:tr>
      <w:tr>
        <w:trPr>
          <w:trHeight w:val="392"/>
        </w:trPr>
        <w:tc>
          <w:tcPr>
            <w:tcW w:w="704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Other assets . . . . . . . . . . . . . . . . . . . . . . . . . . . .</w:t>
            </w:r>
          </w:p>
        </w:tc>
        <w:tc>
          <w:tcPr>
            <w:tcW w:w="200" w:type="dxa"/>
            <w:vAlign w:val="bottom"/>
          </w:tcPr>
          <w:p>
            <w:pPr>
              <w:spacing w:after="0"/>
              <w:rPr>
                <w:sz w:val="24"/>
                <w:szCs w:val="24"/>
                <w:color w:val="auto"/>
              </w:rPr>
            </w:pPr>
          </w:p>
        </w:tc>
        <w:tc>
          <w:tcPr>
            <w:tcW w:w="13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17,941</w:t>
            </w:r>
          </w:p>
        </w:tc>
        <w:tc>
          <w:tcPr>
            <w:tcW w:w="200" w:type="dxa"/>
            <w:vAlign w:val="bottom"/>
          </w:tcPr>
          <w:p>
            <w:pPr>
              <w:spacing w:after="0"/>
              <w:rPr>
                <w:sz w:val="24"/>
                <w:szCs w:val="24"/>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18,543</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15,104</w:t>
            </w:r>
          </w:p>
        </w:tc>
      </w:tr>
      <w:tr>
        <w:trPr>
          <w:trHeight w:val="196"/>
        </w:trPr>
        <w:tc>
          <w:tcPr>
            <w:tcW w:w="7040" w:type="dxa"/>
            <w:vAlign w:val="bottom"/>
          </w:tcPr>
          <w:p>
            <w:pPr>
              <w:spacing w:after="0"/>
              <w:rPr>
                <w:sz w:val="17"/>
                <w:szCs w:val="17"/>
                <w:color w:val="auto"/>
              </w:rPr>
            </w:pP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0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assets . . . . . . . . . . . . . . . . . . . . . . . .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451,932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438,488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419,203</w:t>
            </w:r>
          </w:p>
        </w:tc>
      </w:tr>
      <w:tr>
        <w:trPr>
          <w:trHeight w:val="196"/>
        </w:trPr>
        <w:tc>
          <w:tcPr>
            <w:tcW w:w="7040" w:type="dxa"/>
            <w:vAlign w:val="bottom"/>
          </w:tcPr>
          <w:p>
            <w:pPr>
              <w:spacing w:after="0"/>
              <w:rPr>
                <w:sz w:val="17"/>
                <w:szCs w:val="17"/>
                <w:color w:val="auto"/>
              </w:rPr>
            </w:pP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040" w:type="dxa"/>
            <w:vAlign w:val="bottom"/>
          </w:tcPr>
          <w:p>
            <w:pPr>
              <w:spacing w:after="0"/>
              <w:rPr>
                <w:sz w:val="17"/>
                <w:szCs w:val="17"/>
                <w:color w:val="auto"/>
              </w:rPr>
            </w:pP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704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704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Current portion of long-term debt. . . . . . . . . . . . . . . . .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35,645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16,140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15,000</w:t>
            </w:r>
          </w:p>
        </w:tc>
      </w:tr>
      <w:tr>
        <w:trPr>
          <w:trHeight w:val="196"/>
        </w:trPr>
        <w:tc>
          <w:tcPr>
            <w:tcW w:w="704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Short-term debt. . . . . . . . . . . . . . . . . . . . . . . . . . .</w:t>
            </w:r>
          </w:p>
        </w:tc>
        <w:tc>
          <w:tcPr>
            <w:tcW w:w="200" w:type="dxa"/>
            <w:vAlign w:val="bottom"/>
          </w:tcPr>
          <w:p>
            <w:pPr>
              <w:spacing w:after="0"/>
              <w:rPr>
                <w:sz w:val="17"/>
                <w:szCs w:val="17"/>
                <w:color w:val="auto"/>
              </w:rPr>
            </w:pPr>
          </w:p>
        </w:tc>
        <w:tc>
          <w:tcPr>
            <w:tcW w:w="13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25,361</w:t>
            </w:r>
          </w:p>
        </w:tc>
        <w:tc>
          <w:tcPr>
            <w:tcW w:w="20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15,000</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04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Accounts payable . . . . . . . . . . . . . . . . . . . . . . . . . .</w:t>
            </w:r>
          </w:p>
        </w:tc>
        <w:tc>
          <w:tcPr>
            <w:tcW w:w="200" w:type="dxa"/>
            <w:vAlign w:val="bottom"/>
          </w:tcPr>
          <w:p>
            <w:pPr>
              <w:spacing w:after="0"/>
              <w:rPr>
                <w:sz w:val="17"/>
                <w:szCs w:val="17"/>
                <w:color w:val="auto"/>
              </w:rPr>
            </w:pPr>
          </w:p>
        </w:tc>
        <w:tc>
          <w:tcPr>
            <w:tcW w:w="13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36,066</w:t>
            </w:r>
          </w:p>
        </w:tc>
        <w:tc>
          <w:tcPr>
            <w:tcW w:w="20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33,157</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28,786</w:t>
            </w:r>
          </w:p>
        </w:tc>
      </w:tr>
      <w:tr>
        <w:trPr>
          <w:trHeight w:val="196"/>
        </w:trPr>
        <w:tc>
          <w:tcPr>
            <w:tcW w:w="704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Other accrued liabilities. . . . . . . . . . . . . . . . . . . . . .</w:t>
            </w:r>
          </w:p>
        </w:tc>
        <w:tc>
          <w:tcPr>
            <w:tcW w:w="200" w:type="dxa"/>
            <w:vAlign w:val="bottom"/>
          </w:tcPr>
          <w:p>
            <w:pPr>
              <w:spacing w:after="0"/>
              <w:rPr>
                <w:sz w:val="17"/>
                <w:szCs w:val="17"/>
                <w:color w:val="auto"/>
              </w:rPr>
            </w:pPr>
          </w:p>
        </w:tc>
        <w:tc>
          <w:tcPr>
            <w:tcW w:w="13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119,883</w:t>
            </w:r>
          </w:p>
        </w:tc>
        <w:tc>
          <w:tcPr>
            <w:tcW w:w="20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96,846</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106,474</w:t>
            </w:r>
          </w:p>
        </w:tc>
      </w:tr>
      <w:tr>
        <w:trPr>
          <w:trHeight w:val="196"/>
        </w:trPr>
        <w:tc>
          <w:tcPr>
            <w:tcW w:w="7040" w:type="dxa"/>
            <w:vAlign w:val="bottom"/>
          </w:tcPr>
          <w:p>
            <w:pPr>
              <w:spacing w:after="0"/>
              <w:rPr>
                <w:sz w:val="17"/>
                <w:szCs w:val="17"/>
                <w:color w:val="auto"/>
              </w:rPr>
            </w:pP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0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current liabilities. . . . . . . . . . . . . . . . . . .</w:t>
            </w:r>
          </w:p>
        </w:tc>
        <w:tc>
          <w:tcPr>
            <w:tcW w:w="200" w:type="dxa"/>
            <w:vAlign w:val="bottom"/>
          </w:tcPr>
          <w:p>
            <w:pPr>
              <w:spacing w:after="0"/>
              <w:rPr>
                <w:sz w:val="17"/>
                <w:szCs w:val="17"/>
                <w:color w:val="auto"/>
              </w:rPr>
            </w:pPr>
          </w:p>
        </w:tc>
        <w:tc>
          <w:tcPr>
            <w:tcW w:w="13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216,955</w:t>
            </w:r>
          </w:p>
        </w:tc>
        <w:tc>
          <w:tcPr>
            <w:tcW w:w="20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161,143</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150,260</w:t>
            </w:r>
          </w:p>
        </w:tc>
      </w:tr>
      <w:tr>
        <w:trPr>
          <w:trHeight w:val="196"/>
        </w:trPr>
        <w:tc>
          <w:tcPr>
            <w:tcW w:w="7040" w:type="dxa"/>
            <w:vAlign w:val="bottom"/>
          </w:tcPr>
          <w:p>
            <w:pPr>
              <w:spacing w:after="0"/>
              <w:rPr>
                <w:sz w:val="17"/>
                <w:szCs w:val="17"/>
                <w:color w:val="auto"/>
              </w:rPr>
            </w:pP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704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Deferred income taxes. . . . . . . . . . . . . . . . . . . . . . . .</w:t>
            </w:r>
          </w:p>
        </w:tc>
        <w:tc>
          <w:tcPr>
            <w:tcW w:w="200" w:type="dxa"/>
            <w:vAlign w:val="bottom"/>
          </w:tcPr>
          <w:p>
            <w:pPr>
              <w:spacing w:after="0"/>
              <w:rPr>
                <w:sz w:val="24"/>
                <w:szCs w:val="24"/>
                <w:color w:val="auto"/>
              </w:rPr>
            </w:pPr>
          </w:p>
        </w:tc>
        <w:tc>
          <w:tcPr>
            <w:tcW w:w="13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758</w:t>
            </w:r>
          </w:p>
        </w:tc>
        <w:tc>
          <w:tcPr>
            <w:tcW w:w="200" w:type="dxa"/>
            <w:vAlign w:val="bottom"/>
          </w:tcPr>
          <w:p>
            <w:pPr>
              <w:spacing w:after="0"/>
              <w:rPr>
                <w:sz w:val="24"/>
                <w:szCs w:val="24"/>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2,509</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1,372</w:t>
            </w:r>
          </w:p>
        </w:tc>
      </w:tr>
      <w:tr>
        <w:trPr>
          <w:trHeight w:val="196"/>
        </w:trPr>
        <w:tc>
          <w:tcPr>
            <w:tcW w:w="704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Long-term debt, less current portion . . . . . . . . . . . . . . . .</w:t>
            </w:r>
          </w:p>
        </w:tc>
        <w:tc>
          <w:tcPr>
            <w:tcW w:w="200" w:type="dxa"/>
            <w:vAlign w:val="bottom"/>
          </w:tcPr>
          <w:p>
            <w:pPr>
              <w:spacing w:after="0"/>
              <w:rPr>
                <w:sz w:val="17"/>
                <w:szCs w:val="17"/>
                <w:color w:val="auto"/>
              </w:rPr>
            </w:pPr>
          </w:p>
        </w:tc>
        <w:tc>
          <w:tcPr>
            <w:tcW w:w="13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87,325</w:t>
            </w:r>
          </w:p>
        </w:tc>
        <w:tc>
          <w:tcPr>
            <w:tcW w:w="20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147,960</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122,970</w:t>
            </w:r>
          </w:p>
        </w:tc>
      </w:tr>
      <w:tr>
        <w:trPr>
          <w:trHeight w:val="392"/>
        </w:trPr>
        <w:tc>
          <w:tcPr>
            <w:tcW w:w="704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7040" w:type="dxa"/>
            <w:vAlign w:val="bottom"/>
          </w:tcPr>
          <w:p>
            <w:pPr>
              <w:jc w:val="right"/>
              <w:ind w:right="3795"/>
              <w:spacing w:after="0"/>
              <w:rPr>
                <w:sz w:val="20"/>
                <w:szCs w:val="20"/>
                <w:color w:val="auto"/>
              </w:rPr>
            </w:pPr>
            <w:r>
              <w:rPr>
                <w:rFonts w:ascii="Courier New" w:cs="Courier New" w:eastAsia="Courier New" w:hAnsi="Courier New"/>
                <w:sz w:val="17"/>
                <w:szCs w:val="17"/>
                <w:color w:val="auto"/>
              </w:rPr>
              <w:t>Common stock par value $1.00,</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7040" w:type="dxa"/>
            <w:vAlign w:val="bottom"/>
          </w:tcPr>
          <w:p>
            <w:pPr>
              <w:ind w:left="420"/>
              <w:spacing w:after="0"/>
              <w:rPr>
                <w:sz w:val="20"/>
                <w:szCs w:val="20"/>
                <w:color w:val="auto"/>
              </w:rPr>
            </w:pPr>
            <w:r>
              <w:rPr>
                <w:rFonts w:ascii="Courier New" w:cs="Courier New" w:eastAsia="Courier New" w:hAnsi="Courier New"/>
                <w:sz w:val="17"/>
                <w:szCs w:val="17"/>
                <w:color w:val="auto"/>
              </w:rPr>
              <w:t>authorized 35,000,000 shares; issued and</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7040" w:type="dxa"/>
            <w:vAlign w:val="bottom"/>
          </w:tcPr>
          <w:p>
            <w:pPr>
              <w:ind w:left="420"/>
              <w:spacing w:after="0"/>
              <w:rPr>
                <w:sz w:val="20"/>
                <w:szCs w:val="20"/>
                <w:color w:val="auto"/>
              </w:rPr>
            </w:pPr>
            <w:r>
              <w:rPr>
                <w:rFonts w:ascii="Courier New" w:cs="Courier New" w:eastAsia="Courier New" w:hAnsi="Courier New"/>
                <w:sz w:val="17"/>
                <w:szCs w:val="17"/>
                <w:color w:val="auto"/>
              </w:rPr>
              <w:t>outstanding 12,466,881 shares at January 28,</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7040" w:type="dxa"/>
            <w:vAlign w:val="bottom"/>
          </w:tcPr>
          <w:p>
            <w:pPr>
              <w:ind w:left="420"/>
              <w:spacing w:after="0"/>
              <w:rPr>
                <w:sz w:val="20"/>
                <w:szCs w:val="20"/>
                <w:color w:val="auto"/>
              </w:rPr>
            </w:pPr>
            <w:r>
              <w:rPr>
                <w:rFonts w:ascii="Courier New" w:cs="Courier New" w:eastAsia="Courier New" w:hAnsi="Courier New"/>
                <w:sz w:val="17"/>
                <w:szCs w:val="17"/>
                <w:color w:val="auto"/>
              </w:rPr>
              <w:t>1994 (net of 110,992 treasury shares),</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7040" w:type="dxa"/>
            <w:vAlign w:val="bottom"/>
          </w:tcPr>
          <w:p>
            <w:pPr>
              <w:ind w:left="420"/>
              <w:spacing w:after="0"/>
              <w:rPr>
                <w:sz w:val="20"/>
                <w:szCs w:val="20"/>
                <w:color w:val="auto"/>
              </w:rPr>
            </w:pPr>
            <w:r>
              <w:rPr>
                <w:rFonts w:ascii="Courier New" w:cs="Courier New" w:eastAsia="Courier New" w:hAnsi="Courier New"/>
                <w:sz w:val="17"/>
                <w:szCs w:val="17"/>
                <w:color w:val="auto"/>
              </w:rPr>
              <w:t>12,091,295 shares at January 29, 1993</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7040" w:type="dxa"/>
            <w:vAlign w:val="bottom"/>
          </w:tcPr>
          <w:p>
            <w:pPr>
              <w:ind w:left="420"/>
              <w:spacing w:after="0"/>
              <w:rPr>
                <w:sz w:val="20"/>
                <w:szCs w:val="20"/>
                <w:color w:val="auto"/>
              </w:rPr>
            </w:pPr>
            <w:r>
              <w:rPr>
                <w:rFonts w:ascii="Courier New" w:cs="Courier New" w:eastAsia="Courier New" w:hAnsi="Courier New"/>
                <w:sz w:val="17"/>
                <w:szCs w:val="17"/>
                <w:color w:val="auto"/>
              </w:rPr>
              <w:t>(net of 486,578 treasury shares), and</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7040" w:type="dxa"/>
            <w:vAlign w:val="bottom"/>
          </w:tcPr>
          <w:p>
            <w:pPr>
              <w:ind w:left="420"/>
              <w:spacing w:after="0"/>
              <w:rPr>
                <w:sz w:val="20"/>
                <w:szCs w:val="20"/>
                <w:color w:val="auto"/>
              </w:rPr>
            </w:pPr>
            <w:r>
              <w:rPr>
                <w:rFonts w:ascii="Courier New" w:cs="Courier New" w:eastAsia="Courier New" w:hAnsi="Courier New"/>
                <w:sz w:val="17"/>
                <w:szCs w:val="17"/>
                <w:color w:val="auto"/>
              </w:rPr>
              <w:t>12,270,404 shares at July 31, 1993 (net</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70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of 307,469 treasury shares)  . . . . . . . . . . . . . . . . . .</w:t>
            </w:r>
          </w:p>
        </w:tc>
        <w:tc>
          <w:tcPr>
            <w:tcW w:w="200" w:type="dxa"/>
            <w:vAlign w:val="bottom"/>
          </w:tcPr>
          <w:p>
            <w:pPr>
              <w:spacing w:after="0"/>
              <w:rPr>
                <w:sz w:val="17"/>
                <w:szCs w:val="17"/>
                <w:color w:val="auto"/>
              </w:rPr>
            </w:pPr>
          </w:p>
        </w:tc>
        <w:tc>
          <w:tcPr>
            <w:tcW w:w="13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12,467</w:t>
            </w:r>
          </w:p>
        </w:tc>
        <w:tc>
          <w:tcPr>
            <w:tcW w:w="20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12,091</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12,270</w:t>
            </w:r>
          </w:p>
        </w:tc>
      </w:tr>
      <w:tr>
        <w:trPr>
          <w:trHeight w:val="196"/>
        </w:trPr>
        <w:tc>
          <w:tcPr>
            <w:tcW w:w="70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Additional paid-in capital . . . . . . . . . . . . . . . . . . . .</w:t>
            </w:r>
          </w:p>
        </w:tc>
        <w:tc>
          <w:tcPr>
            <w:tcW w:w="200" w:type="dxa"/>
            <w:vAlign w:val="bottom"/>
          </w:tcPr>
          <w:p>
            <w:pPr>
              <w:spacing w:after="0"/>
              <w:rPr>
                <w:sz w:val="17"/>
                <w:szCs w:val="17"/>
                <w:color w:val="auto"/>
              </w:rPr>
            </w:pPr>
          </w:p>
        </w:tc>
        <w:tc>
          <w:tcPr>
            <w:tcW w:w="13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47,374</w:t>
            </w:r>
          </w:p>
        </w:tc>
        <w:tc>
          <w:tcPr>
            <w:tcW w:w="20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42,808</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44,898</w:t>
            </w:r>
          </w:p>
        </w:tc>
      </w:tr>
      <w:tr>
        <w:trPr>
          <w:trHeight w:val="196"/>
        </w:trPr>
        <w:tc>
          <w:tcPr>
            <w:tcW w:w="70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Retained earnings  . . . . . . . . . . . . . . . . . . . . . . . .</w:t>
            </w:r>
          </w:p>
        </w:tc>
        <w:tc>
          <w:tcPr>
            <w:tcW w:w="200" w:type="dxa"/>
            <w:vAlign w:val="bottom"/>
          </w:tcPr>
          <w:p>
            <w:pPr>
              <w:spacing w:after="0"/>
              <w:rPr>
                <w:sz w:val="17"/>
                <w:szCs w:val="17"/>
                <w:color w:val="auto"/>
              </w:rPr>
            </w:pPr>
          </w:p>
        </w:tc>
        <w:tc>
          <w:tcPr>
            <w:tcW w:w="13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93,063</w:t>
            </w:r>
          </w:p>
        </w:tc>
        <w:tc>
          <w:tcPr>
            <w:tcW w:w="20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81,019</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93,451</w:t>
            </w:r>
          </w:p>
        </w:tc>
      </w:tr>
      <w:tr>
        <w:trPr>
          <w:trHeight w:val="196"/>
        </w:trPr>
        <w:tc>
          <w:tcPr>
            <w:tcW w:w="70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Foreign currency translation adjustment  . . . . . . . . . . . . .</w:t>
            </w:r>
          </w:p>
        </w:tc>
        <w:tc>
          <w:tcPr>
            <w:tcW w:w="200" w:type="dxa"/>
            <w:vAlign w:val="bottom"/>
          </w:tcPr>
          <w:p>
            <w:pPr>
              <w:spacing w:after="0"/>
              <w:rPr>
                <w:sz w:val="17"/>
                <w:szCs w:val="17"/>
                <w:color w:val="auto"/>
              </w:rPr>
            </w:pPr>
          </w:p>
        </w:tc>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(787)</w:t>
            </w:r>
          </w:p>
        </w:tc>
        <w:tc>
          <w:tcPr>
            <w:tcW w:w="200" w:type="dxa"/>
            <w:vAlign w:val="bottom"/>
          </w:tcPr>
          <w:p>
            <w:pPr>
              <w:spacing w:after="0"/>
              <w:rPr>
                <w:sz w:val="17"/>
                <w:szCs w:val="17"/>
                <w:color w:val="auto"/>
              </w:rPr>
            </w:pPr>
          </w:p>
        </w:tc>
        <w:tc>
          <w:tcPr>
            <w:tcW w:w="1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(1,208)</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(795)</w:t>
            </w:r>
          </w:p>
        </w:tc>
      </w:tr>
      <w:tr>
        <w:trPr>
          <w:trHeight w:val="196"/>
        </w:trPr>
        <w:tc>
          <w:tcPr>
            <w:tcW w:w="7040" w:type="dxa"/>
            <w:vAlign w:val="bottom"/>
          </w:tcPr>
          <w:p>
            <w:pPr>
              <w:spacing w:after="0"/>
              <w:rPr>
                <w:sz w:val="17"/>
                <w:szCs w:val="17"/>
                <w:color w:val="auto"/>
              </w:rPr>
            </w:pP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152,117</w:t>
            </w:r>
          </w:p>
        </w:tc>
        <w:tc>
          <w:tcPr>
            <w:tcW w:w="20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134,710</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149,824</w:t>
            </w:r>
          </w:p>
        </w:tc>
      </w:tr>
      <w:tr>
        <w:trPr>
          <w:trHeight w:val="196"/>
        </w:trPr>
        <w:tc>
          <w:tcPr>
            <w:tcW w:w="70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Receivable from ESOP . . . . . . . . . . . . . . . . . . . . . . .</w:t>
            </w:r>
          </w:p>
        </w:tc>
        <w:tc>
          <w:tcPr>
            <w:tcW w:w="200" w:type="dxa"/>
            <w:vAlign w:val="bottom"/>
          </w:tcPr>
          <w:p>
            <w:pPr>
              <w:spacing w:after="0"/>
              <w:rPr>
                <w:sz w:val="17"/>
                <w:szCs w:val="17"/>
                <w:color w:val="auto"/>
              </w:rPr>
            </w:pPr>
          </w:p>
        </w:tc>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(5,223)</w:t>
            </w:r>
          </w:p>
        </w:tc>
        <w:tc>
          <w:tcPr>
            <w:tcW w:w="200" w:type="dxa"/>
            <w:vAlign w:val="bottom"/>
          </w:tcPr>
          <w:p>
            <w:pPr>
              <w:spacing w:after="0"/>
              <w:rPr>
                <w:sz w:val="17"/>
                <w:szCs w:val="17"/>
                <w:color w:val="auto"/>
              </w:rPr>
            </w:pPr>
          </w:p>
        </w:tc>
        <w:tc>
          <w:tcPr>
            <w:tcW w:w="1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(7,834)</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(5,223)</w:t>
            </w:r>
          </w:p>
        </w:tc>
      </w:tr>
      <w:tr>
        <w:trPr>
          <w:trHeight w:val="196"/>
        </w:trPr>
        <w:tc>
          <w:tcPr>
            <w:tcW w:w="7040" w:type="dxa"/>
            <w:vAlign w:val="bottom"/>
          </w:tcPr>
          <w:p>
            <w:pPr>
              <w:spacing w:after="0"/>
              <w:rPr>
                <w:sz w:val="17"/>
                <w:szCs w:val="17"/>
                <w:color w:val="auto"/>
              </w:rPr>
            </w:pP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0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common stockholders' equity. . . . . . . . . . . . . . . . .</w:t>
            </w:r>
          </w:p>
        </w:tc>
        <w:tc>
          <w:tcPr>
            <w:tcW w:w="200" w:type="dxa"/>
            <w:vAlign w:val="bottom"/>
          </w:tcPr>
          <w:p>
            <w:pPr>
              <w:spacing w:after="0"/>
              <w:rPr>
                <w:sz w:val="17"/>
                <w:szCs w:val="17"/>
                <w:color w:val="auto"/>
              </w:rPr>
            </w:pPr>
          </w:p>
        </w:tc>
        <w:tc>
          <w:tcPr>
            <w:tcW w:w="13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146,894</w:t>
            </w:r>
          </w:p>
        </w:tc>
        <w:tc>
          <w:tcPr>
            <w:tcW w:w="20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126,876</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144,601</w:t>
            </w:r>
          </w:p>
        </w:tc>
      </w:tr>
      <w:tr>
        <w:trPr>
          <w:trHeight w:val="196"/>
        </w:trPr>
        <w:tc>
          <w:tcPr>
            <w:tcW w:w="7040" w:type="dxa"/>
            <w:vAlign w:val="bottom"/>
          </w:tcPr>
          <w:p>
            <w:pPr>
              <w:spacing w:after="0"/>
              <w:rPr>
                <w:sz w:val="17"/>
                <w:szCs w:val="17"/>
                <w:color w:val="auto"/>
              </w:rPr>
            </w:pP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0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liabilities and stockholders' equity . . . . . . . . .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451,932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438,488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419,203</w:t>
            </w:r>
          </w:p>
        </w:tc>
      </w:tr>
      <w:tr>
        <w:trPr>
          <w:trHeight w:val="196"/>
        </w:trPr>
        <w:tc>
          <w:tcPr>
            <w:tcW w:w="7040" w:type="dxa"/>
            <w:vAlign w:val="bottom"/>
          </w:tcPr>
          <w:p>
            <w:pPr>
              <w:spacing w:after="0"/>
              <w:rPr>
                <w:sz w:val="17"/>
                <w:szCs w:val="17"/>
                <w:color w:val="auto"/>
              </w:rPr>
            </w:pP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040" w:type="dxa"/>
            <w:vAlign w:val="bottom"/>
          </w:tcPr>
          <w:p>
            <w:pPr>
              <w:spacing w:after="0"/>
              <w:rPr>
                <w:sz w:val="17"/>
                <w:szCs w:val="17"/>
                <w:color w:val="auto"/>
              </w:rPr>
            </w:pP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condensed consolidated financial statements.</w:t>
      </w:r>
    </w:p>
    <w:p>
      <w:pPr>
        <w:spacing w:after="0" w:line="200" w:lineRule="exact"/>
        <w:rPr>
          <w:sz w:val="20"/>
          <w:szCs w:val="20"/>
          <w:color w:val="auto"/>
        </w:rPr>
      </w:pPr>
    </w:p>
    <w:p>
      <w:pPr>
        <w:spacing w:after="0" w:line="3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1520"/>
          </w:cols>
          <w:pgMar w:left="240" w:top="899" w:right="139" w:bottom="663" w:gutter="0" w:footer="0" w:header="0"/>
        </w:sectPr>
      </w:pPr>
    </w:p>
    <w:bookmarkStart w:id="3" w:name="page4"/>
    <w:bookmarkEnd w:id="3"/>
    <w:p>
      <w:pPr>
        <w:ind w:left="2460"/>
        <w:spacing w:after="0"/>
        <w:rPr>
          <w:sz w:val="20"/>
          <w:szCs w:val="20"/>
          <w:color w:val="auto"/>
        </w:rPr>
      </w:pPr>
      <w:r>
        <w:rPr>
          <w:rFonts w:ascii="Courier New" w:cs="Courier New" w:eastAsia="Courier New" w:hAnsi="Courier New"/>
          <w:sz w:val="17"/>
          <w:szCs w:val="17"/>
          <w:color w:val="auto"/>
        </w:rPr>
        <w:t>THE TORO COMPANY AND SUBSIDIARIES</w:t>
      </w:r>
    </w:p>
    <w:p>
      <w:pPr>
        <w:spacing w:after="0" w:line="4"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CONDENSED CONSOLIDATED STATEMENTS OF</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OPERATIONS AND RETAINED EARNINGS (UNAUDITED)</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(DOLLARS IN THOUSANDS, EXCEPT PER-SHARE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20" w:type="dxa"/>
            <w:vAlign w:val="bottom"/>
          </w:tcPr>
          <w:p>
            <w:pPr>
              <w:spacing w:after="0"/>
              <w:rPr>
                <w:sz w:val="16"/>
                <w:szCs w:val="16"/>
                <w:color w:val="auto"/>
              </w:rPr>
            </w:pPr>
          </w:p>
        </w:tc>
        <w:tc>
          <w:tcPr>
            <w:tcW w:w="2600" w:type="dxa"/>
            <w:vAlign w:val="bottom"/>
            <w:gridSpan w:val="3"/>
          </w:tcPr>
          <w:p>
            <w:pPr>
              <w:jc w:val="right"/>
              <w:ind w:right="575"/>
              <w:spacing w:after="0"/>
              <w:rPr>
                <w:sz w:val="20"/>
                <w:szCs w:val="20"/>
                <w:color w:val="auto"/>
              </w:rPr>
            </w:pPr>
            <w:r>
              <w:rPr>
                <w:rFonts w:ascii="Courier New" w:cs="Courier New" w:eastAsia="Courier New" w:hAnsi="Courier New"/>
                <w:sz w:val="17"/>
                <w:szCs w:val="17"/>
                <w:color w:val="auto"/>
              </w:rPr>
              <w:t>Three Months Ended</w:t>
            </w:r>
          </w:p>
        </w:tc>
        <w:tc>
          <w:tcPr>
            <w:tcW w:w="360" w:type="dxa"/>
            <w:vAlign w:val="bottom"/>
          </w:tcPr>
          <w:p>
            <w:pPr>
              <w:spacing w:after="0"/>
              <w:rPr>
                <w:sz w:val="16"/>
                <w:szCs w:val="16"/>
                <w:color w:val="auto"/>
              </w:rPr>
            </w:pPr>
          </w:p>
        </w:tc>
        <w:tc>
          <w:tcPr>
            <w:tcW w:w="2560" w:type="dxa"/>
            <w:vAlign w:val="bottom"/>
            <w:gridSpan w:val="3"/>
          </w:tcPr>
          <w:p>
            <w:pPr>
              <w:jc w:val="right"/>
              <w:ind w:right="535"/>
              <w:spacing w:after="0"/>
              <w:rPr>
                <w:sz w:val="20"/>
                <w:szCs w:val="20"/>
                <w:color w:val="auto"/>
              </w:rPr>
            </w:pPr>
            <w:r>
              <w:rPr>
                <w:rFonts w:ascii="Courier New" w:cs="Courier New" w:eastAsia="Courier New" w:hAnsi="Courier New"/>
                <w:sz w:val="17"/>
                <w:szCs w:val="17"/>
                <w:color w:val="auto"/>
              </w:rPr>
              <w:t>Six Months Ended</w:t>
            </w:r>
          </w:p>
        </w:tc>
      </w:tr>
      <w:tr>
        <w:trPr>
          <w:trHeight w:val="196"/>
        </w:trPr>
        <w:tc>
          <w:tcPr>
            <w:tcW w:w="7000" w:type="dxa"/>
            <w:vAlign w:val="bottom"/>
            <w:gridSpan w:val="2"/>
          </w:tcPr>
          <w:p>
            <w:pPr>
              <w:ind w:left="5620"/>
              <w:spacing w:after="0"/>
              <w:rPr>
                <w:sz w:val="20"/>
                <w:szCs w:val="20"/>
                <w:color w:val="auto"/>
              </w:rPr>
            </w:pPr>
            <w:r>
              <w:rPr>
                <w:rFonts w:ascii="Courier New" w:cs="Courier New" w:eastAsia="Courier New" w:hAnsi="Courier New"/>
                <w:sz w:val="12"/>
                <w:szCs w:val="12"/>
                <w:color w:val="auto"/>
                <w:w w:val="72"/>
              </w:rPr>
              <w:t>--------------------------</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920" w:type="dxa"/>
            <w:vAlign w:val="bottom"/>
            <w:gridSpan w:val="4"/>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7000" w:type="dxa"/>
            <w:vAlign w:val="bottom"/>
            <w:gridSpan w:val="2"/>
          </w:tcPr>
          <w:p>
            <w:pPr>
              <w:ind w:left="5620"/>
              <w:spacing w:after="0"/>
              <w:rPr>
                <w:sz w:val="20"/>
                <w:szCs w:val="20"/>
                <w:color w:val="auto"/>
              </w:rPr>
            </w:pPr>
            <w:r>
              <w:rPr>
                <w:rFonts w:ascii="Courier New" w:cs="Courier New" w:eastAsia="Courier New" w:hAnsi="Courier New"/>
                <w:sz w:val="17"/>
                <w:szCs w:val="17"/>
                <w:color w:val="auto"/>
              </w:rPr>
              <w:t>January 28,</w:t>
            </w:r>
          </w:p>
        </w:tc>
        <w:tc>
          <w:tcPr>
            <w:tcW w:w="15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January 29,</w:t>
            </w:r>
          </w:p>
        </w:tc>
        <w:tc>
          <w:tcPr>
            <w:tcW w:w="15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January 28,</w:t>
            </w:r>
          </w:p>
        </w:tc>
        <w:tc>
          <w:tcPr>
            <w:tcW w:w="138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January 29,</w:t>
            </w:r>
          </w:p>
        </w:tc>
      </w:tr>
      <w:tr>
        <w:trPr>
          <w:trHeight w:val="196"/>
        </w:trPr>
        <w:tc>
          <w:tcPr>
            <w:tcW w:w="5920" w:type="dxa"/>
            <w:vAlign w:val="bottom"/>
          </w:tcPr>
          <w:p>
            <w:pPr>
              <w:spacing w:after="0"/>
              <w:rPr>
                <w:sz w:val="17"/>
                <w:szCs w:val="17"/>
                <w:color w:val="auto"/>
              </w:rPr>
            </w:pPr>
          </w:p>
        </w:tc>
        <w:tc>
          <w:tcPr>
            <w:tcW w:w="1080" w:type="dxa"/>
            <w:vAlign w:val="bottom"/>
          </w:tcPr>
          <w:p>
            <w:pPr>
              <w:jc w:val="right"/>
              <w:ind w:right="575"/>
              <w:spacing w:after="0"/>
              <w:rPr>
                <w:sz w:val="20"/>
                <w:szCs w:val="20"/>
                <w:color w:val="auto"/>
              </w:rPr>
            </w:pPr>
            <w:r>
              <w:rPr>
                <w:rFonts w:ascii="Courier New" w:cs="Courier New" w:eastAsia="Courier New" w:hAnsi="Courier New"/>
                <w:sz w:val="17"/>
                <w:szCs w:val="17"/>
                <w:color w:val="auto"/>
                <w:w w:val="97"/>
              </w:rPr>
              <w:t>1994</w:t>
            </w:r>
          </w:p>
        </w:tc>
        <w:tc>
          <w:tcPr>
            <w:tcW w:w="360" w:type="dxa"/>
            <w:vAlign w:val="bottom"/>
          </w:tcPr>
          <w:p>
            <w:pPr>
              <w:spacing w:after="0"/>
              <w:rPr>
                <w:sz w:val="17"/>
                <w:szCs w:val="17"/>
                <w:color w:val="auto"/>
              </w:rPr>
            </w:pPr>
          </w:p>
        </w:tc>
        <w:tc>
          <w:tcPr>
            <w:tcW w:w="116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1993</w:t>
            </w:r>
          </w:p>
        </w:tc>
        <w:tc>
          <w:tcPr>
            <w:tcW w:w="360" w:type="dxa"/>
            <w:vAlign w:val="bottom"/>
          </w:tcPr>
          <w:p>
            <w:pPr>
              <w:spacing w:after="0"/>
              <w:rPr>
                <w:sz w:val="17"/>
                <w:szCs w:val="17"/>
                <w:color w:val="auto"/>
              </w:rPr>
            </w:pPr>
          </w:p>
        </w:tc>
        <w:tc>
          <w:tcPr>
            <w:tcW w:w="11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1994</w:t>
            </w:r>
          </w:p>
        </w:tc>
        <w:tc>
          <w:tcPr>
            <w:tcW w:w="360" w:type="dxa"/>
            <w:vAlign w:val="bottom"/>
          </w:tcPr>
          <w:p>
            <w:pPr>
              <w:spacing w:after="0"/>
              <w:rPr>
                <w:sz w:val="17"/>
                <w:szCs w:val="17"/>
                <w:color w:val="auto"/>
              </w:rPr>
            </w:pPr>
          </w:p>
        </w:tc>
        <w:tc>
          <w:tcPr>
            <w:tcW w:w="10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1993</w:t>
            </w:r>
          </w:p>
        </w:tc>
      </w:tr>
      <w:tr>
        <w:trPr>
          <w:trHeight w:val="196"/>
        </w:trPr>
        <w:tc>
          <w:tcPr>
            <w:tcW w:w="700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392"/>
        </w:trPr>
        <w:tc>
          <w:tcPr>
            <w:tcW w:w="5920" w:type="dxa"/>
            <w:vAlign w:val="bottom"/>
          </w:tcPr>
          <w:p>
            <w:pPr>
              <w:spacing w:after="0"/>
              <w:rPr>
                <w:sz w:val="20"/>
                <w:szCs w:val="20"/>
                <w:color w:val="auto"/>
              </w:rPr>
            </w:pPr>
            <w:r>
              <w:rPr>
                <w:rFonts w:ascii="Courier New" w:cs="Courier New" w:eastAsia="Courier New" w:hAnsi="Courier New"/>
                <w:sz w:val="17"/>
                <w:szCs w:val="17"/>
                <w:color w:val="auto"/>
              </w:rPr>
              <w:t>Net sales. . . . . . . . . . . . . . . . . . . . . . . $</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189,413</w:t>
            </w:r>
          </w:p>
        </w:tc>
        <w:tc>
          <w:tcPr>
            <w:tcW w:w="36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153,172</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325,174</w:t>
            </w:r>
          </w:p>
        </w:tc>
        <w:tc>
          <w:tcPr>
            <w:tcW w:w="36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266,615</w:t>
            </w:r>
          </w:p>
        </w:tc>
      </w:tr>
      <w:tr>
        <w:trPr>
          <w:trHeight w:val="1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Cost of sales. . . . . . . . . . . . . . . . . . . . .</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122,826</w:t>
            </w:r>
          </w:p>
        </w:tc>
        <w:tc>
          <w:tcPr>
            <w:tcW w:w="360" w:type="dxa"/>
            <w:vAlign w:val="bottom"/>
          </w:tcPr>
          <w:p>
            <w:pPr>
              <w:spacing w:after="0"/>
              <w:rPr>
                <w:sz w:val="17"/>
                <w:szCs w:val="17"/>
                <w:color w:val="auto"/>
              </w:rPr>
            </w:pPr>
          </w:p>
        </w:tc>
        <w:tc>
          <w:tcPr>
            <w:tcW w:w="11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99,463</w:t>
            </w:r>
          </w:p>
        </w:tc>
        <w:tc>
          <w:tcPr>
            <w:tcW w:w="36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209,552</w:t>
            </w:r>
          </w:p>
        </w:tc>
        <w:tc>
          <w:tcPr>
            <w:tcW w:w="360" w:type="dxa"/>
            <w:vAlign w:val="bottom"/>
          </w:tcPr>
          <w:p>
            <w:pPr>
              <w:spacing w:after="0"/>
              <w:rPr>
                <w:sz w:val="17"/>
                <w:szCs w:val="17"/>
                <w:color w:val="auto"/>
              </w:rPr>
            </w:pPr>
          </w:p>
        </w:tc>
        <w:tc>
          <w:tcPr>
            <w:tcW w:w="10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174,018</w:t>
            </w:r>
          </w:p>
        </w:tc>
      </w:tr>
      <w:tr>
        <w:trPr>
          <w:trHeight w:val="196"/>
        </w:trPr>
        <w:tc>
          <w:tcPr>
            <w:tcW w:w="700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5920" w:type="dxa"/>
            <w:vAlign w:val="bottom"/>
          </w:tcPr>
          <w:p>
            <w:pPr>
              <w:ind w:left="520"/>
              <w:spacing w:after="0"/>
              <w:rPr>
                <w:sz w:val="20"/>
                <w:szCs w:val="20"/>
                <w:color w:val="auto"/>
              </w:rPr>
            </w:pPr>
            <w:r>
              <w:rPr>
                <w:rFonts w:ascii="Courier New" w:cs="Courier New" w:eastAsia="Courier New" w:hAnsi="Courier New"/>
                <w:sz w:val="17"/>
                <w:szCs w:val="17"/>
                <w:color w:val="auto"/>
              </w:rPr>
              <w:t>Gross profit. . . . . . . . . . . . . . . . . . .</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66,587</w:t>
            </w:r>
          </w:p>
        </w:tc>
        <w:tc>
          <w:tcPr>
            <w:tcW w:w="360" w:type="dxa"/>
            <w:vAlign w:val="bottom"/>
          </w:tcPr>
          <w:p>
            <w:pPr>
              <w:spacing w:after="0"/>
              <w:rPr>
                <w:sz w:val="17"/>
                <w:szCs w:val="17"/>
                <w:color w:val="auto"/>
              </w:rPr>
            </w:pPr>
          </w:p>
        </w:tc>
        <w:tc>
          <w:tcPr>
            <w:tcW w:w="11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53,709</w:t>
            </w:r>
          </w:p>
        </w:tc>
        <w:tc>
          <w:tcPr>
            <w:tcW w:w="36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115,622</w:t>
            </w:r>
          </w:p>
        </w:tc>
        <w:tc>
          <w:tcPr>
            <w:tcW w:w="360" w:type="dxa"/>
            <w:vAlign w:val="bottom"/>
          </w:tcPr>
          <w:p>
            <w:pPr>
              <w:spacing w:after="0"/>
              <w:rPr>
                <w:sz w:val="17"/>
                <w:szCs w:val="17"/>
                <w:color w:val="auto"/>
              </w:rPr>
            </w:pPr>
          </w:p>
        </w:tc>
        <w:tc>
          <w:tcPr>
            <w:tcW w:w="10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92,597</w:t>
            </w:r>
          </w:p>
        </w:tc>
      </w:tr>
      <w:tr>
        <w:trPr>
          <w:trHeight w:val="1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w:t>
            </w: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5920" w:type="dxa"/>
            <w:vAlign w:val="bottom"/>
          </w:tcPr>
          <w:p>
            <w:pPr>
              <w:ind w:left="520"/>
              <w:spacing w:after="0"/>
              <w:rPr>
                <w:sz w:val="20"/>
                <w:szCs w:val="20"/>
                <w:color w:val="auto"/>
              </w:rPr>
            </w:pPr>
            <w:r>
              <w:rPr>
                <w:rFonts w:ascii="Courier New" w:cs="Courier New" w:eastAsia="Courier New" w:hAnsi="Courier New"/>
                <w:sz w:val="17"/>
                <w:szCs w:val="17"/>
                <w:color w:val="auto"/>
              </w:rPr>
              <w:t>expense . . . . . . . . . . . . . . . . . . . . .</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56,805</w:t>
            </w:r>
          </w:p>
        </w:tc>
        <w:tc>
          <w:tcPr>
            <w:tcW w:w="360" w:type="dxa"/>
            <w:vAlign w:val="bottom"/>
          </w:tcPr>
          <w:p>
            <w:pPr>
              <w:spacing w:after="0"/>
              <w:rPr>
                <w:sz w:val="17"/>
                <w:szCs w:val="17"/>
                <w:color w:val="auto"/>
              </w:rPr>
            </w:pPr>
          </w:p>
        </w:tc>
        <w:tc>
          <w:tcPr>
            <w:tcW w:w="11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47,727</w:t>
            </w:r>
          </w:p>
        </w:tc>
        <w:tc>
          <w:tcPr>
            <w:tcW w:w="36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108,801</w:t>
            </w:r>
          </w:p>
        </w:tc>
        <w:tc>
          <w:tcPr>
            <w:tcW w:w="360" w:type="dxa"/>
            <w:vAlign w:val="bottom"/>
          </w:tcPr>
          <w:p>
            <w:pPr>
              <w:spacing w:after="0"/>
              <w:rPr>
                <w:sz w:val="17"/>
                <w:szCs w:val="17"/>
                <w:color w:val="auto"/>
              </w:rPr>
            </w:pPr>
          </w:p>
        </w:tc>
        <w:tc>
          <w:tcPr>
            <w:tcW w:w="10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90,636</w:t>
            </w:r>
          </w:p>
        </w:tc>
      </w:tr>
      <w:tr>
        <w:trPr>
          <w:trHeight w:val="196"/>
        </w:trPr>
        <w:tc>
          <w:tcPr>
            <w:tcW w:w="700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5920" w:type="dxa"/>
            <w:vAlign w:val="bottom"/>
          </w:tcPr>
          <w:p>
            <w:pPr>
              <w:ind w:left="520"/>
              <w:spacing w:after="0"/>
              <w:rPr>
                <w:sz w:val="20"/>
                <w:szCs w:val="20"/>
                <w:color w:val="auto"/>
              </w:rPr>
            </w:pPr>
            <w:r>
              <w:rPr>
                <w:rFonts w:ascii="Courier New" w:cs="Courier New" w:eastAsia="Courier New" w:hAnsi="Courier New"/>
                <w:sz w:val="17"/>
                <w:szCs w:val="17"/>
                <w:color w:val="auto"/>
              </w:rPr>
              <w:t>Earnings from operations. . . . . . . . . . . . .</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9,782</w:t>
            </w:r>
          </w:p>
        </w:tc>
        <w:tc>
          <w:tcPr>
            <w:tcW w:w="360" w:type="dxa"/>
            <w:vAlign w:val="bottom"/>
          </w:tcPr>
          <w:p>
            <w:pPr>
              <w:spacing w:after="0"/>
              <w:rPr>
                <w:sz w:val="17"/>
                <w:szCs w:val="17"/>
                <w:color w:val="auto"/>
              </w:rPr>
            </w:pPr>
          </w:p>
        </w:tc>
        <w:tc>
          <w:tcPr>
            <w:tcW w:w="11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5,982</w:t>
            </w:r>
          </w:p>
        </w:tc>
        <w:tc>
          <w:tcPr>
            <w:tcW w:w="36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6,821</w:t>
            </w:r>
          </w:p>
        </w:tc>
        <w:tc>
          <w:tcPr>
            <w:tcW w:w="360" w:type="dxa"/>
            <w:vAlign w:val="bottom"/>
          </w:tcPr>
          <w:p>
            <w:pPr>
              <w:spacing w:after="0"/>
              <w:rPr>
                <w:sz w:val="17"/>
                <w:szCs w:val="17"/>
                <w:color w:val="auto"/>
              </w:rPr>
            </w:pPr>
          </w:p>
        </w:tc>
        <w:tc>
          <w:tcPr>
            <w:tcW w:w="10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1,961</w:t>
            </w:r>
          </w:p>
        </w:tc>
      </w:tr>
      <w:tr>
        <w:trPr>
          <w:trHeight w:val="1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Interest expense . . . . . . . . . . . . . . . . . . .</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3,210</w:t>
            </w:r>
          </w:p>
        </w:tc>
        <w:tc>
          <w:tcPr>
            <w:tcW w:w="360" w:type="dxa"/>
            <w:vAlign w:val="bottom"/>
          </w:tcPr>
          <w:p>
            <w:pPr>
              <w:spacing w:after="0"/>
              <w:rPr>
                <w:sz w:val="17"/>
                <w:szCs w:val="17"/>
                <w:color w:val="auto"/>
              </w:rPr>
            </w:pPr>
          </w:p>
        </w:tc>
        <w:tc>
          <w:tcPr>
            <w:tcW w:w="11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4,226</w:t>
            </w:r>
          </w:p>
        </w:tc>
        <w:tc>
          <w:tcPr>
            <w:tcW w:w="36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6,548</w:t>
            </w:r>
          </w:p>
        </w:tc>
        <w:tc>
          <w:tcPr>
            <w:tcW w:w="360" w:type="dxa"/>
            <w:vAlign w:val="bottom"/>
          </w:tcPr>
          <w:p>
            <w:pPr>
              <w:spacing w:after="0"/>
              <w:rPr>
                <w:sz w:val="17"/>
                <w:szCs w:val="17"/>
                <w:color w:val="auto"/>
              </w:rPr>
            </w:pPr>
          </w:p>
        </w:tc>
        <w:tc>
          <w:tcPr>
            <w:tcW w:w="10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8,410</w:t>
            </w:r>
          </w:p>
        </w:tc>
      </w:tr>
      <w:tr>
        <w:trPr>
          <w:trHeight w:val="1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Other income, net. . . . . . . . . . . . . . . . . . .</w:t>
            </w: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(889)</w:t>
            </w:r>
          </w:p>
        </w:tc>
        <w:tc>
          <w:tcPr>
            <w:tcW w:w="36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(1,173)</w:t>
            </w:r>
          </w:p>
        </w:tc>
        <w:tc>
          <w:tcPr>
            <w:tcW w:w="360" w:type="dxa"/>
            <w:vAlign w:val="bottom"/>
          </w:tcPr>
          <w:p>
            <w:pPr>
              <w:spacing w:after="0"/>
              <w:rPr>
                <w:sz w:val="17"/>
                <w:szCs w:val="17"/>
                <w:color w:val="auto"/>
              </w:rPr>
            </w:pP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(4,030)</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(2,707)</w:t>
            </w:r>
          </w:p>
        </w:tc>
      </w:tr>
      <w:tr>
        <w:trPr>
          <w:trHeight w:val="196"/>
        </w:trPr>
        <w:tc>
          <w:tcPr>
            <w:tcW w:w="700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5920" w:type="dxa"/>
            <w:vAlign w:val="bottom"/>
          </w:tcPr>
          <w:p>
            <w:pPr>
              <w:ind w:left="520"/>
              <w:spacing w:after="0"/>
              <w:rPr>
                <w:sz w:val="20"/>
                <w:szCs w:val="20"/>
                <w:color w:val="auto"/>
              </w:rPr>
            </w:pPr>
            <w:r>
              <w:rPr>
                <w:rFonts w:ascii="Courier New" w:cs="Courier New" w:eastAsia="Courier New" w:hAnsi="Courier New"/>
                <w:sz w:val="17"/>
                <w:szCs w:val="17"/>
                <w:color w:val="auto"/>
              </w:rPr>
              <w:t>Earnings (loss) before income taxes . . . . . . .</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7,461</w:t>
            </w:r>
          </w:p>
        </w:tc>
        <w:tc>
          <w:tcPr>
            <w:tcW w:w="360" w:type="dxa"/>
            <w:vAlign w:val="bottom"/>
          </w:tcPr>
          <w:p>
            <w:pPr>
              <w:spacing w:after="0"/>
              <w:rPr>
                <w:sz w:val="17"/>
                <w:szCs w:val="17"/>
                <w:color w:val="auto"/>
              </w:rPr>
            </w:pPr>
          </w:p>
        </w:tc>
        <w:tc>
          <w:tcPr>
            <w:tcW w:w="11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2,929</w:t>
            </w:r>
          </w:p>
        </w:tc>
        <w:tc>
          <w:tcPr>
            <w:tcW w:w="36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4,303</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(3,742)</w:t>
            </w:r>
          </w:p>
        </w:tc>
      </w:tr>
      <w:tr>
        <w:trPr>
          <w:trHeight w:val="1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Provision (benefit) for income taxes . . . . . . . . .</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2,984</w:t>
            </w:r>
          </w:p>
        </w:tc>
        <w:tc>
          <w:tcPr>
            <w:tcW w:w="360" w:type="dxa"/>
            <w:vAlign w:val="bottom"/>
          </w:tcPr>
          <w:p>
            <w:pPr>
              <w:spacing w:after="0"/>
              <w:rPr>
                <w:sz w:val="17"/>
                <w:szCs w:val="17"/>
                <w:color w:val="auto"/>
              </w:rPr>
            </w:pPr>
          </w:p>
        </w:tc>
        <w:tc>
          <w:tcPr>
            <w:tcW w:w="11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1,113</w:t>
            </w:r>
          </w:p>
        </w:tc>
        <w:tc>
          <w:tcPr>
            <w:tcW w:w="36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1,721</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(1,422)</w:t>
            </w:r>
          </w:p>
        </w:tc>
      </w:tr>
      <w:tr>
        <w:trPr>
          <w:trHeight w:val="196"/>
        </w:trPr>
        <w:tc>
          <w:tcPr>
            <w:tcW w:w="700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5920" w:type="dxa"/>
            <w:vAlign w:val="bottom"/>
          </w:tcPr>
          <w:p>
            <w:pPr>
              <w:ind w:left="520"/>
              <w:spacing w:after="0"/>
              <w:rPr>
                <w:sz w:val="20"/>
                <w:szCs w:val="20"/>
                <w:color w:val="auto"/>
              </w:rPr>
            </w:pPr>
            <w:r>
              <w:rPr>
                <w:rFonts w:ascii="Courier New" w:cs="Courier New" w:eastAsia="Courier New" w:hAnsi="Courier New"/>
                <w:sz w:val="17"/>
                <w:szCs w:val="17"/>
                <w:color w:val="auto"/>
              </w:rPr>
              <w:t>Net earnings (loss) . . . . . . . . . . . . . . . $</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4,477</w:t>
            </w:r>
          </w:p>
        </w:tc>
        <w:tc>
          <w:tcPr>
            <w:tcW w:w="36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1,816</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2,582</w:t>
            </w:r>
          </w:p>
        </w:tc>
        <w:tc>
          <w:tcPr>
            <w:tcW w:w="36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(2,320)</w:t>
            </w:r>
          </w:p>
        </w:tc>
      </w:tr>
      <w:tr>
        <w:trPr>
          <w:trHeight w:val="196"/>
        </w:trPr>
        <w:tc>
          <w:tcPr>
            <w:tcW w:w="700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700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785"/>
        </w:trPr>
        <w:tc>
          <w:tcPr>
            <w:tcW w:w="5920" w:type="dxa"/>
            <w:vAlign w:val="bottom"/>
          </w:tcPr>
          <w:p>
            <w:pPr>
              <w:spacing w:after="0"/>
              <w:rPr>
                <w:sz w:val="20"/>
                <w:szCs w:val="20"/>
                <w:color w:val="auto"/>
              </w:rPr>
            </w:pPr>
            <w:r>
              <w:rPr>
                <w:rFonts w:ascii="Courier New" w:cs="Courier New" w:eastAsia="Courier New" w:hAnsi="Courier New"/>
                <w:sz w:val="17"/>
                <w:szCs w:val="17"/>
                <w:color w:val="auto"/>
              </w:rPr>
              <w:t>Retained earnings at beginning of period . . . . . . .</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90,078</w:t>
            </w:r>
          </w:p>
        </w:tc>
        <w:tc>
          <w:tcPr>
            <w:tcW w:w="360" w:type="dxa"/>
            <w:vAlign w:val="bottom"/>
          </w:tcPr>
          <w:p>
            <w:pPr>
              <w:spacing w:after="0"/>
              <w:rPr>
                <w:sz w:val="24"/>
                <w:szCs w:val="24"/>
                <w:color w:val="auto"/>
              </w:rPr>
            </w:pPr>
          </w:p>
        </w:tc>
        <w:tc>
          <w:tcPr>
            <w:tcW w:w="11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80,654</w:t>
            </w:r>
          </w:p>
        </w:tc>
        <w:tc>
          <w:tcPr>
            <w:tcW w:w="360" w:type="dxa"/>
            <w:vAlign w:val="bottom"/>
          </w:tcPr>
          <w:p>
            <w:pPr>
              <w:spacing w:after="0"/>
              <w:rPr>
                <w:sz w:val="24"/>
                <w:szCs w:val="24"/>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93,451</w:t>
            </w:r>
          </w:p>
        </w:tc>
        <w:tc>
          <w:tcPr>
            <w:tcW w:w="36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86,235</w:t>
            </w:r>
          </w:p>
        </w:tc>
      </w:tr>
      <w:tr>
        <w:trPr>
          <w:trHeight w:val="1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Dividends on common stock of $0.12, $0.12,</w:t>
            </w: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5920" w:type="dxa"/>
            <w:vAlign w:val="bottom"/>
          </w:tcPr>
          <w:p>
            <w:pPr>
              <w:ind w:left="520"/>
              <w:spacing w:after="0"/>
              <w:rPr>
                <w:sz w:val="20"/>
                <w:szCs w:val="20"/>
                <w:color w:val="auto"/>
              </w:rPr>
            </w:pPr>
            <w:r>
              <w:rPr>
                <w:rFonts w:ascii="Courier New" w:cs="Courier New" w:eastAsia="Courier New" w:hAnsi="Courier New"/>
                <w:sz w:val="17"/>
                <w:szCs w:val="17"/>
                <w:color w:val="auto"/>
              </w:rPr>
              <w:t>$0.24 and $0.24 per share, respectively . . . . .</w:t>
            </w: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(1,492)</w:t>
            </w:r>
          </w:p>
        </w:tc>
        <w:tc>
          <w:tcPr>
            <w:tcW w:w="36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(1,451)</w:t>
            </w:r>
          </w:p>
        </w:tc>
        <w:tc>
          <w:tcPr>
            <w:tcW w:w="360" w:type="dxa"/>
            <w:vAlign w:val="bottom"/>
          </w:tcPr>
          <w:p>
            <w:pPr>
              <w:spacing w:after="0"/>
              <w:rPr>
                <w:sz w:val="17"/>
                <w:szCs w:val="17"/>
                <w:color w:val="auto"/>
              </w:rPr>
            </w:pP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(2,970)</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(2,896)</w:t>
            </w:r>
          </w:p>
        </w:tc>
      </w:tr>
      <w:tr>
        <w:trPr>
          <w:trHeight w:val="196"/>
        </w:trPr>
        <w:tc>
          <w:tcPr>
            <w:tcW w:w="700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Retained earnings at end of period . . . . . . . . . . $</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93,063</w:t>
            </w:r>
          </w:p>
        </w:tc>
        <w:tc>
          <w:tcPr>
            <w:tcW w:w="36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81,019</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93,063</w:t>
            </w:r>
          </w:p>
        </w:tc>
        <w:tc>
          <w:tcPr>
            <w:tcW w:w="36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81,019</w:t>
            </w:r>
          </w:p>
        </w:tc>
      </w:tr>
      <w:tr>
        <w:trPr>
          <w:trHeight w:val="196"/>
        </w:trPr>
        <w:tc>
          <w:tcPr>
            <w:tcW w:w="700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700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392"/>
        </w:trPr>
        <w:tc>
          <w:tcPr>
            <w:tcW w:w="5920" w:type="dxa"/>
            <w:vAlign w:val="bottom"/>
          </w:tcPr>
          <w:p>
            <w:pPr>
              <w:spacing w:after="0"/>
              <w:rPr>
                <w:sz w:val="20"/>
                <w:szCs w:val="20"/>
                <w:color w:val="auto"/>
              </w:rPr>
            </w:pPr>
            <w:r>
              <w:rPr>
                <w:rFonts w:ascii="Courier New" w:cs="Courier New" w:eastAsia="Courier New" w:hAnsi="Courier New"/>
                <w:sz w:val="17"/>
                <w:szCs w:val="17"/>
                <w:color w:val="auto"/>
              </w:rPr>
              <w:t>Net earnings (loss) per common and common</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5920" w:type="dxa"/>
            <w:vAlign w:val="bottom"/>
          </w:tcPr>
          <w:p>
            <w:pPr>
              <w:ind w:left="520"/>
              <w:spacing w:after="0"/>
              <w:rPr>
                <w:sz w:val="20"/>
                <w:szCs w:val="20"/>
                <w:color w:val="auto"/>
              </w:rPr>
            </w:pPr>
            <w:r>
              <w:rPr>
                <w:rFonts w:ascii="Courier New" w:cs="Courier New" w:eastAsia="Courier New" w:hAnsi="Courier New"/>
                <w:sz w:val="17"/>
                <w:szCs w:val="17"/>
                <w:color w:val="auto"/>
              </w:rPr>
              <w:t>share equivalent: . . . . . . . . . . . . . . . . $</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0.35</w:t>
            </w:r>
          </w:p>
        </w:tc>
        <w:tc>
          <w:tcPr>
            <w:tcW w:w="36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0.15</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0.20</w:t>
            </w:r>
          </w:p>
        </w:tc>
        <w:tc>
          <w:tcPr>
            <w:tcW w:w="36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(0.19)</w:t>
            </w:r>
          </w:p>
        </w:tc>
      </w:tr>
      <w:tr>
        <w:trPr>
          <w:trHeight w:val="196"/>
        </w:trPr>
        <w:tc>
          <w:tcPr>
            <w:tcW w:w="700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700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condensed consolidated financial statements.</w:t>
      </w:r>
    </w:p>
    <w:p>
      <w:pPr>
        <w:spacing w:after="0" w:line="200" w:lineRule="exact"/>
        <w:rPr>
          <w:sz w:val="20"/>
          <w:szCs w:val="20"/>
          <w:color w:val="auto"/>
        </w:rPr>
      </w:pPr>
    </w:p>
    <w:p>
      <w:pPr>
        <w:spacing w:after="0" w:line="3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1440"/>
          </w:cols>
          <w:pgMar w:left="240" w:top="899" w:right="219" w:bottom="1440" w:gutter="0" w:footer="0" w:header="0"/>
        </w:sectPr>
      </w:pPr>
    </w:p>
    <w:bookmarkStart w:id="4" w:name="page5"/>
    <w:bookmarkEnd w:id="4"/>
    <w:p>
      <w:pPr>
        <w:jc w:val="center"/>
        <w:ind w:right="3040"/>
        <w:spacing w:after="0"/>
        <w:rPr>
          <w:sz w:val="20"/>
          <w:szCs w:val="20"/>
          <w:color w:val="auto"/>
        </w:rPr>
      </w:pPr>
      <w:r>
        <w:rPr>
          <w:rFonts w:ascii="Courier New" w:cs="Courier New" w:eastAsia="Courier New" w:hAnsi="Courier New"/>
          <w:sz w:val="17"/>
          <w:szCs w:val="17"/>
          <w:color w:val="auto"/>
        </w:rPr>
        <w:t>THE TORO COMPANY AND SUBSIDIARIES</w:t>
      </w:r>
    </w:p>
    <w:p>
      <w:pPr>
        <w:spacing w:after="0" w:line="4" w:lineRule="exact"/>
        <w:rPr>
          <w:sz w:val="20"/>
          <w:szCs w:val="20"/>
          <w:color w:val="auto"/>
        </w:rPr>
      </w:pPr>
    </w:p>
    <w:p>
      <w:pPr>
        <w:jc w:val="center"/>
        <w:ind w:right="3040"/>
        <w:spacing w:after="0"/>
        <w:rPr>
          <w:sz w:val="20"/>
          <w:szCs w:val="20"/>
          <w:color w:val="auto"/>
        </w:rPr>
      </w:pPr>
      <w:r>
        <w:rPr>
          <w:rFonts w:ascii="Courier New" w:cs="Courier New" w:eastAsia="Courier New" w:hAnsi="Courier New"/>
          <w:sz w:val="17"/>
          <w:szCs w:val="17"/>
          <w:color w:val="auto"/>
        </w:rPr>
        <w:t>CONSOLIDATED STATEMENTS OF CASH FLOWS (UNAUDITED)</w:t>
      </w:r>
    </w:p>
    <w:p>
      <w:pPr>
        <w:spacing w:after="0" w:line="4"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7"/>
          <w:szCs w:val="17"/>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980"/>
        <w:spacing w:after="0"/>
        <w:rPr>
          <w:sz w:val="20"/>
          <w:szCs w:val="20"/>
          <w:color w:val="auto"/>
        </w:rPr>
      </w:pPr>
      <w:r>
        <w:rPr>
          <w:rFonts w:ascii="Courier New" w:cs="Courier New" w:eastAsia="Courier New" w:hAnsi="Courier New"/>
          <w:sz w:val="17"/>
          <w:szCs w:val="17"/>
          <w:color w:val="auto"/>
        </w:rPr>
        <w:t>Six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60" w:type="dxa"/>
            <w:vAlign w:val="bottom"/>
          </w:tcPr>
          <w:p>
            <w:pPr>
              <w:spacing w:after="0"/>
              <w:rPr>
                <w:sz w:val="16"/>
                <w:szCs w:val="16"/>
                <w:color w:val="auto"/>
              </w:rPr>
            </w:pPr>
          </w:p>
        </w:tc>
        <w:tc>
          <w:tcPr>
            <w:tcW w:w="3260" w:type="dxa"/>
            <w:vAlign w:val="bottom"/>
            <w:gridSpan w:val="4"/>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806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January 28,</w:t>
            </w:r>
          </w:p>
        </w:tc>
        <w:tc>
          <w:tcPr>
            <w:tcW w:w="158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January 29,</w:t>
            </w:r>
          </w:p>
        </w:tc>
      </w:tr>
      <w:tr>
        <w:trPr>
          <w:trHeight w:val="196"/>
        </w:trPr>
        <w:tc>
          <w:tcPr>
            <w:tcW w:w="8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1994</w:t>
            </w:r>
          </w:p>
        </w:tc>
        <w:tc>
          <w:tcPr>
            <w:tcW w:w="560" w:type="dxa"/>
            <w:vAlign w:val="bottom"/>
          </w:tcPr>
          <w:p>
            <w:pPr>
              <w:spacing w:after="0"/>
              <w:rPr>
                <w:sz w:val="17"/>
                <w:szCs w:val="17"/>
                <w:color w:val="auto"/>
              </w:rPr>
            </w:pPr>
          </w:p>
        </w:tc>
        <w:tc>
          <w:tcPr>
            <w:tcW w:w="10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1993</w:t>
            </w:r>
          </w:p>
        </w:tc>
      </w:tr>
      <w:tr>
        <w:trPr>
          <w:trHeight w:val="196"/>
        </w:trPr>
        <w:tc>
          <w:tcPr>
            <w:tcW w:w="8060" w:type="dxa"/>
            <w:vAlign w:val="bottom"/>
          </w:tcPr>
          <w:p>
            <w:pPr>
              <w:spacing w:after="0"/>
              <w:rPr>
                <w:sz w:val="17"/>
                <w:szCs w:val="17"/>
                <w:color w:val="auto"/>
              </w:rPr>
            </w:pPr>
          </w:p>
        </w:tc>
        <w:tc>
          <w:tcPr>
            <w:tcW w:w="168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806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8060" w:type="dxa"/>
            <w:vAlign w:val="bottom"/>
          </w:tcPr>
          <w:p>
            <w:pPr>
              <w:spacing w:after="0"/>
              <w:rPr>
                <w:sz w:val="20"/>
                <w:szCs w:val="20"/>
                <w:color w:val="auto"/>
              </w:rPr>
            </w:pPr>
            <w:r>
              <w:rPr>
                <w:rFonts w:ascii="Courier New" w:cs="Courier New" w:eastAsia="Courier New" w:hAnsi="Courier New"/>
                <w:sz w:val="17"/>
                <w:szCs w:val="17"/>
                <w:color w:val="auto"/>
              </w:rPr>
              <w:t>Net income (loss). . . . . . . . . . . . . . . . . . . . . . . . . . . . . . .</w:t>
            </w:r>
          </w:p>
        </w:tc>
        <w:tc>
          <w:tcPr>
            <w:tcW w:w="3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2,582</w:t>
            </w:r>
          </w:p>
        </w:tc>
        <w:tc>
          <w:tcPr>
            <w:tcW w:w="56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(2,320)</w:t>
            </w:r>
          </w:p>
        </w:tc>
      </w:tr>
      <w:tr>
        <w:trPr>
          <w:trHeight w:val="196"/>
        </w:trPr>
        <w:tc>
          <w:tcPr>
            <w:tcW w:w="8060" w:type="dxa"/>
            <w:vAlign w:val="bottom"/>
          </w:tcPr>
          <w:p>
            <w:pPr>
              <w:ind w:left="420"/>
              <w:spacing w:after="0"/>
              <w:rPr>
                <w:sz w:val="20"/>
                <w:szCs w:val="20"/>
                <w:color w:val="auto"/>
              </w:rPr>
            </w:pPr>
            <w:r>
              <w:rPr>
                <w:rFonts w:ascii="Courier New" w:cs="Courier New" w:eastAsia="Courier New" w:hAnsi="Courier New"/>
                <w:sz w:val="17"/>
                <w:szCs w:val="17"/>
                <w:color w:val="auto"/>
              </w:rPr>
              <w:t>Adjustments to reconcile net income (loss) to net cash</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060" w:type="dxa"/>
            <w:vAlign w:val="bottom"/>
          </w:tcPr>
          <w:p>
            <w:pPr>
              <w:jc w:val="right"/>
              <w:ind w:right="4395"/>
              <w:spacing w:after="0"/>
              <w:rPr>
                <w:sz w:val="20"/>
                <w:szCs w:val="20"/>
                <w:color w:val="auto"/>
              </w:rPr>
            </w:pPr>
            <w:r>
              <w:rPr>
                <w:rFonts w:ascii="Courier New" w:cs="Courier New" w:eastAsia="Courier New" w:hAnsi="Courier New"/>
                <w:sz w:val="17"/>
                <w:szCs w:val="17"/>
                <w:color w:val="auto"/>
              </w:rPr>
              <w:t>used in operating activities:</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Provision for depreciation and amortization. . . . . . . . . . . . . . . .</w:t>
            </w:r>
          </w:p>
        </w:tc>
        <w:tc>
          <w:tcPr>
            <w:tcW w:w="320" w:type="dxa"/>
            <w:vAlign w:val="bottom"/>
          </w:tcPr>
          <w:p>
            <w:pPr>
              <w:spacing w:after="0"/>
              <w:rPr>
                <w:sz w:val="17"/>
                <w:szCs w:val="17"/>
                <w:color w:val="auto"/>
              </w:rPr>
            </w:pPr>
          </w:p>
        </w:tc>
        <w:tc>
          <w:tcPr>
            <w:tcW w:w="13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8,543</w:t>
            </w:r>
          </w:p>
        </w:tc>
        <w:tc>
          <w:tcPr>
            <w:tcW w:w="5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9,155</w:t>
            </w:r>
          </w:p>
        </w:tc>
      </w:tr>
      <w:tr>
        <w:trPr>
          <w:trHeight w:val="196"/>
        </w:trPr>
        <w:tc>
          <w:tcPr>
            <w:tcW w:w="8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Provision for deferred income tax benefit. . . . . . . . . . . . . . . . .</w:t>
            </w:r>
          </w:p>
        </w:tc>
        <w:tc>
          <w:tcPr>
            <w:tcW w:w="320" w:type="dxa"/>
            <w:vAlign w:val="bottom"/>
          </w:tcPr>
          <w:p>
            <w:pPr>
              <w:spacing w:after="0"/>
              <w:rPr>
                <w:sz w:val="17"/>
                <w:szCs w:val="17"/>
                <w:color w:val="auto"/>
              </w:rPr>
            </w:pPr>
          </w:p>
        </w:tc>
        <w:tc>
          <w:tcPr>
            <w:tcW w:w="13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(614)</w:t>
            </w:r>
          </w:p>
        </w:tc>
        <w:tc>
          <w:tcPr>
            <w:tcW w:w="5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8060" w:type="dxa"/>
            <w:vAlign w:val="bottom"/>
          </w:tcPr>
          <w:p>
            <w:pPr>
              <w:ind w:left="420"/>
              <w:spacing w:after="0"/>
              <w:rPr>
                <w:sz w:val="20"/>
                <w:szCs w:val="20"/>
                <w:color w:val="auto"/>
              </w:rPr>
            </w:pPr>
            <w:r>
              <w:rPr>
                <w:rFonts w:ascii="Courier New" w:cs="Courier New" w:eastAsia="Courier New" w:hAnsi="Courier New"/>
                <w:sz w:val="17"/>
                <w:szCs w:val="17"/>
                <w:color w:val="auto"/>
              </w:rPr>
              <w:t>Changes in operating assets and liabilities:</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Receivables (net) . . . . . . . . . . . . . . . . . . . . . . . . . . .</w:t>
            </w:r>
          </w:p>
        </w:tc>
        <w:tc>
          <w:tcPr>
            <w:tcW w:w="320" w:type="dxa"/>
            <w:vAlign w:val="bottom"/>
          </w:tcPr>
          <w:p>
            <w:pPr>
              <w:spacing w:after="0"/>
              <w:rPr>
                <w:sz w:val="17"/>
                <w:szCs w:val="17"/>
                <w:color w:val="auto"/>
              </w:rPr>
            </w:pPr>
          </w:p>
        </w:tc>
        <w:tc>
          <w:tcPr>
            <w:tcW w:w="13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(41,890)</w:t>
            </w:r>
          </w:p>
        </w:tc>
        <w:tc>
          <w:tcPr>
            <w:tcW w:w="5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732</w:t>
            </w:r>
          </w:p>
        </w:tc>
      </w:tr>
      <w:tr>
        <w:trPr>
          <w:trHeight w:val="196"/>
        </w:trPr>
        <w:tc>
          <w:tcPr>
            <w:tcW w:w="8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Inventories . . . . . . . . . . . . . . . . . . . . . . . . . . . . . .</w:t>
            </w:r>
          </w:p>
        </w:tc>
        <w:tc>
          <w:tcPr>
            <w:tcW w:w="320" w:type="dxa"/>
            <w:vAlign w:val="bottom"/>
          </w:tcPr>
          <w:p>
            <w:pPr>
              <w:spacing w:after="0"/>
              <w:rPr>
                <w:sz w:val="17"/>
                <w:szCs w:val="17"/>
                <w:color w:val="auto"/>
              </w:rPr>
            </w:pPr>
          </w:p>
        </w:tc>
        <w:tc>
          <w:tcPr>
            <w:tcW w:w="13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(49,769)</w:t>
            </w: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(45,432)</w:t>
            </w:r>
          </w:p>
        </w:tc>
      </w:tr>
      <w:tr>
        <w:trPr>
          <w:trHeight w:val="196"/>
        </w:trPr>
        <w:tc>
          <w:tcPr>
            <w:tcW w:w="8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Prepaid expenses. . . . . . . . . . . . . . . . . . . . . . . . . . . .</w:t>
            </w:r>
          </w:p>
        </w:tc>
        <w:tc>
          <w:tcPr>
            <w:tcW w:w="320" w:type="dxa"/>
            <w:vAlign w:val="bottom"/>
          </w:tcPr>
          <w:p>
            <w:pPr>
              <w:spacing w:after="0"/>
              <w:rPr>
                <w:sz w:val="17"/>
                <w:szCs w:val="17"/>
                <w:color w:val="auto"/>
              </w:rPr>
            </w:pPr>
          </w:p>
        </w:tc>
        <w:tc>
          <w:tcPr>
            <w:tcW w:w="13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(748)</w:t>
            </w:r>
          </w:p>
        </w:tc>
        <w:tc>
          <w:tcPr>
            <w:tcW w:w="5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477</w:t>
            </w:r>
          </w:p>
        </w:tc>
      </w:tr>
      <w:tr>
        <w:trPr>
          <w:trHeight w:val="196"/>
        </w:trPr>
        <w:tc>
          <w:tcPr>
            <w:tcW w:w="8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Payables and accruals . . . . . . . . . . . . . . . . . . . . . . . . .</w:t>
            </w:r>
          </w:p>
        </w:tc>
        <w:tc>
          <w:tcPr>
            <w:tcW w:w="320" w:type="dxa"/>
            <w:vAlign w:val="bottom"/>
          </w:tcPr>
          <w:p>
            <w:pPr>
              <w:spacing w:after="0"/>
              <w:rPr>
                <w:sz w:val="17"/>
                <w:szCs w:val="17"/>
                <w:color w:val="auto"/>
              </w:rPr>
            </w:pPr>
          </w:p>
        </w:tc>
        <w:tc>
          <w:tcPr>
            <w:tcW w:w="13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21,074</w:t>
            </w:r>
          </w:p>
        </w:tc>
        <w:tc>
          <w:tcPr>
            <w:tcW w:w="5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10,301</w:t>
            </w:r>
          </w:p>
        </w:tc>
      </w:tr>
      <w:tr>
        <w:trPr>
          <w:trHeight w:val="196"/>
        </w:trPr>
        <w:tc>
          <w:tcPr>
            <w:tcW w:w="8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Accrued income taxes. . . . . . . . . . . . . . . . . . . . . . . . . .</w:t>
            </w:r>
          </w:p>
        </w:tc>
        <w:tc>
          <w:tcPr>
            <w:tcW w:w="320" w:type="dxa"/>
            <w:vAlign w:val="bottom"/>
          </w:tcPr>
          <w:p>
            <w:pPr>
              <w:spacing w:after="0"/>
              <w:rPr>
                <w:sz w:val="17"/>
                <w:szCs w:val="17"/>
                <w:color w:val="auto"/>
              </w:rPr>
            </w:pPr>
          </w:p>
        </w:tc>
        <w:tc>
          <w:tcPr>
            <w:tcW w:w="13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(385)</w:t>
            </w: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(2,385)</w:t>
            </w:r>
          </w:p>
        </w:tc>
      </w:tr>
      <w:tr>
        <w:trPr>
          <w:trHeight w:val="196"/>
        </w:trPr>
        <w:tc>
          <w:tcPr>
            <w:tcW w:w="8060" w:type="dxa"/>
            <w:vAlign w:val="bottom"/>
          </w:tcPr>
          <w:p>
            <w:pPr>
              <w:spacing w:after="0"/>
              <w:rPr>
                <w:sz w:val="17"/>
                <w:szCs w:val="17"/>
                <w:color w:val="auto"/>
              </w:rPr>
            </w:pPr>
          </w:p>
        </w:tc>
        <w:tc>
          <w:tcPr>
            <w:tcW w:w="168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8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Net cash used in operating activities . . . . . . . . . . . . . . . .</w:t>
            </w:r>
          </w:p>
        </w:tc>
        <w:tc>
          <w:tcPr>
            <w:tcW w:w="320" w:type="dxa"/>
            <w:vAlign w:val="bottom"/>
          </w:tcPr>
          <w:p>
            <w:pPr>
              <w:spacing w:after="0"/>
              <w:rPr>
                <w:sz w:val="17"/>
                <w:szCs w:val="17"/>
                <w:color w:val="auto"/>
              </w:rPr>
            </w:pPr>
          </w:p>
        </w:tc>
        <w:tc>
          <w:tcPr>
            <w:tcW w:w="13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(61,207)</w:t>
            </w: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(29,472)</w:t>
            </w:r>
          </w:p>
        </w:tc>
      </w:tr>
      <w:tr>
        <w:trPr>
          <w:trHeight w:val="196"/>
        </w:trPr>
        <w:tc>
          <w:tcPr>
            <w:tcW w:w="8060" w:type="dxa"/>
            <w:vAlign w:val="bottom"/>
          </w:tcPr>
          <w:p>
            <w:pPr>
              <w:spacing w:after="0"/>
              <w:rPr>
                <w:sz w:val="17"/>
                <w:szCs w:val="17"/>
                <w:color w:val="auto"/>
              </w:rPr>
            </w:pPr>
          </w:p>
        </w:tc>
        <w:tc>
          <w:tcPr>
            <w:tcW w:w="168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806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8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Purchases of property, plant and equipment . . . . . . . . . . . . . . . .</w:t>
            </w:r>
          </w:p>
        </w:tc>
        <w:tc>
          <w:tcPr>
            <w:tcW w:w="320" w:type="dxa"/>
            <w:vAlign w:val="bottom"/>
          </w:tcPr>
          <w:p>
            <w:pPr>
              <w:spacing w:after="0"/>
              <w:rPr>
                <w:sz w:val="17"/>
                <w:szCs w:val="17"/>
                <w:color w:val="auto"/>
              </w:rPr>
            </w:pPr>
          </w:p>
        </w:tc>
        <w:tc>
          <w:tcPr>
            <w:tcW w:w="13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(4,174)</w:t>
            </w: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(4,260)</w:t>
            </w:r>
          </w:p>
        </w:tc>
      </w:tr>
      <w:tr>
        <w:trPr>
          <w:trHeight w:val="196"/>
        </w:trPr>
        <w:tc>
          <w:tcPr>
            <w:tcW w:w="8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Proceeds from asset disposals. . . . . . . . . . . . . . . . . . . . . . .</w:t>
            </w:r>
          </w:p>
        </w:tc>
        <w:tc>
          <w:tcPr>
            <w:tcW w:w="320" w:type="dxa"/>
            <w:vAlign w:val="bottom"/>
          </w:tcPr>
          <w:p>
            <w:pPr>
              <w:spacing w:after="0"/>
              <w:rPr>
                <w:sz w:val="17"/>
                <w:szCs w:val="17"/>
                <w:color w:val="auto"/>
              </w:rPr>
            </w:pPr>
          </w:p>
        </w:tc>
        <w:tc>
          <w:tcPr>
            <w:tcW w:w="13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15</w:t>
            </w:r>
          </w:p>
        </w:tc>
        <w:tc>
          <w:tcPr>
            <w:tcW w:w="5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8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Increase in other assets . . . . . . . . . . . . . . . . . . . . . . . . .</w:t>
            </w:r>
          </w:p>
        </w:tc>
        <w:tc>
          <w:tcPr>
            <w:tcW w:w="320" w:type="dxa"/>
            <w:vAlign w:val="bottom"/>
          </w:tcPr>
          <w:p>
            <w:pPr>
              <w:spacing w:after="0"/>
              <w:rPr>
                <w:sz w:val="17"/>
                <w:szCs w:val="17"/>
                <w:color w:val="auto"/>
              </w:rPr>
            </w:pPr>
          </w:p>
        </w:tc>
        <w:tc>
          <w:tcPr>
            <w:tcW w:w="13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(3,948)</w:t>
            </w: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(630)</w:t>
            </w:r>
          </w:p>
        </w:tc>
      </w:tr>
      <w:tr>
        <w:trPr>
          <w:trHeight w:val="196"/>
        </w:trPr>
        <w:tc>
          <w:tcPr>
            <w:tcW w:w="8060" w:type="dxa"/>
            <w:vAlign w:val="bottom"/>
          </w:tcPr>
          <w:p>
            <w:pPr>
              <w:spacing w:after="0"/>
              <w:rPr>
                <w:sz w:val="17"/>
                <w:szCs w:val="17"/>
                <w:color w:val="auto"/>
              </w:rPr>
            </w:pPr>
          </w:p>
        </w:tc>
        <w:tc>
          <w:tcPr>
            <w:tcW w:w="168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8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Net cash used in investing activities . . . . . . . . . . . . . . . .</w:t>
            </w:r>
          </w:p>
        </w:tc>
        <w:tc>
          <w:tcPr>
            <w:tcW w:w="320" w:type="dxa"/>
            <w:vAlign w:val="bottom"/>
          </w:tcPr>
          <w:p>
            <w:pPr>
              <w:spacing w:after="0"/>
              <w:rPr>
                <w:sz w:val="17"/>
                <w:szCs w:val="17"/>
                <w:color w:val="auto"/>
              </w:rPr>
            </w:pPr>
          </w:p>
        </w:tc>
        <w:tc>
          <w:tcPr>
            <w:tcW w:w="13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(8,107)</w:t>
            </w: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(4,890)</w:t>
            </w:r>
          </w:p>
        </w:tc>
      </w:tr>
      <w:tr>
        <w:trPr>
          <w:trHeight w:val="196"/>
        </w:trPr>
        <w:tc>
          <w:tcPr>
            <w:tcW w:w="8060" w:type="dxa"/>
            <w:vAlign w:val="bottom"/>
          </w:tcPr>
          <w:p>
            <w:pPr>
              <w:spacing w:after="0"/>
              <w:rPr>
                <w:sz w:val="17"/>
                <w:szCs w:val="17"/>
                <w:color w:val="auto"/>
              </w:rPr>
            </w:pPr>
          </w:p>
        </w:tc>
        <w:tc>
          <w:tcPr>
            <w:tcW w:w="168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806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8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Increase in short-term debt. . . . . . . . . . . . . . . . . . . . . . . .</w:t>
            </w:r>
          </w:p>
        </w:tc>
        <w:tc>
          <w:tcPr>
            <w:tcW w:w="320" w:type="dxa"/>
            <w:vAlign w:val="bottom"/>
          </w:tcPr>
          <w:p>
            <w:pPr>
              <w:spacing w:after="0"/>
              <w:rPr>
                <w:sz w:val="17"/>
                <w:szCs w:val="17"/>
                <w:color w:val="auto"/>
              </w:rPr>
            </w:pPr>
          </w:p>
        </w:tc>
        <w:tc>
          <w:tcPr>
            <w:tcW w:w="13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25,361</w:t>
            </w:r>
          </w:p>
        </w:tc>
        <w:tc>
          <w:tcPr>
            <w:tcW w:w="5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15,000</w:t>
            </w:r>
          </w:p>
        </w:tc>
      </w:tr>
      <w:tr>
        <w:trPr>
          <w:trHeight w:val="196"/>
        </w:trPr>
        <w:tc>
          <w:tcPr>
            <w:tcW w:w="8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Increase in sale of receivables. . . . . . . . . . . . . . . . . . . . . .</w:t>
            </w:r>
          </w:p>
        </w:tc>
        <w:tc>
          <w:tcPr>
            <w:tcW w:w="320" w:type="dxa"/>
            <w:vAlign w:val="bottom"/>
          </w:tcPr>
          <w:p>
            <w:pPr>
              <w:spacing w:after="0"/>
              <w:rPr>
                <w:sz w:val="17"/>
                <w:szCs w:val="17"/>
                <w:color w:val="auto"/>
              </w:rPr>
            </w:pPr>
          </w:p>
        </w:tc>
        <w:tc>
          <w:tcPr>
            <w:tcW w:w="13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6,590</w:t>
            </w:r>
          </w:p>
        </w:tc>
        <w:tc>
          <w:tcPr>
            <w:tcW w:w="5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1,973</w:t>
            </w:r>
          </w:p>
        </w:tc>
      </w:tr>
      <w:tr>
        <w:trPr>
          <w:trHeight w:val="196"/>
        </w:trPr>
        <w:tc>
          <w:tcPr>
            <w:tcW w:w="8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Repayments of long-term debt . . . . . . . . . . . . . . . . . . . . . . .</w:t>
            </w:r>
          </w:p>
        </w:tc>
        <w:tc>
          <w:tcPr>
            <w:tcW w:w="320" w:type="dxa"/>
            <w:vAlign w:val="bottom"/>
          </w:tcPr>
          <w:p>
            <w:pPr>
              <w:spacing w:after="0"/>
              <w:rPr>
                <w:sz w:val="17"/>
                <w:szCs w:val="17"/>
                <w:color w:val="auto"/>
              </w:rPr>
            </w:pPr>
          </w:p>
        </w:tc>
        <w:tc>
          <w:tcPr>
            <w:tcW w:w="13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(15,000)</w:t>
            </w:r>
          </w:p>
        </w:tc>
        <w:tc>
          <w:tcPr>
            <w:tcW w:w="5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8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Proceeds from sale of common stock . . . . . . . . . . . . . . . . . . . .</w:t>
            </w:r>
          </w:p>
        </w:tc>
        <w:tc>
          <w:tcPr>
            <w:tcW w:w="320" w:type="dxa"/>
            <w:vAlign w:val="bottom"/>
          </w:tcPr>
          <w:p>
            <w:pPr>
              <w:spacing w:after="0"/>
              <w:rPr>
                <w:sz w:val="17"/>
                <w:szCs w:val="17"/>
                <w:color w:val="auto"/>
              </w:rPr>
            </w:pPr>
          </w:p>
        </w:tc>
        <w:tc>
          <w:tcPr>
            <w:tcW w:w="13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3,587</w:t>
            </w:r>
          </w:p>
        </w:tc>
        <w:tc>
          <w:tcPr>
            <w:tcW w:w="5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686</w:t>
            </w:r>
          </w:p>
        </w:tc>
      </w:tr>
      <w:tr>
        <w:trPr>
          <w:trHeight w:val="196"/>
        </w:trPr>
        <w:tc>
          <w:tcPr>
            <w:tcW w:w="8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Purchases of common stock. . . . . . . . . . . . . . . . . . . . . . . . .</w:t>
            </w:r>
          </w:p>
        </w:tc>
        <w:tc>
          <w:tcPr>
            <w:tcW w:w="320" w:type="dxa"/>
            <w:vAlign w:val="bottom"/>
          </w:tcPr>
          <w:p>
            <w:pPr>
              <w:spacing w:after="0"/>
              <w:rPr>
                <w:sz w:val="17"/>
                <w:szCs w:val="17"/>
                <w:color w:val="auto"/>
              </w:rPr>
            </w:pPr>
          </w:p>
        </w:tc>
        <w:tc>
          <w:tcPr>
            <w:tcW w:w="13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(914)</w:t>
            </w:r>
          </w:p>
        </w:tc>
        <w:tc>
          <w:tcPr>
            <w:tcW w:w="5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8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Dividends on common stock. . . . . . . . . . . . . . . . . . . . . . . . .</w:t>
            </w:r>
          </w:p>
        </w:tc>
        <w:tc>
          <w:tcPr>
            <w:tcW w:w="320" w:type="dxa"/>
            <w:vAlign w:val="bottom"/>
          </w:tcPr>
          <w:p>
            <w:pPr>
              <w:spacing w:after="0"/>
              <w:rPr>
                <w:sz w:val="17"/>
                <w:szCs w:val="17"/>
                <w:color w:val="auto"/>
              </w:rPr>
            </w:pPr>
          </w:p>
        </w:tc>
        <w:tc>
          <w:tcPr>
            <w:tcW w:w="13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(2,970)</w:t>
            </w: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(2,896)</w:t>
            </w:r>
          </w:p>
        </w:tc>
      </w:tr>
      <w:tr>
        <w:trPr>
          <w:trHeight w:val="196"/>
        </w:trPr>
        <w:tc>
          <w:tcPr>
            <w:tcW w:w="8060" w:type="dxa"/>
            <w:vAlign w:val="bottom"/>
          </w:tcPr>
          <w:p>
            <w:pPr>
              <w:spacing w:after="0"/>
              <w:rPr>
                <w:sz w:val="17"/>
                <w:szCs w:val="17"/>
                <w:color w:val="auto"/>
              </w:rPr>
            </w:pPr>
          </w:p>
        </w:tc>
        <w:tc>
          <w:tcPr>
            <w:tcW w:w="168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8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Net cash provided by  financing activities. . . . . . . . . . . . . .</w:t>
            </w:r>
          </w:p>
        </w:tc>
        <w:tc>
          <w:tcPr>
            <w:tcW w:w="320" w:type="dxa"/>
            <w:vAlign w:val="bottom"/>
          </w:tcPr>
          <w:p>
            <w:pPr>
              <w:spacing w:after="0"/>
              <w:rPr>
                <w:sz w:val="17"/>
                <w:szCs w:val="17"/>
                <w:color w:val="auto"/>
              </w:rPr>
            </w:pPr>
          </w:p>
        </w:tc>
        <w:tc>
          <w:tcPr>
            <w:tcW w:w="13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16,654</w:t>
            </w:r>
          </w:p>
        </w:tc>
        <w:tc>
          <w:tcPr>
            <w:tcW w:w="5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14,763</w:t>
            </w:r>
          </w:p>
        </w:tc>
      </w:tr>
      <w:tr>
        <w:trPr>
          <w:trHeight w:val="196"/>
        </w:trPr>
        <w:tc>
          <w:tcPr>
            <w:tcW w:w="8060" w:type="dxa"/>
            <w:vAlign w:val="bottom"/>
          </w:tcPr>
          <w:p>
            <w:pPr>
              <w:spacing w:after="0"/>
              <w:rPr>
                <w:sz w:val="17"/>
                <w:szCs w:val="17"/>
                <w:color w:val="auto"/>
              </w:rPr>
            </w:pPr>
          </w:p>
        </w:tc>
        <w:tc>
          <w:tcPr>
            <w:tcW w:w="168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806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Foreign currency translation adjustment. . . . . . . . . . . . . . . . . . . .</w:t>
            </w:r>
          </w:p>
        </w:tc>
        <w:tc>
          <w:tcPr>
            <w:tcW w:w="320" w:type="dxa"/>
            <w:vAlign w:val="bottom"/>
          </w:tcPr>
          <w:p>
            <w:pPr>
              <w:spacing w:after="0"/>
              <w:rPr>
                <w:sz w:val="24"/>
                <w:szCs w:val="24"/>
                <w:color w:val="auto"/>
              </w:rPr>
            </w:pPr>
          </w:p>
        </w:tc>
        <w:tc>
          <w:tcPr>
            <w:tcW w:w="13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8</w:t>
            </w: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(1,208)</w:t>
            </w:r>
          </w:p>
        </w:tc>
      </w:tr>
      <w:tr>
        <w:trPr>
          <w:trHeight w:val="196"/>
        </w:trPr>
        <w:tc>
          <w:tcPr>
            <w:tcW w:w="8060" w:type="dxa"/>
            <w:vAlign w:val="bottom"/>
          </w:tcPr>
          <w:p>
            <w:pPr>
              <w:spacing w:after="0"/>
              <w:rPr>
                <w:sz w:val="17"/>
                <w:szCs w:val="17"/>
                <w:color w:val="auto"/>
              </w:rPr>
            </w:pPr>
          </w:p>
        </w:tc>
        <w:tc>
          <w:tcPr>
            <w:tcW w:w="168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806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Net decrease in cash . . . . . . . . . . . . . . . . . . . . . . . . . . . . .</w:t>
            </w:r>
          </w:p>
        </w:tc>
        <w:tc>
          <w:tcPr>
            <w:tcW w:w="320" w:type="dxa"/>
            <w:vAlign w:val="bottom"/>
          </w:tcPr>
          <w:p>
            <w:pPr>
              <w:spacing w:after="0"/>
              <w:rPr>
                <w:sz w:val="24"/>
                <w:szCs w:val="24"/>
                <w:color w:val="auto"/>
              </w:rPr>
            </w:pPr>
          </w:p>
        </w:tc>
        <w:tc>
          <w:tcPr>
            <w:tcW w:w="13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(52,652)</w:t>
            </w: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(20,807)</w:t>
            </w:r>
          </w:p>
        </w:tc>
      </w:tr>
      <w:tr>
        <w:trPr>
          <w:trHeight w:val="196"/>
        </w:trPr>
        <w:tc>
          <w:tcPr>
            <w:tcW w:w="806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Cash at beginning of period. . . . . . . . . . . . . . . . . . . . . . . . . .</w:t>
            </w:r>
          </w:p>
        </w:tc>
        <w:tc>
          <w:tcPr>
            <w:tcW w:w="320" w:type="dxa"/>
            <w:vAlign w:val="bottom"/>
          </w:tcPr>
          <w:p>
            <w:pPr>
              <w:spacing w:after="0"/>
              <w:rPr>
                <w:sz w:val="17"/>
                <w:szCs w:val="17"/>
                <w:color w:val="auto"/>
              </w:rPr>
            </w:pPr>
          </w:p>
        </w:tc>
        <w:tc>
          <w:tcPr>
            <w:tcW w:w="13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61,793</w:t>
            </w:r>
          </w:p>
        </w:tc>
        <w:tc>
          <w:tcPr>
            <w:tcW w:w="5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25,491</w:t>
            </w:r>
          </w:p>
        </w:tc>
      </w:tr>
      <w:tr>
        <w:trPr>
          <w:trHeight w:val="196"/>
        </w:trPr>
        <w:tc>
          <w:tcPr>
            <w:tcW w:w="8060" w:type="dxa"/>
            <w:vAlign w:val="bottom"/>
          </w:tcPr>
          <w:p>
            <w:pPr>
              <w:spacing w:after="0"/>
              <w:rPr>
                <w:sz w:val="17"/>
                <w:szCs w:val="17"/>
                <w:color w:val="auto"/>
              </w:rPr>
            </w:pPr>
          </w:p>
        </w:tc>
        <w:tc>
          <w:tcPr>
            <w:tcW w:w="168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806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Cash at end of period. . . . . . . . . . . . . . . . . . . . . . . . . . . . .</w:t>
            </w:r>
          </w:p>
        </w:tc>
        <w:tc>
          <w:tcPr>
            <w:tcW w:w="3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9,141</w:t>
            </w:r>
          </w:p>
        </w:tc>
        <w:tc>
          <w:tcPr>
            <w:tcW w:w="56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4,684</w:t>
            </w:r>
          </w:p>
        </w:tc>
      </w:tr>
      <w:tr>
        <w:trPr>
          <w:trHeight w:val="196"/>
        </w:trPr>
        <w:tc>
          <w:tcPr>
            <w:tcW w:w="8060" w:type="dxa"/>
            <w:vAlign w:val="bottom"/>
          </w:tcPr>
          <w:p>
            <w:pPr>
              <w:spacing w:after="0"/>
              <w:rPr>
                <w:sz w:val="17"/>
                <w:szCs w:val="17"/>
                <w:color w:val="auto"/>
              </w:rPr>
            </w:pPr>
          </w:p>
        </w:tc>
        <w:tc>
          <w:tcPr>
            <w:tcW w:w="168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8060" w:type="dxa"/>
            <w:vAlign w:val="bottom"/>
          </w:tcPr>
          <w:p>
            <w:pPr>
              <w:spacing w:after="0"/>
              <w:rPr>
                <w:sz w:val="17"/>
                <w:szCs w:val="17"/>
                <w:color w:val="auto"/>
              </w:rPr>
            </w:pPr>
          </w:p>
        </w:tc>
        <w:tc>
          <w:tcPr>
            <w:tcW w:w="168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condensed consolidated financial statements.</w:t>
      </w:r>
    </w:p>
    <w:p>
      <w:pPr>
        <w:spacing w:after="0" w:line="200" w:lineRule="exact"/>
        <w:rPr>
          <w:sz w:val="20"/>
          <w:szCs w:val="20"/>
          <w:color w:val="auto"/>
        </w:rPr>
      </w:pPr>
    </w:p>
    <w:p>
      <w:pPr>
        <w:spacing w:after="0" w:line="3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1320"/>
          </w:cols>
          <w:pgMar w:left="240" w:top="899" w:right="339" w:bottom="1440" w:gutter="0" w:footer="0" w:header="0"/>
        </w:sectPr>
      </w:pPr>
    </w:p>
    <w:bookmarkStart w:id="5" w:name="page6"/>
    <w:bookmarkEnd w:id="5"/>
    <w:p>
      <w:pPr>
        <w:jc w:val="center"/>
        <w:ind w:left="260" w:right="800"/>
        <w:spacing w:after="0" w:line="245" w:lineRule="auto"/>
        <w:rPr>
          <w:sz w:val="20"/>
          <w:szCs w:val="20"/>
          <w:color w:val="auto"/>
        </w:rPr>
      </w:pPr>
      <w:r>
        <w:rPr>
          <w:rFonts w:ascii="Courier New" w:cs="Courier New" w:eastAsia="Courier New" w:hAnsi="Courier New"/>
          <w:sz w:val="17"/>
          <w:szCs w:val="17"/>
          <w:color w:val="auto"/>
        </w:rPr>
        <w:t>THE TORO COMPANY AND SUBSIDIARIES NOTES TO CONDENSED CONSOLIDATED FINANCIAL STATEMENTS (UNAUDITED) JANUARY 28, 1994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15" w:hanging="515"/>
        <w:spacing w:after="0"/>
        <w:tabs>
          <w:tab w:leader="none" w:pos="51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BACKGROUND</w:t>
      </w:r>
    </w:p>
    <w:p>
      <w:pPr>
        <w:spacing w:after="0" w:line="4" w:lineRule="exact"/>
        <w:rPr>
          <w:rFonts w:ascii="Courier New" w:cs="Courier New" w:eastAsia="Courier New" w:hAnsi="Courier New"/>
          <w:sz w:val="17"/>
          <w:szCs w:val="17"/>
          <w:color w:val="auto"/>
        </w:rPr>
      </w:pPr>
    </w:p>
    <w:p>
      <w:pPr>
        <w:ind w:left="5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information furnished reflects all adjustments which, in the opinion of management, are necessary for a fair presentation of the interim periods. The Toro Company's business is seasonal. Operating results for the three months and six months ended January 28, 1994 are not necessarily indicative of the results that may be expected for the fiscal year ending July 31, 1994.</w:t>
      </w:r>
    </w:p>
    <w:p>
      <w:pPr>
        <w:spacing w:after="0" w:line="198" w:lineRule="exact"/>
        <w:rPr>
          <w:rFonts w:ascii="Courier New" w:cs="Courier New" w:eastAsia="Courier New" w:hAnsi="Courier New"/>
          <w:sz w:val="17"/>
          <w:szCs w:val="17"/>
          <w:color w:val="auto"/>
        </w:rPr>
      </w:pPr>
    </w:p>
    <w:p>
      <w:pPr>
        <w:ind w:left="515" w:right="22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These statements should be read in conjunction with the financial statements and footnotes included in the Company's Annual Report for the year ended July 31, 1993. The policies described in that report are used in preparing quarterly reports.</w:t>
      </w:r>
    </w:p>
    <w:p>
      <w:pPr>
        <w:spacing w:after="0" w:line="196" w:lineRule="exact"/>
        <w:rPr>
          <w:rFonts w:ascii="Courier New" w:cs="Courier New" w:eastAsia="Courier New" w:hAnsi="Courier New"/>
          <w:sz w:val="17"/>
          <w:szCs w:val="17"/>
          <w:color w:val="auto"/>
        </w:rPr>
      </w:pPr>
    </w:p>
    <w:p>
      <w:pPr>
        <w:ind w:left="515" w:hanging="515"/>
        <w:spacing w:after="0"/>
        <w:tabs>
          <w:tab w:leader="none" w:pos="51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INVENTORIES</w:t>
      </w:r>
    </w:p>
    <w:p>
      <w:pPr>
        <w:spacing w:after="0" w:line="4" w:lineRule="exact"/>
        <w:rPr>
          <w:rFonts w:ascii="Courier New" w:cs="Courier New" w:eastAsia="Courier New" w:hAnsi="Courier New"/>
          <w:sz w:val="17"/>
          <w:szCs w:val="17"/>
          <w:color w:val="auto"/>
        </w:rPr>
      </w:pPr>
    </w:p>
    <w:p>
      <w:pPr>
        <w:ind w:left="5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Substantially all inventories are valued at the lower of cost or net realizable value with cost determined by the last-in, first-out (LIFO) method. If the first-in, first-out (FIFO) method of cost determination had been used, inventories would have been $17,221,000 and $13,364,000 higher than the levels reported as of the end of the first six months of fiscal years 1994 and 1993, respectively. Using the FIFO method, inventories would have been $65,489,000 and $61,775,000 of work-in-process and $80,209,000 and $71,146,000 of finished goods in fiscal years 1994 and 1993, respectively.</w:t>
      </w:r>
    </w:p>
    <w:p>
      <w:pPr>
        <w:spacing w:after="0" w:line="200" w:lineRule="exact"/>
        <w:rPr>
          <w:sz w:val="20"/>
          <w:szCs w:val="20"/>
          <w:color w:val="auto"/>
        </w:rPr>
      </w:pPr>
    </w:p>
    <w:p>
      <w:pPr>
        <w:spacing w:after="0" w:line="391" w:lineRule="exact"/>
        <w:rPr>
          <w:sz w:val="20"/>
          <w:szCs w:val="20"/>
          <w:color w:val="auto"/>
        </w:rPr>
      </w:pPr>
    </w:p>
    <w:p>
      <w:pPr>
        <w:ind w:left="3975"/>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5"/>
          </w:cols>
          <w:pgMar w:left="245" w:top="900" w:right="1440" w:bottom="1440" w:gutter="0" w:footer="0" w:header="0"/>
        </w:sectPr>
      </w:pPr>
    </w:p>
    <w:bookmarkStart w:id="6" w:name="page7"/>
    <w:bookmarkEnd w:id="6"/>
    <w:p>
      <w:pPr>
        <w:jc w:val="center"/>
        <w:ind w:right="2940"/>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4"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7"/>
          <w:szCs w:val="17"/>
          <w:color w:val="auto"/>
        </w:rPr>
        <w:t>AND RESULTS OF OPERATIONS</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5" w:lineRule="exact"/>
        <w:rPr>
          <w:sz w:val="20"/>
          <w:szCs w:val="20"/>
          <w:color w:val="auto"/>
        </w:rPr>
      </w:pPr>
    </w:p>
    <w:p>
      <w:pPr>
        <w:ind w:right="3060"/>
        <w:spacing w:after="0" w:line="244" w:lineRule="auto"/>
        <w:rPr>
          <w:sz w:val="20"/>
          <w:szCs w:val="20"/>
          <w:color w:val="auto"/>
        </w:rPr>
      </w:pPr>
      <w:r>
        <w:rPr>
          <w:rFonts w:ascii="Courier New" w:cs="Courier New" w:eastAsia="Courier New" w:hAnsi="Courier New"/>
          <w:sz w:val="17"/>
          <w:szCs w:val="17"/>
          <w:color w:val="auto"/>
        </w:rPr>
        <w:t>Total assets for the Company as of January 28, 1994 were $451.9 million, an increase of $13.4 million, or 3.1%, from the $438.5 million reported at the end of the second quarter last year. The increase resulted primarily from increases in trade receivables and inventory. The increase in trade receivables is directly related to increased sales volume. Inventory increased as a result of building product to meet increased demand coupled with production changes implemented to accommodate previous consolidation of manufacturing plants.</w:t>
      </w:r>
    </w:p>
    <w:p>
      <w:pPr>
        <w:spacing w:after="0" w:line="199" w:lineRule="exact"/>
        <w:rPr>
          <w:sz w:val="20"/>
          <w:szCs w:val="20"/>
          <w:color w:val="auto"/>
        </w:rPr>
      </w:pPr>
    </w:p>
    <w:p>
      <w:pPr>
        <w:ind w:right="3060"/>
        <w:spacing w:after="0" w:line="259" w:lineRule="auto"/>
        <w:rPr>
          <w:sz w:val="20"/>
          <w:szCs w:val="20"/>
          <w:color w:val="auto"/>
        </w:rPr>
      </w:pPr>
      <w:r>
        <w:rPr>
          <w:rFonts w:ascii="Courier New" w:cs="Courier New" w:eastAsia="Courier New" w:hAnsi="Courier New"/>
          <w:sz w:val="16"/>
          <w:szCs w:val="16"/>
          <w:color w:val="auto"/>
        </w:rPr>
        <w:t>Total debt as of January 28, 1994 was $148.3 million, or $30.8 million less than the $179.1 million reported at the end of the second quarter last year. The ratio of total debt to total debt plus equity of 50.2% has improved from the</w:t>
      </w:r>
    </w:p>
    <w:p>
      <w:pPr>
        <w:spacing w:after="0" w:line="2" w:lineRule="exact"/>
        <w:rPr>
          <w:sz w:val="20"/>
          <w:szCs w:val="20"/>
          <w:color w:val="auto"/>
        </w:rPr>
      </w:pPr>
    </w:p>
    <w:p>
      <w:pPr>
        <w:jc w:val="both"/>
        <w:ind w:right="3260"/>
        <w:spacing w:after="0" w:line="243" w:lineRule="auto"/>
        <w:rPr>
          <w:sz w:val="20"/>
          <w:szCs w:val="20"/>
          <w:color w:val="auto"/>
        </w:rPr>
      </w:pPr>
      <w:r>
        <w:rPr>
          <w:rFonts w:ascii="Courier New" w:cs="Courier New" w:eastAsia="Courier New" w:hAnsi="Courier New"/>
          <w:sz w:val="17"/>
          <w:szCs w:val="17"/>
          <w:color w:val="auto"/>
        </w:rPr>
        <w:t>58.5% reported as of January 29, 1993. The lower debt ratio resulted from the reduced debt levels combined with an increase in equity as a result of fiscal 1993 earnings.</w:t>
      </w:r>
    </w:p>
    <w:p>
      <w:pPr>
        <w:spacing w:after="0" w:line="200" w:lineRule="exact"/>
        <w:rPr>
          <w:sz w:val="20"/>
          <w:szCs w:val="20"/>
          <w:color w:val="auto"/>
        </w:rPr>
      </w:pPr>
    </w:p>
    <w:p>
      <w:pPr>
        <w:ind w:right="3160"/>
        <w:spacing w:after="0" w:line="244" w:lineRule="auto"/>
        <w:rPr>
          <w:sz w:val="20"/>
          <w:szCs w:val="20"/>
          <w:color w:val="auto"/>
        </w:rPr>
      </w:pPr>
      <w:r>
        <w:rPr>
          <w:rFonts w:ascii="Courier New" w:cs="Courier New" w:eastAsia="Courier New" w:hAnsi="Courier New"/>
          <w:sz w:val="17"/>
          <w:szCs w:val="17"/>
          <w:color w:val="auto"/>
        </w:rPr>
        <w:t>Our business is seasonal. Historically, accounts receivable balances increase throughout the winter months as a result of extended payment terms made available to our customers and decrease in the late spring when payments become due. Our peak borrowing usually occurs in the third quarter. The seasonal working capital requirements of the business are financed primarily with short-term debt. We believe that the combination of funds available through existing financing options, coupled with forecasted cash flows, will provide the capital resources necessary to meet the Company's working capital requirements.</w:t>
      </w: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table sets forth sales by product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Three Months Ended</w:t>
            </w:r>
          </w:p>
        </w:tc>
        <w:tc>
          <w:tcPr>
            <w:tcW w:w="1320" w:type="dxa"/>
            <w:vAlign w:val="bottom"/>
          </w:tcPr>
          <w:p>
            <w:pPr>
              <w:spacing w:after="0"/>
              <w:rPr>
                <w:sz w:val="16"/>
                <w:szCs w:val="16"/>
                <w:color w:val="auto"/>
              </w:rPr>
            </w:pPr>
          </w:p>
        </w:tc>
      </w:tr>
      <w:tr>
        <w:trPr>
          <w:trHeight w:val="196"/>
        </w:trPr>
        <w:tc>
          <w:tcPr>
            <w:tcW w:w="5420" w:type="dxa"/>
            <w:vAlign w:val="bottom"/>
          </w:tcPr>
          <w:p>
            <w:pPr>
              <w:spacing w:after="0"/>
              <w:rPr>
                <w:sz w:val="17"/>
                <w:szCs w:val="17"/>
                <w:color w:val="auto"/>
              </w:rPr>
            </w:pPr>
          </w:p>
        </w:tc>
        <w:tc>
          <w:tcPr>
            <w:tcW w:w="580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420" w:type="dxa"/>
            <w:vAlign w:val="bottom"/>
          </w:tcPr>
          <w:p>
            <w:pPr>
              <w:jc w:val="right"/>
              <w:ind w:right="3095"/>
              <w:spacing w:after="0"/>
              <w:rPr>
                <w:sz w:val="20"/>
                <w:szCs w:val="20"/>
                <w:color w:val="auto"/>
              </w:rPr>
            </w:pPr>
            <w:r>
              <w:rPr>
                <w:rFonts w:ascii="Courier New" w:cs="Courier New" w:eastAsia="Courier New" w:hAnsi="Courier New"/>
                <w:sz w:val="17"/>
                <w:szCs w:val="17"/>
                <w:color w:val="auto"/>
                <w:w w:val="98"/>
              </w:rPr>
              <w:t>(Dollars in thousands)</w:t>
            </w:r>
          </w:p>
        </w:tc>
        <w:tc>
          <w:tcPr>
            <w:tcW w:w="14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January 28,</w:t>
            </w:r>
          </w:p>
        </w:tc>
        <w:tc>
          <w:tcPr>
            <w:tcW w:w="15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January 29,</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6"/>
        </w:trPr>
        <w:tc>
          <w:tcPr>
            <w:tcW w:w="5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ind w:right="415"/>
              <w:spacing w:after="0"/>
              <w:rPr>
                <w:sz w:val="20"/>
                <w:szCs w:val="20"/>
                <w:color w:val="auto"/>
              </w:rPr>
            </w:pPr>
            <w:r>
              <w:rPr>
                <w:rFonts w:ascii="Courier New" w:cs="Courier New" w:eastAsia="Courier New" w:hAnsi="Courier New"/>
                <w:sz w:val="17"/>
                <w:szCs w:val="17"/>
                <w:color w:val="auto"/>
                <w:w w:val="97"/>
              </w:rPr>
              <w:t>1994</w:t>
            </w:r>
          </w:p>
        </w:tc>
        <w:tc>
          <w:tcPr>
            <w:tcW w:w="460" w:type="dxa"/>
            <w:vAlign w:val="bottom"/>
          </w:tcPr>
          <w:p>
            <w:pPr>
              <w:spacing w:after="0"/>
              <w:rPr>
                <w:sz w:val="17"/>
                <w:szCs w:val="17"/>
                <w:color w:val="auto"/>
              </w:rPr>
            </w:pPr>
          </w:p>
        </w:tc>
        <w:tc>
          <w:tcPr>
            <w:tcW w:w="1080" w:type="dxa"/>
            <w:vAlign w:val="bottom"/>
          </w:tcPr>
          <w:p>
            <w:pPr>
              <w:ind w:left="160"/>
              <w:spacing w:after="0"/>
              <w:rPr>
                <w:sz w:val="20"/>
                <w:szCs w:val="20"/>
                <w:color w:val="auto"/>
              </w:rPr>
            </w:pPr>
            <w:r>
              <w:rPr>
                <w:rFonts w:ascii="Courier New" w:cs="Courier New" w:eastAsia="Courier New" w:hAnsi="Courier New"/>
                <w:sz w:val="17"/>
                <w:szCs w:val="17"/>
                <w:color w:val="auto"/>
              </w:rPr>
              <w:t>1993</w:t>
            </w:r>
          </w:p>
        </w:tc>
        <w:tc>
          <w:tcPr>
            <w:tcW w:w="340" w:type="dxa"/>
            <w:vAlign w:val="bottom"/>
          </w:tcPr>
          <w:p>
            <w:pPr>
              <w:spacing w:after="0"/>
              <w:rPr>
                <w:sz w:val="17"/>
                <w:szCs w:val="17"/>
                <w:color w:val="auto"/>
              </w:rPr>
            </w:pPr>
          </w:p>
        </w:tc>
        <w:tc>
          <w:tcPr>
            <w:tcW w:w="11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Change</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 Change</w:t>
            </w:r>
          </w:p>
        </w:tc>
      </w:tr>
      <w:tr>
        <w:trPr>
          <w:trHeight w:val="196"/>
        </w:trPr>
        <w:tc>
          <w:tcPr>
            <w:tcW w:w="5420" w:type="dxa"/>
            <w:vAlign w:val="bottom"/>
          </w:tcPr>
          <w:p>
            <w:pPr>
              <w:spacing w:after="0"/>
              <w:rPr>
                <w:sz w:val="17"/>
                <w:szCs w:val="17"/>
                <w:color w:val="auto"/>
              </w:rPr>
            </w:pPr>
          </w:p>
        </w:tc>
        <w:tc>
          <w:tcPr>
            <w:tcW w:w="14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420" w:type="dxa"/>
            <w:vAlign w:val="bottom"/>
          </w:tcPr>
          <w:p>
            <w:pPr>
              <w:jc w:val="right"/>
              <w:ind w:right="35"/>
              <w:spacing w:after="0"/>
              <w:rPr>
                <w:sz w:val="20"/>
                <w:szCs w:val="20"/>
                <w:color w:val="auto"/>
              </w:rPr>
            </w:pPr>
            <w:r>
              <w:rPr>
                <w:rFonts w:ascii="Courier New" w:cs="Courier New" w:eastAsia="Courier New" w:hAnsi="Courier New"/>
                <w:sz w:val="17"/>
                <w:szCs w:val="17"/>
                <w:color w:val="auto"/>
                <w:w w:val="99"/>
              </w:rPr>
              <w:t>Consumer products. . . . . . . . . . . . . . . . . .</w:t>
            </w: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108,662</w:t>
            </w:r>
          </w:p>
        </w:tc>
        <w:tc>
          <w:tcPr>
            <w:tcW w:w="4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82,188</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26,474</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32.2%</w:t>
            </w:r>
          </w:p>
        </w:tc>
      </w:tr>
      <w:tr>
        <w:trPr>
          <w:trHeight w:val="196"/>
        </w:trPr>
        <w:tc>
          <w:tcPr>
            <w:tcW w:w="5420" w:type="dxa"/>
            <w:vAlign w:val="bottom"/>
          </w:tcPr>
          <w:p>
            <w:pPr>
              <w:jc w:val="right"/>
              <w:ind w:right="35"/>
              <w:spacing w:after="0"/>
              <w:rPr>
                <w:sz w:val="20"/>
                <w:szCs w:val="20"/>
                <w:color w:val="auto"/>
              </w:rPr>
            </w:pPr>
            <w:r>
              <w:rPr>
                <w:rFonts w:ascii="Courier New" w:cs="Courier New" w:eastAsia="Courier New" w:hAnsi="Courier New"/>
                <w:sz w:val="17"/>
                <w:szCs w:val="17"/>
                <w:color w:val="auto"/>
                <w:w w:val="99"/>
              </w:rPr>
              <w:t>Commercial products. . . . . . . . . . . . . . . . .</w:t>
            </w:r>
          </w:p>
        </w:tc>
        <w:tc>
          <w:tcPr>
            <w:tcW w:w="5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55,060</w:t>
            </w:r>
          </w:p>
        </w:tc>
        <w:tc>
          <w:tcPr>
            <w:tcW w:w="460" w:type="dxa"/>
            <w:vAlign w:val="bottom"/>
          </w:tcPr>
          <w:p>
            <w:pPr>
              <w:spacing w:after="0"/>
              <w:rPr>
                <w:sz w:val="17"/>
                <w:szCs w:val="17"/>
                <w:color w:val="auto"/>
              </w:rPr>
            </w:pPr>
          </w:p>
        </w:tc>
        <w:tc>
          <w:tcPr>
            <w:tcW w:w="10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48,766</w:t>
            </w:r>
          </w:p>
        </w:tc>
        <w:tc>
          <w:tcPr>
            <w:tcW w:w="340" w:type="dxa"/>
            <w:vAlign w:val="bottom"/>
          </w:tcPr>
          <w:p>
            <w:pPr>
              <w:spacing w:after="0"/>
              <w:rPr>
                <w:sz w:val="17"/>
                <w:szCs w:val="17"/>
                <w:color w:val="auto"/>
              </w:rPr>
            </w:pP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6,294</w:t>
            </w:r>
          </w:p>
        </w:tc>
        <w:tc>
          <w:tcPr>
            <w:tcW w:w="1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12.9</w:t>
            </w:r>
          </w:p>
        </w:tc>
      </w:tr>
      <w:tr>
        <w:trPr>
          <w:trHeight w:val="196"/>
        </w:trPr>
        <w:tc>
          <w:tcPr>
            <w:tcW w:w="5420" w:type="dxa"/>
            <w:vAlign w:val="bottom"/>
          </w:tcPr>
          <w:p>
            <w:pPr>
              <w:jc w:val="right"/>
              <w:ind w:right="35"/>
              <w:spacing w:after="0"/>
              <w:rPr>
                <w:sz w:val="20"/>
                <w:szCs w:val="20"/>
                <w:color w:val="auto"/>
              </w:rPr>
            </w:pPr>
            <w:r>
              <w:rPr>
                <w:rFonts w:ascii="Courier New" w:cs="Courier New" w:eastAsia="Courier New" w:hAnsi="Courier New"/>
                <w:sz w:val="17"/>
                <w:szCs w:val="17"/>
                <w:color w:val="auto"/>
                <w:w w:val="99"/>
              </w:rPr>
              <w:t>Irrigation products. . . . . . . . . . . . . . . . .</w:t>
            </w:r>
          </w:p>
        </w:tc>
        <w:tc>
          <w:tcPr>
            <w:tcW w:w="5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25,691</w:t>
            </w:r>
          </w:p>
        </w:tc>
        <w:tc>
          <w:tcPr>
            <w:tcW w:w="460" w:type="dxa"/>
            <w:vAlign w:val="bottom"/>
          </w:tcPr>
          <w:p>
            <w:pPr>
              <w:spacing w:after="0"/>
              <w:rPr>
                <w:sz w:val="17"/>
                <w:szCs w:val="17"/>
                <w:color w:val="auto"/>
              </w:rPr>
            </w:pPr>
          </w:p>
        </w:tc>
        <w:tc>
          <w:tcPr>
            <w:tcW w:w="10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22,218</w:t>
            </w:r>
          </w:p>
        </w:tc>
        <w:tc>
          <w:tcPr>
            <w:tcW w:w="340" w:type="dxa"/>
            <w:vAlign w:val="bottom"/>
          </w:tcPr>
          <w:p>
            <w:pPr>
              <w:spacing w:after="0"/>
              <w:rPr>
                <w:sz w:val="17"/>
                <w:szCs w:val="17"/>
                <w:color w:val="auto"/>
              </w:rPr>
            </w:pP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3,473</w:t>
            </w:r>
          </w:p>
        </w:tc>
        <w:tc>
          <w:tcPr>
            <w:tcW w:w="1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15.6</w:t>
            </w:r>
          </w:p>
        </w:tc>
      </w:tr>
      <w:tr>
        <w:trPr>
          <w:trHeight w:val="196"/>
        </w:trPr>
        <w:tc>
          <w:tcPr>
            <w:tcW w:w="5420" w:type="dxa"/>
            <w:vAlign w:val="bottom"/>
          </w:tcPr>
          <w:p>
            <w:pPr>
              <w:spacing w:after="0"/>
              <w:rPr>
                <w:sz w:val="17"/>
                <w:szCs w:val="17"/>
                <w:color w:val="auto"/>
              </w:rPr>
            </w:pPr>
          </w:p>
        </w:tc>
        <w:tc>
          <w:tcPr>
            <w:tcW w:w="14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4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Total *. . . . . . . . . . . . . . . . . . . . .</w:t>
            </w: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189,413</w:t>
            </w:r>
          </w:p>
        </w:tc>
        <w:tc>
          <w:tcPr>
            <w:tcW w:w="4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153,172</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36,241</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23.7%</w:t>
            </w:r>
          </w:p>
        </w:tc>
      </w:tr>
      <w:tr>
        <w:trPr>
          <w:trHeight w:val="196"/>
        </w:trPr>
        <w:tc>
          <w:tcPr>
            <w:tcW w:w="5420" w:type="dxa"/>
            <w:vAlign w:val="bottom"/>
          </w:tcPr>
          <w:p>
            <w:pPr>
              <w:spacing w:after="0"/>
              <w:rPr>
                <w:sz w:val="17"/>
                <w:szCs w:val="17"/>
                <w:color w:val="auto"/>
              </w:rPr>
            </w:pPr>
          </w:p>
        </w:tc>
        <w:tc>
          <w:tcPr>
            <w:tcW w:w="14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420" w:type="dxa"/>
            <w:vAlign w:val="bottom"/>
          </w:tcPr>
          <w:p>
            <w:pPr>
              <w:spacing w:after="0"/>
              <w:rPr>
                <w:sz w:val="17"/>
                <w:szCs w:val="17"/>
                <w:color w:val="auto"/>
              </w:rPr>
            </w:pPr>
          </w:p>
        </w:tc>
        <w:tc>
          <w:tcPr>
            <w:tcW w:w="14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spacing w:after="0"/>
              <w:rPr>
                <w:sz w:val="17"/>
                <w:szCs w:val="17"/>
                <w:color w:val="auto"/>
              </w:rPr>
            </w:pPr>
          </w:p>
        </w:tc>
      </w:tr>
      <w:tr>
        <w:trPr>
          <w:trHeight w:val="589"/>
        </w:trPr>
        <w:tc>
          <w:tcPr>
            <w:tcW w:w="5420" w:type="dxa"/>
            <w:vAlign w:val="bottom"/>
          </w:tcPr>
          <w:p>
            <w:pPr>
              <w:jc w:val="right"/>
              <w:ind w:right="35"/>
              <w:spacing w:after="0"/>
              <w:rPr>
                <w:sz w:val="20"/>
                <w:szCs w:val="20"/>
                <w:color w:val="auto"/>
              </w:rPr>
            </w:pPr>
            <w:r>
              <w:rPr>
                <w:rFonts w:ascii="Courier New" w:cs="Courier New" w:eastAsia="Courier New" w:hAnsi="Courier New"/>
                <w:sz w:val="17"/>
                <w:szCs w:val="17"/>
                <w:color w:val="auto"/>
                <w:w w:val="99"/>
              </w:rPr>
              <w:t>* Includes International sales of: . . . . . . . . .</w:t>
            </w: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30,529</w:t>
            </w:r>
          </w:p>
        </w:tc>
        <w:tc>
          <w:tcPr>
            <w:tcW w:w="4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26,321</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4,208</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60" w:type="dxa"/>
            <w:vAlign w:val="bottom"/>
            <w:gridSpan w:val="3"/>
          </w:tcPr>
          <w:p>
            <w:pPr>
              <w:jc w:val="right"/>
              <w:ind w:right="695"/>
              <w:spacing w:after="0"/>
              <w:rPr>
                <w:sz w:val="20"/>
                <w:szCs w:val="20"/>
                <w:color w:val="auto"/>
              </w:rPr>
            </w:pPr>
            <w:r>
              <w:rPr>
                <w:rFonts w:ascii="Courier New" w:cs="Courier New" w:eastAsia="Courier New" w:hAnsi="Courier New"/>
                <w:sz w:val="17"/>
                <w:szCs w:val="17"/>
                <w:color w:val="auto"/>
              </w:rPr>
              <w:t>Six Months Ended</w:t>
            </w:r>
          </w:p>
        </w:tc>
        <w:tc>
          <w:tcPr>
            <w:tcW w:w="1260" w:type="dxa"/>
            <w:vAlign w:val="bottom"/>
          </w:tcPr>
          <w:p>
            <w:pPr>
              <w:spacing w:after="0"/>
              <w:rPr>
                <w:sz w:val="16"/>
                <w:szCs w:val="16"/>
                <w:color w:val="auto"/>
              </w:rPr>
            </w:pPr>
          </w:p>
        </w:tc>
      </w:tr>
      <w:tr>
        <w:trPr>
          <w:trHeight w:val="196"/>
        </w:trPr>
        <w:tc>
          <w:tcPr>
            <w:tcW w:w="5420" w:type="dxa"/>
            <w:vAlign w:val="bottom"/>
          </w:tcPr>
          <w:p>
            <w:pPr>
              <w:spacing w:after="0"/>
              <w:rPr>
                <w:sz w:val="17"/>
                <w:szCs w:val="17"/>
                <w:color w:val="auto"/>
              </w:rPr>
            </w:pPr>
          </w:p>
        </w:tc>
        <w:tc>
          <w:tcPr>
            <w:tcW w:w="580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420" w:type="dxa"/>
            <w:vAlign w:val="bottom"/>
          </w:tcPr>
          <w:p>
            <w:pPr>
              <w:jc w:val="right"/>
              <w:ind w:right="3095"/>
              <w:spacing w:after="0"/>
              <w:rPr>
                <w:sz w:val="20"/>
                <w:szCs w:val="20"/>
                <w:color w:val="auto"/>
              </w:rPr>
            </w:pPr>
            <w:r>
              <w:rPr>
                <w:rFonts w:ascii="Courier New" w:cs="Courier New" w:eastAsia="Courier New" w:hAnsi="Courier New"/>
                <w:sz w:val="17"/>
                <w:szCs w:val="17"/>
                <w:color w:val="auto"/>
                <w:w w:val="98"/>
              </w:rPr>
              <w:t>(Dollars in thousands)</w:t>
            </w:r>
          </w:p>
        </w:tc>
        <w:tc>
          <w:tcPr>
            <w:tcW w:w="14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January 28,</w:t>
            </w:r>
          </w:p>
        </w:tc>
        <w:tc>
          <w:tcPr>
            <w:tcW w:w="15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January 29,</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5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ind w:right="415"/>
              <w:spacing w:after="0"/>
              <w:rPr>
                <w:sz w:val="20"/>
                <w:szCs w:val="20"/>
                <w:color w:val="auto"/>
              </w:rPr>
            </w:pPr>
            <w:r>
              <w:rPr>
                <w:rFonts w:ascii="Courier New" w:cs="Courier New" w:eastAsia="Courier New" w:hAnsi="Courier New"/>
                <w:sz w:val="17"/>
                <w:szCs w:val="17"/>
                <w:color w:val="auto"/>
                <w:w w:val="97"/>
              </w:rPr>
              <w:t>1994</w:t>
            </w:r>
          </w:p>
        </w:tc>
        <w:tc>
          <w:tcPr>
            <w:tcW w:w="460" w:type="dxa"/>
            <w:vAlign w:val="bottom"/>
          </w:tcPr>
          <w:p>
            <w:pPr>
              <w:spacing w:after="0"/>
              <w:rPr>
                <w:sz w:val="17"/>
                <w:szCs w:val="17"/>
                <w:color w:val="auto"/>
              </w:rPr>
            </w:pPr>
          </w:p>
        </w:tc>
        <w:tc>
          <w:tcPr>
            <w:tcW w:w="10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1993</w:t>
            </w:r>
          </w:p>
        </w:tc>
        <w:tc>
          <w:tcPr>
            <w:tcW w:w="340" w:type="dxa"/>
            <w:vAlign w:val="bottom"/>
          </w:tcPr>
          <w:p>
            <w:pPr>
              <w:spacing w:after="0"/>
              <w:rPr>
                <w:sz w:val="17"/>
                <w:szCs w:val="17"/>
                <w:color w:val="auto"/>
              </w:rPr>
            </w:pPr>
          </w:p>
        </w:tc>
        <w:tc>
          <w:tcPr>
            <w:tcW w:w="12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 Change</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 Change</w:t>
            </w:r>
          </w:p>
        </w:tc>
      </w:tr>
      <w:tr>
        <w:trPr>
          <w:trHeight w:val="196"/>
        </w:trPr>
        <w:tc>
          <w:tcPr>
            <w:tcW w:w="5420" w:type="dxa"/>
            <w:vAlign w:val="bottom"/>
          </w:tcPr>
          <w:p>
            <w:pPr>
              <w:spacing w:after="0"/>
              <w:rPr>
                <w:sz w:val="17"/>
                <w:szCs w:val="17"/>
                <w:color w:val="auto"/>
              </w:rPr>
            </w:pPr>
          </w:p>
        </w:tc>
        <w:tc>
          <w:tcPr>
            <w:tcW w:w="14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420" w:type="dxa"/>
            <w:vAlign w:val="bottom"/>
          </w:tcPr>
          <w:p>
            <w:pPr>
              <w:jc w:val="right"/>
              <w:ind w:right="35"/>
              <w:spacing w:after="0"/>
              <w:rPr>
                <w:sz w:val="20"/>
                <w:szCs w:val="20"/>
                <w:color w:val="auto"/>
              </w:rPr>
            </w:pPr>
            <w:r>
              <w:rPr>
                <w:rFonts w:ascii="Courier New" w:cs="Courier New" w:eastAsia="Courier New" w:hAnsi="Courier New"/>
                <w:sz w:val="17"/>
                <w:szCs w:val="17"/>
                <w:color w:val="auto"/>
                <w:w w:val="99"/>
              </w:rPr>
              <w:t>Consumer products. . . . . . . . . . . . . . . . . .</w:t>
            </w: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189,052</w:t>
            </w:r>
          </w:p>
        </w:tc>
        <w:tc>
          <w:tcPr>
            <w:tcW w:w="4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141,361</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47,691</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33.7%</w:t>
            </w:r>
          </w:p>
        </w:tc>
      </w:tr>
      <w:tr>
        <w:trPr>
          <w:trHeight w:val="196"/>
        </w:trPr>
        <w:tc>
          <w:tcPr>
            <w:tcW w:w="5420" w:type="dxa"/>
            <w:vAlign w:val="bottom"/>
          </w:tcPr>
          <w:p>
            <w:pPr>
              <w:jc w:val="right"/>
              <w:ind w:right="35"/>
              <w:spacing w:after="0"/>
              <w:rPr>
                <w:sz w:val="20"/>
                <w:szCs w:val="20"/>
                <w:color w:val="auto"/>
              </w:rPr>
            </w:pPr>
            <w:r>
              <w:rPr>
                <w:rFonts w:ascii="Courier New" w:cs="Courier New" w:eastAsia="Courier New" w:hAnsi="Courier New"/>
                <w:sz w:val="17"/>
                <w:szCs w:val="17"/>
                <w:color w:val="auto"/>
                <w:w w:val="99"/>
              </w:rPr>
              <w:t>Commercial products. . . . . . . . . . . . . . . . .</w:t>
            </w:r>
          </w:p>
        </w:tc>
        <w:tc>
          <w:tcPr>
            <w:tcW w:w="5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90,613</w:t>
            </w:r>
          </w:p>
        </w:tc>
        <w:tc>
          <w:tcPr>
            <w:tcW w:w="460" w:type="dxa"/>
            <w:vAlign w:val="bottom"/>
          </w:tcPr>
          <w:p>
            <w:pPr>
              <w:spacing w:after="0"/>
              <w:rPr>
                <w:sz w:val="17"/>
                <w:szCs w:val="17"/>
                <w:color w:val="auto"/>
              </w:rPr>
            </w:pPr>
          </w:p>
        </w:tc>
        <w:tc>
          <w:tcPr>
            <w:tcW w:w="10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78,762</w:t>
            </w:r>
          </w:p>
        </w:tc>
        <w:tc>
          <w:tcPr>
            <w:tcW w:w="340" w:type="dxa"/>
            <w:vAlign w:val="bottom"/>
          </w:tcPr>
          <w:p>
            <w:pPr>
              <w:spacing w:after="0"/>
              <w:rPr>
                <w:sz w:val="17"/>
                <w:szCs w:val="17"/>
                <w:color w:val="auto"/>
              </w:rPr>
            </w:pPr>
          </w:p>
        </w:tc>
        <w:tc>
          <w:tcPr>
            <w:tcW w:w="12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11,851</w:t>
            </w:r>
          </w:p>
        </w:tc>
        <w:tc>
          <w:tcPr>
            <w:tcW w:w="1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15.1</w:t>
            </w:r>
          </w:p>
        </w:tc>
      </w:tr>
      <w:tr>
        <w:trPr>
          <w:trHeight w:val="196"/>
        </w:trPr>
        <w:tc>
          <w:tcPr>
            <w:tcW w:w="5420" w:type="dxa"/>
            <w:vAlign w:val="bottom"/>
          </w:tcPr>
          <w:p>
            <w:pPr>
              <w:jc w:val="right"/>
              <w:ind w:right="35"/>
              <w:spacing w:after="0"/>
              <w:rPr>
                <w:sz w:val="20"/>
                <w:szCs w:val="20"/>
                <w:color w:val="auto"/>
              </w:rPr>
            </w:pPr>
            <w:r>
              <w:rPr>
                <w:rFonts w:ascii="Courier New" w:cs="Courier New" w:eastAsia="Courier New" w:hAnsi="Courier New"/>
                <w:sz w:val="17"/>
                <w:szCs w:val="17"/>
                <w:color w:val="auto"/>
                <w:w w:val="99"/>
              </w:rPr>
              <w:t>Irrigation products. . . . . . . . . . . . . . . . .</w:t>
            </w:r>
          </w:p>
        </w:tc>
        <w:tc>
          <w:tcPr>
            <w:tcW w:w="5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45,509</w:t>
            </w:r>
          </w:p>
        </w:tc>
        <w:tc>
          <w:tcPr>
            <w:tcW w:w="460" w:type="dxa"/>
            <w:vAlign w:val="bottom"/>
          </w:tcPr>
          <w:p>
            <w:pPr>
              <w:spacing w:after="0"/>
              <w:rPr>
                <w:sz w:val="17"/>
                <w:szCs w:val="17"/>
                <w:color w:val="auto"/>
              </w:rPr>
            </w:pPr>
          </w:p>
        </w:tc>
        <w:tc>
          <w:tcPr>
            <w:tcW w:w="10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46,492</w:t>
            </w:r>
          </w:p>
        </w:tc>
        <w:tc>
          <w:tcPr>
            <w:tcW w:w="340" w:type="dxa"/>
            <w:vAlign w:val="bottom"/>
          </w:tcPr>
          <w:p>
            <w:pPr>
              <w:spacing w:after="0"/>
              <w:rPr>
                <w:sz w:val="17"/>
                <w:szCs w:val="17"/>
                <w:color w:val="auto"/>
              </w:rPr>
            </w:pPr>
          </w:p>
        </w:tc>
        <w:tc>
          <w:tcPr>
            <w:tcW w:w="12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(983)</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r>
      <w:tr>
        <w:trPr>
          <w:trHeight w:val="196"/>
        </w:trPr>
        <w:tc>
          <w:tcPr>
            <w:tcW w:w="5420" w:type="dxa"/>
            <w:vAlign w:val="bottom"/>
          </w:tcPr>
          <w:p>
            <w:pPr>
              <w:spacing w:after="0"/>
              <w:rPr>
                <w:sz w:val="17"/>
                <w:szCs w:val="17"/>
                <w:color w:val="auto"/>
              </w:rPr>
            </w:pPr>
          </w:p>
        </w:tc>
        <w:tc>
          <w:tcPr>
            <w:tcW w:w="14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4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Total *. . . . . . . . . . . . . . . . . . . . .</w:t>
            </w: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325,174</w:t>
            </w:r>
          </w:p>
        </w:tc>
        <w:tc>
          <w:tcPr>
            <w:tcW w:w="4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266,615</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58,559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22.0%</w:t>
            </w:r>
          </w:p>
        </w:tc>
      </w:tr>
      <w:tr>
        <w:trPr>
          <w:trHeight w:val="196"/>
        </w:trPr>
        <w:tc>
          <w:tcPr>
            <w:tcW w:w="5420" w:type="dxa"/>
            <w:vAlign w:val="bottom"/>
          </w:tcPr>
          <w:p>
            <w:pPr>
              <w:spacing w:after="0"/>
              <w:rPr>
                <w:sz w:val="17"/>
                <w:szCs w:val="17"/>
                <w:color w:val="auto"/>
              </w:rPr>
            </w:pPr>
          </w:p>
        </w:tc>
        <w:tc>
          <w:tcPr>
            <w:tcW w:w="14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420" w:type="dxa"/>
            <w:vAlign w:val="bottom"/>
          </w:tcPr>
          <w:p>
            <w:pPr>
              <w:spacing w:after="0"/>
              <w:rPr>
                <w:sz w:val="17"/>
                <w:szCs w:val="17"/>
                <w:color w:val="auto"/>
              </w:rPr>
            </w:pPr>
          </w:p>
        </w:tc>
        <w:tc>
          <w:tcPr>
            <w:tcW w:w="14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spacing w:after="0"/>
              <w:rPr>
                <w:sz w:val="17"/>
                <w:szCs w:val="17"/>
                <w:color w:val="auto"/>
              </w:rPr>
            </w:pPr>
          </w:p>
        </w:tc>
      </w:tr>
      <w:tr>
        <w:trPr>
          <w:trHeight w:val="785"/>
        </w:trPr>
        <w:tc>
          <w:tcPr>
            <w:tcW w:w="5420" w:type="dxa"/>
            <w:vAlign w:val="bottom"/>
          </w:tcPr>
          <w:p>
            <w:pPr>
              <w:jc w:val="right"/>
              <w:ind w:right="35"/>
              <w:spacing w:after="0"/>
              <w:rPr>
                <w:sz w:val="20"/>
                <w:szCs w:val="20"/>
                <w:color w:val="auto"/>
              </w:rPr>
            </w:pPr>
            <w:r>
              <w:rPr>
                <w:rFonts w:ascii="Courier New" w:cs="Courier New" w:eastAsia="Courier New" w:hAnsi="Courier New"/>
                <w:sz w:val="17"/>
                <w:szCs w:val="17"/>
                <w:color w:val="auto"/>
                <w:w w:val="99"/>
              </w:rPr>
              <w:t>* Includes International sales of: . . . . . . . . .</w:t>
            </w: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43,627</w:t>
            </w:r>
          </w:p>
        </w:tc>
        <w:tc>
          <w:tcPr>
            <w:tcW w:w="4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42,660</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967</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bl>
    <w:p>
      <w:pPr>
        <w:sectPr>
          <w:pgSz w:w="11900" w:h="16838" w:orient="portrait"/>
          <w:cols w:equalWidth="0" w:num="1">
            <w:col w:w="11220"/>
          </w:cols>
          <w:pgMar w:left="240" w:top="899" w:right="439" w:bottom="0" w:gutter="0" w:footer="0" w:header="0"/>
        </w:sectPr>
      </w:pPr>
    </w:p>
    <w:bookmarkStart w:id="7" w:name="page8"/>
    <w:bookmarkEnd w:id="7"/>
    <w:p>
      <w:pPr>
        <w:ind w:left="2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927" w:right="1440" w:bottom="1440" w:gutter="0" w:footer="0" w:header="0"/>
        </w:sectPr>
      </w:pPr>
    </w:p>
    <w:bookmarkStart w:id="8" w:name="page9"/>
    <w:bookmarkEnd w:id="8"/>
    <w:p>
      <w:pPr>
        <w:ind w:right="2159"/>
        <w:spacing w:after="0" w:line="244" w:lineRule="auto"/>
        <w:rPr>
          <w:sz w:val="20"/>
          <w:szCs w:val="20"/>
          <w:color w:val="auto"/>
        </w:rPr>
      </w:pPr>
      <w:r>
        <w:rPr>
          <w:rFonts w:ascii="Courier New" w:cs="Courier New" w:eastAsia="Courier New" w:hAnsi="Courier New"/>
          <w:sz w:val="17"/>
          <w:szCs w:val="17"/>
          <w:color w:val="auto"/>
        </w:rPr>
        <w:t>Changes in net sales for the second quarter and year to date were attributed to the following factors. Consumer product sales reflect increased sales of walk power mower products, electric products and the continued acceptance of the new lower-priced lawn tractor introduced last spring. These increases were attributed to heavy ordering by distributors and mass merchandisers in anticipation of a much better retail selling season than last year and strong acceptance of new products. The commercial product sales increase was attributable to a strong domestic golf market and the continued acceptance of the new Workman-TM- vehicle. The irrigation product sales increase reflected improving domestic economic conditions and changes in our distribution network implemented in the first quarter of this fiscal year. The slight decline in irrigation sales year to date reflected the impact of reduced international sales because of the continued weak economies in major European and Asian markets. This decline was offset by the improving domestic market. The international sales increase reflected increases in commercial and consumer product sales, particularly the new Workman-TM- vehicle which was not in the market last year. These increases were offset by the decline in international irrigation sales as discussed above.</w:t>
      </w:r>
    </w:p>
    <w:p>
      <w:pPr>
        <w:spacing w:after="0" w:line="204"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Gross profit of $66.6 million was $12.9 million (24%) higher than the $53.7 million reported for the second quarter of fiscal 1993. As a percent of sales, gross profit increased slightly to 35.2% for the second quarter of fiscal 1994 compared to 35.1% for the second quarter last year. Year to date gross profit was $115.6 million, $23.0 million (24.8%) higher than the $92.6 million reported last year. The dollar increase is attributed to increased sales volume and improved plant efficiencies which were offset somewhat by a lower-margin product mix.</w:t>
      </w:r>
    </w:p>
    <w:p>
      <w:pPr>
        <w:spacing w:after="0" w:line="199"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Selling, general and administrative (S G &amp; A) expenses increased $9.1 million, or 19.1%, to $56.8 million from the $47.7 million for the second quarter last year. Year to date S G &amp; A of $108.8 million increased $18.2 million form the $90.6 million reported a year ago. The increases occurred principally as a result of increases in consumer product brand advertising, investment in customer support services related to changes made in irrigation's distribution channel, and increased research and development expenditures.</w:t>
      </w:r>
    </w:p>
    <w:p>
      <w:pPr>
        <w:spacing w:after="0" w:line="199"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Interest expense of $3.2 million for the quarter was $1.0 million, or 23.8%, less than the $4.2 million the same period last year. Year to date interest expense decreased $1.9 million to $6.5 million from the $8.4 million reported a year ago. These decreases are principally because of the reduction in long-term debt.</w:t>
      </w:r>
    </w:p>
    <w:p>
      <w:pPr>
        <w:spacing w:after="0" w:line="198"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Net other income decreased $0.3 million to $0.9 million from $1.2 million from the second quarter last year. The decrease resulted primarily from the decline of finance revenues because of improved inventory turnover at distributors and dealers. Year to date net other income of $4.0 million is $1.3 million higher than the $2.7 million reported a year ago. The year to date increase reflects $1.85 million received in settlement of a lawsuit relating to the purchase of Lawn-Boy, Inc. In addition to the items mentioned above, other income includes foreign currency exchange losses, royalty income and gains/losses incurred on joint ventures.</w:t>
      </w:r>
    </w:p>
    <w:p>
      <w:pPr>
        <w:spacing w:after="0" w:line="200"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Provision for income taxes as a percent of pre-tax earnings was 40.0% for the second quarter of fiscal 1994 and benefit for income taxes as a percent of pre-tax loss was 38.0% for the same period in fiscal 1993. The tax rate increase reflects the enactment of the new tax law. We expect the tax rate to remain at 40% for the remainder of fiscal 1994.</w:t>
      </w:r>
    </w:p>
    <w:p>
      <w:pPr>
        <w:spacing w:after="0" w:line="198"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While we expect our results for fiscal 1994 to be better than fiscal 1993, we are experiencing some shift in revenues to the first half of the fiscal year from the second half. Therefore, we do not expect our growth for the remainder of the fiscal year to be as dramatic as the increases experienced during the first half of the year.</w:t>
      </w:r>
    </w:p>
    <w:p>
      <w:pPr>
        <w:spacing w:after="0" w:line="200" w:lineRule="exact"/>
        <w:rPr>
          <w:sz w:val="20"/>
          <w:szCs w:val="20"/>
          <w:color w:val="auto"/>
        </w:rPr>
      </w:pPr>
    </w:p>
    <w:p>
      <w:pPr>
        <w:spacing w:after="0" w:line="3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900" w:right="1440" w:bottom="1440" w:gutter="0" w:footer="0" w:header="0"/>
        </w:sectPr>
      </w:pPr>
    </w:p>
    <w:bookmarkStart w:id="9" w:name="page10"/>
    <w:bookmarkEnd w:id="9"/>
    <w:p>
      <w:pPr>
        <w:ind w:left="2760"/>
        <w:spacing w:after="0"/>
        <w:tabs>
          <w:tab w:leader="none" w:pos="3760" w:val="left"/>
        </w:tabs>
        <w:rPr>
          <w:sz w:val="20"/>
          <w:szCs w:val="20"/>
          <w:color w:val="auto"/>
        </w:rPr>
      </w:pPr>
      <w:r>
        <w:rPr>
          <w:rFonts w:ascii="Courier New" w:cs="Courier New" w:eastAsia="Courier New" w:hAnsi="Courier New"/>
          <w:sz w:val="17"/>
          <w:szCs w:val="17"/>
          <w:color w:val="auto"/>
        </w:rPr>
        <w:t>PART II.</w:t>
        <w:tab/>
        <w:t>OTHER INFORMATION</w:t>
      </w:r>
    </w:p>
    <w:p>
      <w:pPr>
        <w:spacing w:after="0" w:line="39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7"/>
          <w:szCs w:val="17"/>
          <w:color w:val="auto"/>
        </w:rPr>
        <w:t>Item 4</w:t>
        <w:tab/>
        <w:t>Results of Votes of Security Holders</w:t>
      </w:r>
    </w:p>
    <w:p>
      <w:pPr>
        <w:spacing w:after="0" w:line="201" w:lineRule="exact"/>
        <w:rPr>
          <w:sz w:val="20"/>
          <w:szCs w:val="20"/>
          <w:color w:val="auto"/>
        </w:rPr>
      </w:pPr>
    </w:p>
    <w:p>
      <w:pPr>
        <w:ind w:left="520" w:right="2159"/>
        <w:spacing w:after="0" w:line="243" w:lineRule="auto"/>
        <w:rPr>
          <w:sz w:val="20"/>
          <w:szCs w:val="20"/>
          <w:color w:val="auto"/>
        </w:rPr>
      </w:pPr>
      <w:r>
        <w:rPr>
          <w:rFonts w:ascii="Courier New" w:cs="Courier New" w:eastAsia="Courier New" w:hAnsi="Courier New"/>
          <w:sz w:val="17"/>
          <w:szCs w:val="17"/>
          <w:color w:val="auto"/>
        </w:rPr>
        <w:t>The Annual Meeting of Stockholders was held on December 16, 1993 involving election of directors, adoption of the 1993 Stock Option Plan and the appointment of auditors.</w:t>
      </w:r>
    </w:p>
    <w:p>
      <w:pPr>
        <w:spacing w:after="0" w:line="200" w:lineRule="exact"/>
        <w:rPr>
          <w:sz w:val="20"/>
          <w:szCs w:val="20"/>
          <w:color w:val="auto"/>
        </w:rPr>
      </w:pPr>
    </w:p>
    <w:p>
      <w:pPr>
        <w:ind w:left="520" w:right="2159"/>
        <w:spacing w:after="0" w:line="261" w:lineRule="auto"/>
        <w:rPr>
          <w:sz w:val="20"/>
          <w:szCs w:val="20"/>
          <w:color w:val="auto"/>
        </w:rPr>
      </w:pPr>
      <w:r>
        <w:rPr>
          <w:rFonts w:ascii="Courier New" w:cs="Courier New" w:eastAsia="Courier New" w:hAnsi="Courier New"/>
          <w:sz w:val="16"/>
          <w:szCs w:val="16"/>
          <w:color w:val="auto"/>
        </w:rPr>
        <w:t>The results of the stockholder votes were as follows: on the election of directors, 9,993,820 were voted for election and some of the proxies were cast against the two directors, but not more than 2.2% of the shares represented in person or by proxy at the meeting; on the 1993 Stock Option Plan 6,668,914 shares were voted for, 2,583,255 shares were voted against, 164,592 shares abstained and there were 769,794 broker non-votes; and on the appointment of the independent auditors 9,980,418 shares were voted for, 70,975 shares were voted against and 135,162 shares abstained.</w:t>
      </w:r>
    </w:p>
    <w:p>
      <w:pPr>
        <w:spacing w:after="0" w:line="38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0" w:lineRule="exact"/>
        <w:rPr>
          <w:sz w:val="20"/>
          <w:szCs w:val="20"/>
          <w:color w:val="auto"/>
        </w:rPr>
      </w:pPr>
    </w:p>
    <w:p>
      <w:pPr>
        <w:ind w:left="1020" w:hanging="505"/>
        <w:spacing w:after="0"/>
        <w:tabs>
          <w:tab w:leader="none" w:pos="10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 11  Computation of Earnings (Loss) per Common Share</w:t>
      </w:r>
    </w:p>
    <w:p>
      <w:pPr>
        <w:spacing w:after="0" w:line="199" w:lineRule="exact"/>
        <w:rPr>
          <w:rFonts w:ascii="Courier New" w:cs="Courier New" w:eastAsia="Courier New" w:hAnsi="Courier New"/>
          <w:sz w:val="17"/>
          <w:szCs w:val="17"/>
          <w:color w:val="auto"/>
        </w:rPr>
      </w:pPr>
    </w:p>
    <w:p>
      <w:pPr>
        <w:ind w:left="1020" w:hanging="505"/>
        <w:spacing w:after="0"/>
        <w:tabs>
          <w:tab w:leader="none" w:pos="10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200" w:lineRule="exact"/>
        <w:rPr>
          <w:rFonts w:ascii="Courier New" w:cs="Courier New" w:eastAsia="Courier New" w:hAnsi="Courier New"/>
          <w:sz w:val="17"/>
          <w:szCs w:val="17"/>
          <w:color w:val="auto"/>
        </w:rPr>
      </w:pPr>
    </w:p>
    <w:p>
      <w:pPr>
        <w:ind w:left="1020" w:right="27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did not file any Form 8-K reports during the second quarter of fiscal 1994.</w:t>
      </w:r>
    </w:p>
    <w:p>
      <w:pPr>
        <w:spacing w:after="0" w:line="39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SIGNATURES</w:t>
      </w:r>
    </w:p>
    <w:p>
      <w:pPr>
        <w:spacing w:after="0" w:line="201" w:lineRule="exact"/>
        <w:rPr>
          <w:sz w:val="20"/>
          <w:szCs w:val="20"/>
          <w:color w:val="auto"/>
        </w:rPr>
      </w:pPr>
    </w:p>
    <w:p>
      <w:pPr>
        <w:jc w:val="both"/>
        <w:ind w:left="520" w:right="2659"/>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395"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THE TORO COMPANY</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(Registrant)</w:t>
      </w:r>
    </w:p>
    <w:p>
      <w:pPr>
        <w:spacing w:after="0" w:line="200"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By /s/ Gerald T. Knight</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Gerald T. Knight</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Vice President, Finance</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Chief Financial Officer</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(principal financial officer)</w:t>
      </w:r>
    </w:p>
    <w:p>
      <w:pPr>
        <w:spacing w:after="0" w:line="396"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6"/>
          <w:szCs w:val="16"/>
          <w:color w:val="auto"/>
        </w:rPr>
        <w:t>March 10, 1994</w:t>
      </w:r>
    </w:p>
    <w:p>
      <w:pPr>
        <w:spacing w:after="0" w:line="200" w:lineRule="exact"/>
        <w:rPr>
          <w:sz w:val="20"/>
          <w:szCs w:val="20"/>
          <w:color w:val="auto"/>
        </w:rPr>
      </w:pPr>
    </w:p>
    <w:p>
      <w:pPr>
        <w:spacing w:after="0" w:line="3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899" w:right="1440" w:bottom="1440" w:gutter="0" w:footer="0" w:header="0"/>
        </w:sectPr>
      </w:pPr>
    </w:p>
    <w:bookmarkStart w:id="10" w:name="page11"/>
    <w:bookmarkEnd w:id="10"/>
    <w:p>
      <w:pPr>
        <w:ind w:left="7140"/>
        <w:spacing w:after="0"/>
        <w:rPr>
          <w:sz w:val="20"/>
          <w:szCs w:val="20"/>
          <w:color w:val="auto"/>
        </w:rPr>
      </w:pPr>
      <w:r>
        <w:rPr>
          <w:rFonts w:ascii="Courier New" w:cs="Courier New" w:eastAsia="Courier New" w:hAnsi="Courier New"/>
          <w:sz w:val="17"/>
          <w:szCs w:val="17"/>
          <w:color w:val="auto"/>
        </w:rPr>
        <w:t>Exhibit 11</w:t>
      </w:r>
    </w:p>
    <w:p>
      <w:pPr>
        <w:spacing w:after="0" w:line="397" w:lineRule="exact"/>
        <w:rPr>
          <w:sz w:val="20"/>
          <w:szCs w:val="20"/>
          <w:color w:val="auto"/>
        </w:rPr>
      </w:pPr>
    </w:p>
    <w:p>
      <w:pPr>
        <w:jc w:val="center"/>
        <w:ind w:right="3180"/>
        <w:spacing w:after="0" w:line="243" w:lineRule="auto"/>
        <w:rPr>
          <w:sz w:val="20"/>
          <w:szCs w:val="20"/>
          <w:color w:val="auto"/>
        </w:rPr>
      </w:pPr>
      <w:r>
        <w:rPr>
          <w:rFonts w:ascii="Courier New" w:cs="Courier New" w:eastAsia="Courier New" w:hAnsi="Courier New"/>
          <w:sz w:val="17"/>
          <w:szCs w:val="17"/>
          <w:color w:val="auto"/>
        </w:rPr>
        <w:t>THE TORO COMPANY AND SUBSIDIARIES COMPUTATION OF EARNINGS (LOSS) PER COMMON SHARE (UNAUDITED) (DOLLARS IN THOUSANDS, EXCEPT PER-SHARE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20" w:type="dxa"/>
            <w:vAlign w:val="bottom"/>
          </w:tcPr>
          <w:p>
            <w:pPr>
              <w:spacing w:after="0"/>
              <w:rPr>
                <w:sz w:val="16"/>
                <w:szCs w:val="16"/>
                <w:color w:val="auto"/>
              </w:rPr>
            </w:pPr>
          </w:p>
        </w:tc>
        <w:tc>
          <w:tcPr>
            <w:tcW w:w="2760" w:type="dxa"/>
            <w:vAlign w:val="bottom"/>
            <w:gridSpan w:val="3"/>
          </w:tcPr>
          <w:p>
            <w:pPr>
              <w:jc w:val="right"/>
              <w:ind w:right="535"/>
              <w:spacing w:after="0"/>
              <w:rPr>
                <w:sz w:val="20"/>
                <w:szCs w:val="20"/>
                <w:color w:val="auto"/>
              </w:rPr>
            </w:pPr>
            <w:r>
              <w:rPr>
                <w:rFonts w:ascii="Courier New" w:cs="Courier New" w:eastAsia="Courier New" w:hAnsi="Courier New"/>
                <w:sz w:val="17"/>
                <w:szCs w:val="17"/>
                <w:color w:val="auto"/>
              </w:rPr>
              <w:t>Three Months Ended</w:t>
            </w:r>
          </w:p>
        </w:tc>
        <w:tc>
          <w:tcPr>
            <w:tcW w:w="300" w:type="dxa"/>
            <w:vAlign w:val="bottom"/>
          </w:tcPr>
          <w:p>
            <w:pPr>
              <w:spacing w:after="0"/>
              <w:rPr>
                <w:sz w:val="16"/>
                <w:szCs w:val="16"/>
                <w:color w:val="auto"/>
              </w:rPr>
            </w:pPr>
          </w:p>
        </w:tc>
        <w:tc>
          <w:tcPr>
            <w:tcW w:w="2660" w:type="dxa"/>
            <w:vAlign w:val="bottom"/>
            <w:gridSpan w:val="3"/>
          </w:tcPr>
          <w:p>
            <w:pPr>
              <w:jc w:val="right"/>
              <w:ind w:right="535"/>
              <w:spacing w:after="0"/>
              <w:rPr>
                <w:sz w:val="20"/>
                <w:szCs w:val="20"/>
                <w:color w:val="auto"/>
              </w:rPr>
            </w:pPr>
            <w:r>
              <w:rPr>
                <w:rFonts w:ascii="Courier New" w:cs="Courier New" w:eastAsia="Courier New" w:hAnsi="Courier New"/>
                <w:sz w:val="17"/>
                <w:szCs w:val="17"/>
                <w:color w:val="auto"/>
              </w:rPr>
              <w:t>Six Months Ended</w:t>
            </w:r>
          </w:p>
        </w:tc>
      </w:tr>
      <w:tr>
        <w:trPr>
          <w:trHeight w:val="196"/>
        </w:trPr>
        <w:tc>
          <w:tcPr>
            <w:tcW w:w="6940" w:type="dxa"/>
            <w:vAlign w:val="bottom"/>
            <w:gridSpan w:val="2"/>
          </w:tcPr>
          <w:p>
            <w:pPr>
              <w:ind w:left="5620"/>
              <w:spacing w:after="0"/>
              <w:rPr>
                <w:sz w:val="20"/>
                <w:szCs w:val="20"/>
                <w:color w:val="auto"/>
              </w:rPr>
            </w:pPr>
            <w:r>
              <w:rPr>
                <w:rFonts w:ascii="Courier New" w:cs="Courier New" w:eastAsia="Courier New" w:hAnsi="Courier New"/>
                <w:sz w:val="11"/>
                <w:szCs w:val="11"/>
                <w:color w:val="auto"/>
                <w:w w:val="75"/>
              </w:rPr>
              <w:t>--------------------------</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960" w:type="dxa"/>
            <w:vAlign w:val="bottom"/>
            <w:gridSpan w:val="4"/>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6940" w:type="dxa"/>
            <w:vAlign w:val="bottom"/>
            <w:gridSpan w:val="2"/>
          </w:tcPr>
          <w:p>
            <w:pPr>
              <w:ind w:left="5620"/>
              <w:spacing w:after="0"/>
              <w:rPr>
                <w:sz w:val="20"/>
                <w:szCs w:val="20"/>
                <w:color w:val="auto"/>
              </w:rPr>
            </w:pPr>
            <w:r>
              <w:rPr>
                <w:rFonts w:ascii="Courier New" w:cs="Courier New" w:eastAsia="Courier New" w:hAnsi="Courier New"/>
                <w:sz w:val="17"/>
                <w:szCs w:val="17"/>
                <w:color w:val="auto"/>
              </w:rPr>
              <w:t>January 28,</w:t>
            </w:r>
          </w:p>
        </w:tc>
        <w:tc>
          <w:tcPr>
            <w:tcW w:w="15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January 29,</w:t>
            </w:r>
          </w:p>
        </w:tc>
        <w:tc>
          <w:tcPr>
            <w:tcW w:w="15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January 28,</w:t>
            </w:r>
          </w:p>
        </w:tc>
        <w:tc>
          <w:tcPr>
            <w:tcW w:w="14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January 29,</w:t>
            </w:r>
          </w:p>
        </w:tc>
      </w:tr>
      <w:tr>
        <w:trPr>
          <w:trHeight w:val="196"/>
        </w:trPr>
        <w:tc>
          <w:tcPr>
            <w:tcW w:w="5720" w:type="dxa"/>
            <w:vAlign w:val="bottom"/>
          </w:tcPr>
          <w:p>
            <w:pPr>
              <w:spacing w:after="0"/>
              <w:rPr>
                <w:sz w:val="17"/>
                <w:szCs w:val="17"/>
                <w:color w:val="auto"/>
              </w:rPr>
            </w:pPr>
          </w:p>
        </w:tc>
        <w:tc>
          <w:tcPr>
            <w:tcW w:w="12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1994</w:t>
            </w:r>
          </w:p>
        </w:tc>
        <w:tc>
          <w:tcPr>
            <w:tcW w:w="300" w:type="dxa"/>
            <w:vAlign w:val="bottom"/>
          </w:tcPr>
          <w:p>
            <w:pPr>
              <w:spacing w:after="0"/>
              <w:rPr>
                <w:sz w:val="17"/>
                <w:szCs w:val="17"/>
                <w:color w:val="auto"/>
              </w:rPr>
            </w:pPr>
          </w:p>
        </w:tc>
        <w:tc>
          <w:tcPr>
            <w:tcW w:w="12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1993</w:t>
            </w:r>
          </w:p>
        </w:tc>
        <w:tc>
          <w:tcPr>
            <w:tcW w:w="300" w:type="dxa"/>
            <w:vAlign w:val="bottom"/>
          </w:tcPr>
          <w:p>
            <w:pPr>
              <w:spacing w:after="0"/>
              <w:rPr>
                <w:sz w:val="17"/>
                <w:szCs w:val="17"/>
                <w:color w:val="auto"/>
              </w:rPr>
            </w:pPr>
          </w:p>
        </w:tc>
        <w:tc>
          <w:tcPr>
            <w:tcW w:w="12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1994</w:t>
            </w:r>
          </w:p>
        </w:tc>
        <w:tc>
          <w:tcPr>
            <w:tcW w:w="300" w:type="dxa"/>
            <w:vAlign w:val="bottom"/>
          </w:tcPr>
          <w:p>
            <w:pPr>
              <w:spacing w:after="0"/>
              <w:rPr>
                <w:sz w:val="17"/>
                <w:szCs w:val="17"/>
                <w:color w:val="auto"/>
              </w:rPr>
            </w:pPr>
          </w:p>
        </w:tc>
        <w:tc>
          <w:tcPr>
            <w:tcW w:w="11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1993</w:t>
            </w:r>
          </w:p>
        </w:tc>
      </w:tr>
      <w:tr>
        <w:trPr>
          <w:trHeight w:val="196"/>
        </w:trPr>
        <w:tc>
          <w:tcPr>
            <w:tcW w:w="69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392"/>
        </w:trPr>
        <w:tc>
          <w:tcPr>
            <w:tcW w:w="5720" w:type="dxa"/>
            <w:vAlign w:val="bottom"/>
          </w:tcPr>
          <w:p>
            <w:pPr>
              <w:spacing w:after="0"/>
              <w:rPr>
                <w:sz w:val="20"/>
                <w:szCs w:val="20"/>
                <w:color w:val="auto"/>
              </w:rPr>
            </w:pPr>
            <w:r>
              <w:rPr>
                <w:rFonts w:ascii="Courier New" w:cs="Courier New" w:eastAsia="Courier New" w:hAnsi="Courier New"/>
                <w:sz w:val="17"/>
                <w:szCs w:val="17"/>
                <w:color w:val="auto"/>
                <w:w w:val="99"/>
              </w:rPr>
              <w:t>Net earnings (loss). . . . . . . . . . . . . . . . . . $</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4,477</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1,816</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2,582</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(2,320)</w:t>
            </w:r>
          </w:p>
        </w:tc>
      </w:tr>
      <w:tr>
        <w:trPr>
          <w:trHeight w:val="392"/>
        </w:trPr>
        <w:tc>
          <w:tcPr>
            <w:tcW w:w="69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69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392"/>
        </w:trPr>
        <w:tc>
          <w:tcPr>
            <w:tcW w:w="5720" w:type="dxa"/>
            <w:vAlign w:val="bottom"/>
          </w:tcPr>
          <w:p>
            <w:pPr>
              <w:spacing w:after="0"/>
              <w:rPr>
                <w:sz w:val="20"/>
                <w:szCs w:val="20"/>
                <w:color w:val="auto"/>
              </w:rPr>
            </w:pPr>
            <w:r>
              <w:rPr>
                <w:rFonts w:ascii="Courier New" w:cs="Courier New" w:eastAsia="Courier New" w:hAnsi="Courier New"/>
                <w:sz w:val="17"/>
                <w:szCs w:val="17"/>
                <w:color w:val="auto"/>
              </w:rPr>
              <w:t>Primary:</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5720" w:type="dxa"/>
            <w:vAlign w:val="bottom"/>
          </w:tcPr>
          <w:p>
            <w:pPr>
              <w:ind w:left="520"/>
              <w:spacing w:after="0"/>
              <w:rPr>
                <w:sz w:val="20"/>
                <w:szCs w:val="20"/>
                <w:color w:val="auto"/>
              </w:rPr>
            </w:pPr>
            <w:r>
              <w:rPr>
                <w:rFonts w:ascii="Courier New" w:cs="Courier New" w:eastAsia="Courier New" w:hAnsi="Courier New"/>
                <w:sz w:val="17"/>
                <w:szCs w:val="17"/>
                <w:color w:val="auto"/>
              </w:rPr>
              <w:t>Shares for common and common share</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5720" w:type="dxa"/>
            <w:vAlign w:val="bottom"/>
          </w:tcPr>
          <w:p>
            <w:pPr>
              <w:ind w:left="520"/>
              <w:spacing w:after="0"/>
              <w:rPr>
                <w:sz w:val="20"/>
                <w:szCs w:val="20"/>
                <w:color w:val="auto"/>
              </w:rPr>
            </w:pPr>
            <w:r>
              <w:rPr>
                <w:rFonts w:ascii="Courier New" w:cs="Courier New" w:eastAsia="Courier New" w:hAnsi="Courier New"/>
                <w:sz w:val="17"/>
                <w:szCs w:val="17"/>
                <w:color w:val="auto"/>
              </w:rPr>
              <w:t>equivalent net earnings (loss) per share:</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5720" w:type="dxa"/>
            <w:vAlign w:val="bottom"/>
          </w:tcPr>
          <w:p>
            <w:pPr>
              <w:ind w:left="720"/>
              <w:spacing w:after="0"/>
              <w:rPr>
                <w:sz w:val="20"/>
                <w:szCs w:val="20"/>
                <w:color w:val="auto"/>
              </w:rPr>
            </w:pPr>
            <w:r>
              <w:rPr>
                <w:rFonts w:ascii="Courier New" w:cs="Courier New" w:eastAsia="Courier New" w:hAnsi="Courier New"/>
                <w:sz w:val="17"/>
                <w:szCs w:val="17"/>
                <w:color w:val="auto"/>
              </w:rPr>
              <w:t>Weighted average number of common</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5720" w:type="dxa"/>
            <w:vAlign w:val="bottom"/>
          </w:tcPr>
          <w:p>
            <w:pPr>
              <w:ind w:left="920"/>
              <w:spacing w:after="0"/>
              <w:rPr>
                <w:sz w:val="20"/>
                <w:szCs w:val="20"/>
                <w:color w:val="auto"/>
              </w:rPr>
            </w:pPr>
            <w:r>
              <w:rPr>
                <w:rFonts w:ascii="Courier New" w:cs="Courier New" w:eastAsia="Courier New" w:hAnsi="Courier New"/>
                <w:sz w:val="17"/>
                <w:szCs w:val="17"/>
                <w:color w:val="auto"/>
              </w:rPr>
              <w:t>shares outstanding. . . . . . . . . . . . . .</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12,414,115</w:t>
            </w:r>
          </w:p>
        </w:tc>
        <w:tc>
          <w:tcPr>
            <w:tcW w:w="300" w:type="dxa"/>
            <w:vAlign w:val="bottom"/>
          </w:tcPr>
          <w:p>
            <w:pPr>
              <w:spacing w:after="0"/>
              <w:rPr>
                <w:sz w:val="17"/>
                <w:szCs w:val="17"/>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7"/>
              </w:rPr>
              <w:t>12,055,081</w:t>
            </w:r>
          </w:p>
        </w:tc>
        <w:tc>
          <w:tcPr>
            <w:tcW w:w="30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12,368,710</w:t>
            </w:r>
          </w:p>
        </w:tc>
        <w:tc>
          <w:tcPr>
            <w:tcW w:w="300" w:type="dxa"/>
            <w:vAlign w:val="bottom"/>
          </w:tcPr>
          <w:p>
            <w:pPr>
              <w:spacing w:after="0"/>
              <w:rPr>
                <w:sz w:val="17"/>
                <w:szCs w:val="17"/>
                <w:color w:val="auto"/>
              </w:rPr>
            </w:pPr>
          </w:p>
        </w:tc>
        <w:tc>
          <w:tcPr>
            <w:tcW w:w="1140" w:type="dxa"/>
            <w:vAlign w:val="bottom"/>
          </w:tcPr>
          <w:p>
            <w:pPr>
              <w:jc w:val="right"/>
              <w:ind w:right="35"/>
              <w:spacing w:after="0"/>
              <w:rPr>
                <w:sz w:val="20"/>
                <w:szCs w:val="20"/>
                <w:color w:val="auto"/>
              </w:rPr>
            </w:pPr>
            <w:r>
              <w:rPr>
                <w:rFonts w:ascii="Courier New" w:cs="Courier New" w:eastAsia="Courier New" w:hAnsi="Courier New"/>
                <w:sz w:val="17"/>
                <w:szCs w:val="17"/>
                <w:color w:val="auto"/>
                <w:w w:val="97"/>
              </w:rPr>
              <w:t>12,048,289</w:t>
            </w:r>
          </w:p>
        </w:tc>
      </w:tr>
      <w:tr>
        <w:trPr>
          <w:trHeight w:val="196"/>
        </w:trPr>
        <w:tc>
          <w:tcPr>
            <w:tcW w:w="5720" w:type="dxa"/>
            <w:vAlign w:val="bottom"/>
          </w:tcPr>
          <w:p>
            <w:pPr>
              <w:ind w:left="720"/>
              <w:spacing w:after="0"/>
              <w:rPr>
                <w:sz w:val="20"/>
                <w:szCs w:val="20"/>
                <w:color w:val="auto"/>
              </w:rPr>
            </w:pPr>
            <w:r>
              <w:rPr>
                <w:rFonts w:ascii="Courier New" w:cs="Courier New" w:eastAsia="Courier New" w:hAnsi="Courier New"/>
                <w:sz w:val="17"/>
                <w:szCs w:val="17"/>
                <w:color w:val="auto"/>
              </w:rPr>
              <w:t>Dilutive effect of outstanding</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5720" w:type="dxa"/>
            <w:vAlign w:val="bottom"/>
          </w:tcPr>
          <w:p>
            <w:pPr>
              <w:ind w:left="920"/>
              <w:spacing w:after="0"/>
              <w:rPr>
                <w:sz w:val="20"/>
                <w:szCs w:val="20"/>
                <w:color w:val="auto"/>
              </w:rPr>
            </w:pPr>
            <w:r>
              <w:rPr>
                <w:rFonts w:ascii="Courier New" w:cs="Courier New" w:eastAsia="Courier New" w:hAnsi="Courier New"/>
                <w:sz w:val="17"/>
                <w:szCs w:val="17"/>
                <w:color w:val="auto"/>
              </w:rPr>
              <w:t>stock options (1), (3). . . . . . . . . . . .</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551,840</w:t>
            </w:r>
          </w:p>
        </w:tc>
        <w:tc>
          <w:tcPr>
            <w:tcW w:w="300" w:type="dxa"/>
            <w:vAlign w:val="bottom"/>
          </w:tcPr>
          <w:p>
            <w:pPr>
              <w:spacing w:after="0"/>
              <w:rPr>
                <w:sz w:val="17"/>
                <w:szCs w:val="17"/>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306,453</w:t>
            </w:r>
          </w:p>
        </w:tc>
        <w:tc>
          <w:tcPr>
            <w:tcW w:w="30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539,633</w:t>
            </w:r>
          </w:p>
        </w:tc>
        <w:tc>
          <w:tcPr>
            <w:tcW w:w="300" w:type="dxa"/>
            <w:vAlign w:val="bottom"/>
          </w:tcPr>
          <w:p>
            <w:pPr>
              <w:spacing w:after="0"/>
              <w:rPr>
                <w:sz w:val="17"/>
                <w:szCs w:val="17"/>
                <w:color w:val="auto"/>
              </w:rPr>
            </w:pPr>
          </w:p>
        </w:tc>
        <w:tc>
          <w:tcPr>
            <w:tcW w:w="11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69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57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12,965,955</w:t>
            </w:r>
          </w:p>
        </w:tc>
        <w:tc>
          <w:tcPr>
            <w:tcW w:w="300" w:type="dxa"/>
            <w:vAlign w:val="bottom"/>
          </w:tcPr>
          <w:p>
            <w:pPr>
              <w:spacing w:after="0"/>
              <w:rPr>
                <w:sz w:val="17"/>
                <w:szCs w:val="17"/>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7"/>
              </w:rPr>
              <w:t>12,361,534</w:t>
            </w:r>
          </w:p>
        </w:tc>
        <w:tc>
          <w:tcPr>
            <w:tcW w:w="30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12,908,343</w:t>
            </w:r>
          </w:p>
        </w:tc>
        <w:tc>
          <w:tcPr>
            <w:tcW w:w="300" w:type="dxa"/>
            <w:vAlign w:val="bottom"/>
          </w:tcPr>
          <w:p>
            <w:pPr>
              <w:spacing w:after="0"/>
              <w:rPr>
                <w:sz w:val="17"/>
                <w:szCs w:val="17"/>
                <w:color w:val="auto"/>
              </w:rPr>
            </w:pPr>
          </w:p>
        </w:tc>
        <w:tc>
          <w:tcPr>
            <w:tcW w:w="1140" w:type="dxa"/>
            <w:vAlign w:val="bottom"/>
          </w:tcPr>
          <w:p>
            <w:pPr>
              <w:jc w:val="right"/>
              <w:ind w:right="35"/>
              <w:spacing w:after="0"/>
              <w:rPr>
                <w:sz w:val="20"/>
                <w:szCs w:val="20"/>
                <w:color w:val="auto"/>
              </w:rPr>
            </w:pPr>
            <w:r>
              <w:rPr>
                <w:rFonts w:ascii="Courier New" w:cs="Courier New" w:eastAsia="Courier New" w:hAnsi="Courier New"/>
                <w:sz w:val="17"/>
                <w:szCs w:val="17"/>
                <w:color w:val="auto"/>
                <w:w w:val="97"/>
              </w:rPr>
              <w:t>12,048,289</w:t>
            </w:r>
          </w:p>
        </w:tc>
      </w:tr>
      <w:tr>
        <w:trPr>
          <w:trHeight w:val="196"/>
        </w:trPr>
        <w:tc>
          <w:tcPr>
            <w:tcW w:w="69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392"/>
        </w:trPr>
        <w:tc>
          <w:tcPr>
            <w:tcW w:w="5720" w:type="dxa"/>
            <w:vAlign w:val="bottom"/>
          </w:tcPr>
          <w:p>
            <w:pPr>
              <w:ind w:left="720"/>
              <w:spacing w:after="0"/>
              <w:rPr>
                <w:sz w:val="20"/>
                <w:szCs w:val="20"/>
                <w:color w:val="auto"/>
              </w:rPr>
            </w:pPr>
            <w:r>
              <w:rPr>
                <w:rFonts w:ascii="Courier New" w:cs="Courier New" w:eastAsia="Courier New" w:hAnsi="Courier New"/>
                <w:sz w:val="17"/>
                <w:szCs w:val="17"/>
                <w:color w:val="auto"/>
              </w:rPr>
              <w:t>Net earnings (loss) per common and</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5720" w:type="dxa"/>
            <w:vAlign w:val="bottom"/>
          </w:tcPr>
          <w:p>
            <w:pPr>
              <w:ind w:left="920"/>
              <w:spacing w:after="0"/>
              <w:rPr>
                <w:sz w:val="20"/>
                <w:szCs w:val="20"/>
                <w:color w:val="auto"/>
              </w:rPr>
            </w:pPr>
            <w:r>
              <w:rPr>
                <w:rFonts w:ascii="Courier New" w:cs="Courier New" w:eastAsia="Courier New" w:hAnsi="Courier New"/>
                <w:sz w:val="17"/>
                <w:szCs w:val="17"/>
                <w:color w:val="auto"/>
                <w:w w:val="99"/>
              </w:rPr>
              <w:t>common share equivalent . . . . . . . . . . . $</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0.35</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0.15</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0.20</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(0.19)</w:t>
            </w:r>
          </w:p>
        </w:tc>
      </w:tr>
      <w:tr>
        <w:trPr>
          <w:trHeight w:val="196"/>
        </w:trPr>
        <w:tc>
          <w:tcPr>
            <w:tcW w:w="69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69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589"/>
        </w:trPr>
        <w:tc>
          <w:tcPr>
            <w:tcW w:w="5720" w:type="dxa"/>
            <w:vAlign w:val="bottom"/>
          </w:tcPr>
          <w:p>
            <w:pPr>
              <w:spacing w:after="0"/>
              <w:rPr>
                <w:sz w:val="20"/>
                <w:szCs w:val="20"/>
                <w:color w:val="auto"/>
              </w:rPr>
            </w:pPr>
            <w:r>
              <w:rPr>
                <w:rFonts w:ascii="Courier New" w:cs="Courier New" w:eastAsia="Courier New" w:hAnsi="Courier New"/>
                <w:sz w:val="17"/>
                <w:szCs w:val="17"/>
                <w:color w:val="auto"/>
              </w:rPr>
              <w:t>Fully Diluted:</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5720" w:type="dxa"/>
            <w:vAlign w:val="bottom"/>
          </w:tcPr>
          <w:p>
            <w:pPr>
              <w:ind w:left="520"/>
              <w:spacing w:after="0"/>
              <w:rPr>
                <w:sz w:val="20"/>
                <w:szCs w:val="20"/>
                <w:color w:val="auto"/>
              </w:rPr>
            </w:pPr>
            <w:r>
              <w:rPr>
                <w:rFonts w:ascii="Courier New" w:cs="Courier New" w:eastAsia="Courier New" w:hAnsi="Courier New"/>
                <w:sz w:val="17"/>
                <w:szCs w:val="17"/>
                <w:color w:val="auto"/>
              </w:rPr>
              <w:t>Shares for common and common share</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5720" w:type="dxa"/>
            <w:vAlign w:val="bottom"/>
          </w:tcPr>
          <w:p>
            <w:pPr>
              <w:ind w:left="520"/>
              <w:spacing w:after="0"/>
              <w:rPr>
                <w:sz w:val="20"/>
                <w:szCs w:val="20"/>
                <w:color w:val="auto"/>
              </w:rPr>
            </w:pPr>
            <w:r>
              <w:rPr>
                <w:rFonts w:ascii="Courier New" w:cs="Courier New" w:eastAsia="Courier New" w:hAnsi="Courier New"/>
                <w:sz w:val="17"/>
                <w:szCs w:val="17"/>
                <w:color w:val="auto"/>
              </w:rPr>
              <w:t>equivalent net earnings (loss) per share:</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5720" w:type="dxa"/>
            <w:vAlign w:val="bottom"/>
          </w:tcPr>
          <w:p>
            <w:pPr>
              <w:ind w:left="720"/>
              <w:spacing w:after="0"/>
              <w:rPr>
                <w:sz w:val="20"/>
                <w:szCs w:val="20"/>
                <w:color w:val="auto"/>
              </w:rPr>
            </w:pPr>
            <w:r>
              <w:rPr>
                <w:rFonts w:ascii="Courier New" w:cs="Courier New" w:eastAsia="Courier New" w:hAnsi="Courier New"/>
                <w:sz w:val="17"/>
                <w:szCs w:val="17"/>
                <w:color w:val="auto"/>
              </w:rPr>
              <w:t>Weighted average number of common</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5720" w:type="dxa"/>
            <w:vAlign w:val="bottom"/>
          </w:tcPr>
          <w:p>
            <w:pPr>
              <w:ind w:left="920"/>
              <w:spacing w:after="0"/>
              <w:rPr>
                <w:sz w:val="20"/>
                <w:szCs w:val="20"/>
                <w:color w:val="auto"/>
              </w:rPr>
            </w:pPr>
            <w:r>
              <w:rPr>
                <w:rFonts w:ascii="Courier New" w:cs="Courier New" w:eastAsia="Courier New" w:hAnsi="Courier New"/>
                <w:sz w:val="17"/>
                <w:szCs w:val="17"/>
                <w:color w:val="auto"/>
              </w:rPr>
              <w:t>shares outstanding. . . . . . . . . . . . . .</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12,414,115</w:t>
            </w:r>
          </w:p>
        </w:tc>
        <w:tc>
          <w:tcPr>
            <w:tcW w:w="300" w:type="dxa"/>
            <w:vAlign w:val="bottom"/>
          </w:tcPr>
          <w:p>
            <w:pPr>
              <w:spacing w:after="0"/>
              <w:rPr>
                <w:sz w:val="17"/>
                <w:szCs w:val="17"/>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7"/>
              </w:rPr>
              <w:t>12,055,081</w:t>
            </w:r>
          </w:p>
        </w:tc>
        <w:tc>
          <w:tcPr>
            <w:tcW w:w="30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12,368,710</w:t>
            </w:r>
          </w:p>
        </w:tc>
        <w:tc>
          <w:tcPr>
            <w:tcW w:w="300" w:type="dxa"/>
            <w:vAlign w:val="bottom"/>
          </w:tcPr>
          <w:p>
            <w:pPr>
              <w:spacing w:after="0"/>
              <w:rPr>
                <w:sz w:val="17"/>
                <w:szCs w:val="17"/>
                <w:color w:val="auto"/>
              </w:rPr>
            </w:pPr>
          </w:p>
        </w:tc>
        <w:tc>
          <w:tcPr>
            <w:tcW w:w="1140" w:type="dxa"/>
            <w:vAlign w:val="bottom"/>
          </w:tcPr>
          <w:p>
            <w:pPr>
              <w:jc w:val="right"/>
              <w:ind w:right="35"/>
              <w:spacing w:after="0"/>
              <w:rPr>
                <w:sz w:val="20"/>
                <w:szCs w:val="20"/>
                <w:color w:val="auto"/>
              </w:rPr>
            </w:pPr>
            <w:r>
              <w:rPr>
                <w:rFonts w:ascii="Courier New" w:cs="Courier New" w:eastAsia="Courier New" w:hAnsi="Courier New"/>
                <w:sz w:val="17"/>
                <w:szCs w:val="17"/>
                <w:color w:val="auto"/>
                <w:w w:val="97"/>
              </w:rPr>
              <w:t>12,048,289</w:t>
            </w:r>
          </w:p>
        </w:tc>
      </w:tr>
      <w:tr>
        <w:trPr>
          <w:trHeight w:val="196"/>
        </w:trPr>
        <w:tc>
          <w:tcPr>
            <w:tcW w:w="5720" w:type="dxa"/>
            <w:vAlign w:val="bottom"/>
          </w:tcPr>
          <w:p>
            <w:pPr>
              <w:ind w:left="720"/>
              <w:spacing w:after="0"/>
              <w:rPr>
                <w:sz w:val="20"/>
                <w:szCs w:val="20"/>
                <w:color w:val="auto"/>
              </w:rPr>
            </w:pPr>
            <w:r>
              <w:rPr>
                <w:rFonts w:ascii="Courier New" w:cs="Courier New" w:eastAsia="Courier New" w:hAnsi="Courier New"/>
                <w:sz w:val="17"/>
                <w:szCs w:val="17"/>
                <w:color w:val="auto"/>
              </w:rPr>
              <w:t>Dilutive effect of outstanding</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5720" w:type="dxa"/>
            <w:vAlign w:val="bottom"/>
          </w:tcPr>
          <w:p>
            <w:pPr>
              <w:ind w:left="920"/>
              <w:spacing w:after="0"/>
              <w:rPr>
                <w:sz w:val="20"/>
                <w:szCs w:val="20"/>
                <w:color w:val="auto"/>
              </w:rPr>
            </w:pPr>
            <w:r>
              <w:rPr>
                <w:rFonts w:ascii="Courier New" w:cs="Courier New" w:eastAsia="Courier New" w:hAnsi="Courier New"/>
                <w:sz w:val="17"/>
                <w:szCs w:val="17"/>
                <w:color w:val="auto"/>
              </w:rPr>
              <w:t>stock options (2), (3). . . . . . . . . . . .</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565,762</w:t>
            </w:r>
          </w:p>
        </w:tc>
        <w:tc>
          <w:tcPr>
            <w:tcW w:w="300" w:type="dxa"/>
            <w:vAlign w:val="bottom"/>
          </w:tcPr>
          <w:p>
            <w:pPr>
              <w:spacing w:after="0"/>
              <w:rPr>
                <w:sz w:val="17"/>
                <w:szCs w:val="17"/>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306,453</w:t>
            </w:r>
          </w:p>
        </w:tc>
        <w:tc>
          <w:tcPr>
            <w:tcW w:w="30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585,798</w:t>
            </w:r>
          </w:p>
        </w:tc>
        <w:tc>
          <w:tcPr>
            <w:tcW w:w="300" w:type="dxa"/>
            <w:vAlign w:val="bottom"/>
          </w:tcPr>
          <w:p>
            <w:pPr>
              <w:spacing w:after="0"/>
              <w:rPr>
                <w:sz w:val="17"/>
                <w:szCs w:val="17"/>
                <w:color w:val="auto"/>
              </w:rPr>
            </w:pPr>
          </w:p>
        </w:tc>
        <w:tc>
          <w:tcPr>
            <w:tcW w:w="11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69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57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12,979,877</w:t>
            </w:r>
          </w:p>
        </w:tc>
        <w:tc>
          <w:tcPr>
            <w:tcW w:w="300" w:type="dxa"/>
            <w:vAlign w:val="bottom"/>
          </w:tcPr>
          <w:p>
            <w:pPr>
              <w:spacing w:after="0"/>
              <w:rPr>
                <w:sz w:val="17"/>
                <w:szCs w:val="17"/>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7"/>
              </w:rPr>
              <w:t>12,361,534</w:t>
            </w:r>
          </w:p>
        </w:tc>
        <w:tc>
          <w:tcPr>
            <w:tcW w:w="30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12,954,508</w:t>
            </w:r>
          </w:p>
        </w:tc>
        <w:tc>
          <w:tcPr>
            <w:tcW w:w="300" w:type="dxa"/>
            <w:vAlign w:val="bottom"/>
          </w:tcPr>
          <w:p>
            <w:pPr>
              <w:spacing w:after="0"/>
              <w:rPr>
                <w:sz w:val="17"/>
                <w:szCs w:val="17"/>
                <w:color w:val="auto"/>
              </w:rPr>
            </w:pPr>
          </w:p>
        </w:tc>
        <w:tc>
          <w:tcPr>
            <w:tcW w:w="1140" w:type="dxa"/>
            <w:vAlign w:val="bottom"/>
          </w:tcPr>
          <w:p>
            <w:pPr>
              <w:jc w:val="right"/>
              <w:ind w:right="35"/>
              <w:spacing w:after="0"/>
              <w:rPr>
                <w:sz w:val="20"/>
                <w:szCs w:val="20"/>
                <w:color w:val="auto"/>
              </w:rPr>
            </w:pPr>
            <w:r>
              <w:rPr>
                <w:rFonts w:ascii="Courier New" w:cs="Courier New" w:eastAsia="Courier New" w:hAnsi="Courier New"/>
                <w:sz w:val="17"/>
                <w:szCs w:val="17"/>
                <w:color w:val="auto"/>
                <w:w w:val="97"/>
              </w:rPr>
              <w:t>12,048,289</w:t>
            </w:r>
          </w:p>
        </w:tc>
      </w:tr>
      <w:tr>
        <w:trPr>
          <w:trHeight w:val="196"/>
        </w:trPr>
        <w:tc>
          <w:tcPr>
            <w:tcW w:w="69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392"/>
        </w:trPr>
        <w:tc>
          <w:tcPr>
            <w:tcW w:w="5720" w:type="dxa"/>
            <w:vAlign w:val="bottom"/>
          </w:tcPr>
          <w:p>
            <w:pPr>
              <w:ind w:left="720"/>
              <w:spacing w:after="0"/>
              <w:rPr>
                <w:sz w:val="20"/>
                <w:szCs w:val="20"/>
                <w:color w:val="auto"/>
              </w:rPr>
            </w:pPr>
            <w:r>
              <w:rPr>
                <w:rFonts w:ascii="Courier New" w:cs="Courier New" w:eastAsia="Courier New" w:hAnsi="Courier New"/>
                <w:sz w:val="17"/>
                <w:szCs w:val="17"/>
                <w:color w:val="auto"/>
              </w:rPr>
              <w:t>Net earnings (loss) per common and</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5720" w:type="dxa"/>
            <w:vAlign w:val="bottom"/>
          </w:tcPr>
          <w:p>
            <w:pPr>
              <w:ind w:left="920"/>
              <w:spacing w:after="0"/>
              <w:rPr>
                <w:sz w:val="20"/>
                <w:szCs w:val="20"/>
                <w:color w:val="auto"/>
              </w:rPr>
            </w:pPr>
            <w:r>
              <w:rPr>
                <w:rFonts w:ascii="Courier New" w:cs="Courier New" w:eastAsia="Courier New" w:hAnsi="Courier New"/>
                <w:sz w:val="17"/>
                <w:szCs w:val="17"/>
                <w:color w:val="auto"/>
                <w:w w:val="99"/>
              </w:rPr>
              <w:t>common share equivalent . . . . . . . . . . . $</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0.35</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0.15</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0.20</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(0.19)</w:t>
            </w:r>
          </w:p>
        </w:tc>
      </w:tr>
      <w:tr>
        <w:trPr>
          <w:trHeight w:val="196"/>
        </w:trPr>
        <w:tc>
          <w:tcPr>
            <w:tcW w:w="69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69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ind w:left="520" w:right="3480" w:hanging="515"/>
        <w:spacing w:after="0" w:line="266" w:lineRule="auto"/>
        <w:tabs>
          <w:tab w:leader="none" w:pos="5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stock options and options exercised in the current period are converted to common share equivalents by the treasury stock method using the average market price of the Company's stock during each period.</w:t>
      </w:r>
    </w:p>
    <w:p>
      <w:pPr>
        <w:spacing w:after="0" w:line="182" w:lineRule="exact"/>
        <w:rPr>
          <w:rFonts w:ascii="Courier New" w:cs="Courier New" w:eastAsia="Courier New" w:hAnsi="Courier New"/>
          <w:sz w:val="16"/>
          <w:szCs w:val="16"/>
          <w:color w:val="auto"/>
        </w:rPr>
      </w:pPr>
    </w:p>
    <w:p>
      <w:pPr>
        <w:ind w:left="520" w:right="3480" w:hanging="515"/>
        <w:spacing w:after="0" w:line="244" w:lineRule="auto"/>
        <w:tabs>
          <w:tab w:leader="none" w:pos="5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Outstanding stock options and options exercised in the current period are converted to common share equivalents by the treasury stock method using the greater of the average market price or the period-end market price of the Company's stock during each period.</w:t>
      </w:r>
    </w:p>
    <w:p>
      <w:pPr>
        <w:spacing w:after="0" w:line="197" w:lineRule="exact"/>
        <w:rPr>
          <w:rFonts w:ascii="Courier New" w:cs="Courier New" w:eastAsia="Courier New" w:hAnsi="Courier New"/>
          <w:sz w:val="17"/>
          <w:szCs w:val="17"/>
          <w:color w:val="auto"/>
        </w:rPr>
      </w:pPr>
    </w:p>
    <w:p>
      <w:pPr>
        <w:ind w:left="520" w:right="3480" w:hanging="515"/>
        <w:spacing w:after="0" w:line="243" w:lineRule="auto"/>
        <w:tabs>
          <w:tab w:leader="none" w:pos="5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Loss per share calculations are based on weighted average common shares outstanding excluding common stock equivalents due to their anti-dilutive affect.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sectPr>
      <w:pgSz w:w="11900" w:h="16838" w:orient="portrait"/>
      <w:cols w:equalWidth="0" w:num="1">
        <w:col w:w="11440"/>
      </w:cols>
      <w:pgMar w:left="240" w:top="899" w:right="219" w:bottom="85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2019-12-13T13:38:27Z</dcterms:created>
  <dcterms:modified xsi:type="dcterms:W3CDTF">2019-12-13T13:38:27Z</dcterms:modified>
</cp:coreProperties>
</file>