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3, 2007</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44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00" w:space="720"/>
            <w:col w:w="3380"/>
          </w:cols>
          <w:pgMar w:left="240" w:top="1440" w:right="23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(952) 888-8801</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9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8"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color w:val="auto"/>
        </w:rPr>
        <w:t>Yes S</w:t>
        <w:tab/>
        <w:t>No £</w:t>
      </w:r>
    </w:p>
    <w:p>
      <w:pPr>
        <w:spacing w:after="0" w:line="200" w:lineRule="exact"/>
        <w:rPr>
          <w:sz w:val="24"/>
          <w:szCs w:val="24"/>
          <w:color w:val="auto"/>
        </w:rPr>
      </w:pPr>
    </w:p>
    <w:p>
      <w:pPr>
        <w:spacing w:after="0" w:line="29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97" w:lineRule="exact"/>
        <w:rPr>
          <w:sz w:val="24"/>
          <w:szCs w:val="24"/>
          <w:color w:val="auto"/>
        </w:rPr>
      </w:pPr>
    </w:p>
    <w:p>
      <w:pPr>
        <w:spacing w:after="0"/>
        <w:tabs>
          <w:tab w:leader="none" w:pos="3780" w:val="left"/>
          <w:tab w:leader="none" w:pos="7600" w:val="left"/>
        </w:tabs>
        <w:rPr>
          <w:sz w:val="20"/>
          <w:szCs w:val="20"/>
          <w:color w:val="auto"/>
        </w:rPr>
      </w:pPr>
      <w:r>
        <w:rPr>
          <w:rFonts w:ascii="Arial" w:cs="Arial" w:eastAsia="Arial" w:hAnsi="Arial"/>
          <w:sz w:val="18"/>
          <w:szCs w:val="18"/>
          <w:color w:val="auto"/>
        </w:rPr>
        <w:t>Large accelerated filer S</w:t>
      </w:r>
      <w:r>
        <w:rPr>
          <w:sz w:val="20"/>
          <w:szCs w:val="20"/>
          <w:color w:val="auto"/>
        </w:rPr>
        <w:tab/>
      </w:r>
      <w:r>
        <w:rPr>
          <w:rFonts w:ascii="Arial" w:cs="Arial" w:eastAsia="Arial" w:hAnsi="Arial"/>
          <w:sz w:val="18"/>
          <w:szCs w:val="18"/>
          <w:color w:val="auto"/>
        </w:rPr>
        <w:t>Accelerated filer £</w:t>
      </w:r>
      <w:r>
        <w:rPr>
          <w:sz w:val="20"/>
          <w:szCs w:val="20"/>
          <w:color w:val="auto"/>
        </w:rPr>
        <w:tab/>
      </w:r>
      <w:r>
        <w:rPr>
          <w:rFonts w:ascii="Arial" w:cs="Arial" w:eastAsia="Arial" w:hAnsi="Arial"/>
          <w:sz w:val="16"/>
          <w:szCs w:val="16"/>
          <w:color w:val="auto"/>
        </w:rPr>
        <w:t>Non-accelerated filer £</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color w:val="auto"/>
        </w:rPr>
        <w:t>Yes £</w:t>
        <w:tab/>
        <w:t>No S</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August 31, 2007 was 39,705,479.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68"/>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7"/>
          </w:tcPr>
          <w:p>
            <w:pPr>
              <w:jc w:val="center"/>
              <w:ind w:right="2340"/>
              <w:spacing w:after="0"/>
              <w:rPr>
                <w:sz w:val="20"/>
                <w:szCs w:val="20"/>
                <w:color w:val="auto"/>
              </w:rPr>
            </w:pPr>
            <w:r>
              <w:rPr>
                <w:rFonts w:ascii="Arial" w:cs="Arial" w:eastAsia="Arial" w:hAnsi="Arial"/>
                <w:sz w:val="32"/>
                <w:szCs w:val="32"/>
                <w:b w:val="1"/>
                <w:bCs w:val="1"/>
                <w:color w:val="auto"/>
              </w:rPr>
              <w:t>THE TORO COMPANY</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7"/>
          </w:tcPr>
          <w:p>
            <w:pPr>
              <w:jc w:val="center"/>
              <w:ind w:right="2340"/>
              <w:spacing w:after="0"/>
              <w:rPr>
                <w:sz w:val="20"/>
                <w:szCs w:val="20"/>
                <w:color w:val="auto"/>
              </w:rPr>
            </w:pPr>
            <w:r>
              <w:rPr>
                <w:rFonts w:ascii="Arial" w:cs="Arial" w:eastAsia="Arial" w:hAnsi="Arial"/>
                <w:sz w:val="32"/>
                <w:szCs w:val="32"/>
                <w:b w:val="1"/>
                <w:bCs w:val="1"/>
                <w:color w:val="auto"/>
              </w:rPr>
              <w:t>INDEX TO FORM 10-Q</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Page Number</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960" w:type="dxa"/>
            <w:vAlign w:val="bottom"/>
            <w:gridSpan w:val="16"/>
          </w:tcPr>
          <w:p>
            <w:pPr>
              <w:ind w:left="440"/>
              <w:spacing w:after="0"/>
              <w:rPr>
                <w:sz w:val="20"/>
                <w:szCs w:val="20"/>
                <w:color w:val="auto"/>
              </w:rPr>
            </w:pPr>
            <w:r>
              <w:rPr>
                <w:rFonts w:ascii="Arial" w:cs="Arial" w:eastAsia="Arial" w:hAnsi="Arial"/>
                <w:sz w:val="18"/>
                <w:szCs w:val="18"/>
                <w:b w:val="1"/>
                <w:bCs w:val="1"/>
                <w:color w:val="auto"/>
              </w:rPr>
              <w:t>FINANCIAL INFORMATION: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60" w:type="dxa"/>
            <w:vAlign w:val="bottom"/>
            <w:gridSpan w:val="16"/>
          </w:tcPr>
          <w:p>
            <w:pPr>
              <w:ind w:left="440"/>
              <w:spacing w:after="0"/>
              <w:rPr>
                <w:sz w:val="20"/>
                <w:szCs w:val="20"/>
                <w:color w:val="auto"/>
              </w:rPr>
            </w:pPr>
            <w:r>
              <w:rPr>
                <w:rFonts w:ascii="Arial" w:cs="Arial" w:eastAsia="Arial" w:hAnsi="Arial"/>
                <w:sz w:val="18"/>
                <w:szCs w:val="18"/>
                <w:color w:val="auto"/>
              </w:rPr>
              <w:t>Financial Statements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0" w:type="dxa"/>
            <w:vAlign w:val="bottom"/>
            <w:gridSpan w:val="15"/>
          </w:tcPr>
          <w:p>
            <w:pPr>
              <w:spacing w:after="0" w:line="190"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Earnings (Unaudited) –Three and Nine Months Ended August 3, 2007</w:t>
              </w:r>
            </w:hyperlink>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and August 4, 2006</w:t>
              </w:r>
            </w:hyperlink>
          </w:p>
        </w:tc>
        <w:tc>
          <w:tcPr>
            <w:tcW w:w="6180" w:type="dxa"/>
            <w:vAlign w:val="bottom"/>
            <w:tcBorders>
              <w:top w:val="single" w:sz="8" w:color="0000EE"/>
            </w:tcBorders>
            <w:gridSpan w:val="6"/>
          </w:tcPr>
          <w:p>
            <w:pPr>
              <w:spacing w:after="0"/>
              <w:rPr>
                <w:sz w:val="17"/>
                <w:szCs w:val="17"/>
                <w:color w:val="auto"/>
              </w:rPr>
            </w:pPr>
          </w:p>
        </w:tc>
        <w:tc>
          <w:tcPr>
            <w:tcW w:w="280" w:type="dxa"/>
            <w:vAlign w:val="bottom"/>
            <w:gridSpan w:val="2"/>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0" w:type="dxa"/>
            <w:vAlign w:val="bottom"/>
            <w:gridSpan w:val="1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Balance Sheets (Unaudited) - August 3, 2007, August 4, 2006, and October 31, 2006</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(Unaudited) -Nine Months Ended August 3, 2007 and August</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4, 2006</w:t>
              </w:r>
            </w:hyperlink>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6-12</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64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1760" w:type="dxa"/>
            <w:vAlign w:val="bottom"/>
            <w:gridSpan w:val="3"/>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12-22</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760" w:type="dxa"/>
            <w:vAlign w:val="bottom"/>
          </w:tcPr>
          <w:p>
            <w:pPr>
              <w:spacing w:after="0"/>
              <w:rPr>
                <w:sz w:val="24"/>
                <w:szCs w:val="24"/>
                <w:color w:val="auto"/>
              </w:rPr>
            </w:pPr>
          </w:p>
        </w:tc>
        <w:tc>
          <w:tcPr>
            <w:tcW w:w="8200" w:type="dxa"/>
            <w:vAlign w:val="bottom"/>
            <w:gridSpan w:val="15"/>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22-23</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760" w:type="dxa"/>
            <w:vAlign w:val="bottom"/>
          </w:tcPr>
          <w:p>
            <w:pPr>
              <w:spacing w:after="0"/>
              <w:rPr>
                <w:sz w:val="24"/>
                <w:szCs w:val="24"/>
                <w:color w:val="auto"/>
              </w:rPr>
            </w:pPr>
          </w:p>
        </w:tc>
        <w:tc>
          <w:tcPr>
            <w:tcW w:w="430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3900" w:type="dxa"/>
            <w:vAlign w:val="bottom"/>
            <w:gridSpan w:val="6"/>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960" w:type="dxa"/>
            <w:vAlign w:val="bottom"/>
            <w:gridSpan w:val="16"/>
          </w:tcPr>
          <w:p>
            <w:pPr>
              <w:ind w:left="440"/>
              <w:spacing w:after="0"/>
              <w:rPr>
                <w:sz w:val="20"/>
                <w:szCs w:val="20"/>
                <w:color w:val="auto"/>
              </w:rPr>
            </w:pPr>
            <w:r>
              <w:rPr>
                <w:rFonts w:ascii="Arial" w:cs="Arial" w:eastAsia="Arial" w:hAnsi="Arial"/>
                <w:sz w:val="18"/>
                <w:szCs w:val="18"/>
                <w:b w:val="1"/>
                <w:bCs w:val="1"/>
                <w:color w:val="auto"/>
              </w:rPr>
              <w:t>OTHER INFORMATION: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0" w:type="dxa"/>
            <w:vAlign w:val="bottom"/>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6860" w:type="dxa"/>
            <w:vAlign w:val="bottom"/>
            <w:gridSpan w:val="9"/>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760" w:type="dxa"/>
            <w:vAlign w:val="bottom"/>
          </w:tcPr>
          <w:p>
            <w:pPr>
              <w:spacing w:after="0"/>
              <w:rPr>
                <w:sz w:val="24"/>
                <w:szCs w:val="24"/>
                <w:color w:val="auto"/>
              </w:rPr>
            </w:pPr>
          </w:p>
        </w:tc>
        <w:tc>
          <w:tcPr>
            <w:tcW w:w="820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6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3740" w:type="dxa"/>
            <w:vAlign w:val="bottom"/>
            <w:tcBorders>
              <w:top w:val="single" w:sz="8" w:color="0000EE"/>
            </w:tcBorders>
            <w:gridSpan w:val="8"/>
          </w:tcPr>
          <w:p>
            <w:pPr>
              <w:spacing w:after="0"/>
              <w:rPr>
                <w:sz w:val="24"/>
                <w:szCs w:val="24"/>
                <w:color w:val="auto"/>
              </w:rPr>
            </w:pPr>
          </w:p>
        </w:tc>
        <w:tc>
          <w:tcPr>
            <w:tcW w:w="3860" w:type="dxa"/>
            <w:vAlign w:val="bottom"/>
            <w:gridSpan w:val="5"/>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25-26</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Signatures</w:t>
              </w:r>
            </w:hyperlink>
          </w:p>
        </w:tc>
        <w:tc>
          <w:tcPr>
            <w:tcW w:w="7440" w:type="dxa"/>
            <w:vAlign w:val="bottom"/>
            <w:gridSpan w:val="12"/>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27"/>
        </w:trPr>
        <w:tc>
          <w:tcPr>
            <w:tcW w:w="1140" w:type="dxa"/>
            <w:vAlign w:val="bottom"/>
          </w:tcPr>
          <w:p>
            <w:pPr>
              <w:spacing w:after="0"/>
              <w:rPr>
                <w:sz w:val="24"/>
                <w:szCs w:val="24"/>
                <w:color w:val="auto"/>
              </w:rPr>
            </w:pPr>
          </w:p>
        </w:tc>
        <w:tc>
          <w:tcPr>
            <w:tcW w:w="5060" w:type="dxa"/>
            <w:vAlign w:val="bottom"/>
            <w:gridSpan w:val="10"/>
          </w:tcPr>
          <w:p>
            <w:pPr>
              <w:jc w:val="center"/>
              <w:ind w:left="3994"/>
              <w:spacing w:after="0"/>
              <w:rPr>
                <w:sz w:val="20"/>
                <w:szCs w:val="20"/>
                <w:color w:val="auto"/>
              </w:rPr>
            </w:pPr>
            <w:r>
              <w:rPr>
                <w:rFonts w:ascii="Arial" w:cs="Arial" w:eastAsia="Arial" w:hAnsi="Arial"/>
                <w:sz w:val="14"/>
                <w:szCs w:val="14"/>
                <w:color w:val="auto"/>
                <w:w w:val="76"/>
              </w:rPr>
              <w:t>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jc w:val="center"/>
        <w:spacing w:after="0" w:line="230" w:lineRule="auto"/>
        <w:rPr>
          <w:sz w:val="20"/>
          <w:szCs w:val="20"/>
          <w:color w:val="auto"/>
        </w:rPr>
      </w:pPr>
      <w:r>
        <w:rPr>
          <w:rFonts w:ascii="Arial" w:cs="Arial" w:eastAsia="Arial" w:hAnsi="Arial"/>
          <w:sz w:val="22"/>
          <w:szCs w:val="22"/>
          <w:b w:val="1"/>
          <w:bCs w:val="1"/>
          <w:color w:val="auto"/>
        </w:rPr>
        <w:t>THE TORO COMPANY AND SUBSIDIARIES</w:t>
      </w:r>
    </w:p>
    <w:p>
      <w:pPr>
        <w:jc w:val="center"/>
        <w:spacing w:after="0" w:line="231" w:lineRule="auto"/>
        <w:rPr>
          <w:sz w:val="20"/>
          <w:szCs w:val="20"/>
          <w:color w:val="auto"/>
        </w:rPr>
      </w:pPr>
      <w:r>
        <w:rPr>
          <w:rFonts w:ascii="Arial" w:cs="Arial" w:eastAsia="Arial" w:hAnsi="Arial"/>
          <w:sz w:val="22"/>
          <w:szCs w:val="22"/>
          <w:b w:val="1"/>
          <w:bCs w:val="1"/>
          <w:color w:val="auto"/>
        </w:rPr>
        <w:t>Condensed Consolidated Statements of Earnings (Unaudited)</w:t>
      </w:r>
    </w:p>
    <w:p>
      <w:pPr>
        <w:jc w:val="center"/>
        <w:spacing w:after="0"/>
        <w:rPr>
          <w:sz w:val="20"/>
          <w:szCs w:val="20"/>
          <w:color w:val="auto"/>
        </w:rPr>
      </w:pPr>
      <w:r>
        <w:rPr>
          <w:rFonts w:ascii="Arial" w:cs="Arial" w:eastAsia="Arial" w:hAnsi="Arial"/>
          <w:sz w:val="22"/>
          <w:szCs w:val="22"/>
          <w:b w:val="1"/>
          <w:bCs w:val="1"/>
          <w:color w:val="auto"/>
        </w:rPr>
        <w:t>(Dollars and shares in thousands, except per share data)</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97"/>
              </w:rPr>
              <w:t>August 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4,</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1"/>
              </w:rPr>
              <w:t>August 3,</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478,707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477,861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1,544,448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1,506,505</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307,525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982,224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974,039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562,224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108,615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348,722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340,129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from operations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213,502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(4,677)</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Earnings before income taxes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204,088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20"/>
              <w:spacing w:after="0" w:line="196" w:lineRule="exact"/>
              <w:rPr>
                <w:sz w:val="20"/>
                <w:szCs w:val="20"/>
                <w:color w:val="auto"/>
              </w:rPr>
            </w:pPr>
            <w:r>
              <w:rPr>
                <w:rFonts w:ascii="Arial" w:cs="Arial" w:eastAsia="Arial" w:hAnsi="Arial"/>
                <w:sz w:val="18"/>
                <w:szCs w:val="18"/>
                <w:color w:val="auto"/>
              </w:rPr>
              <w:t>Net earnings</w:t>
            </w:r>
          </w:p>
        </w:tc>
        <w:tc>
          <w:tcPr>
            <w:tcW w:w="14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42,486</w:t>
            </w: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40,322</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135,902</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124,683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line="196" w:lineRule="exact"/>
              <w:rPr>
                <w:sz w:val="20"/>
                <w:szCs w:val="20"/>
                <w:color w:val="auto"/>
              </w:rPr>
            </w:pPr>
            <w:r>
              <w:rPr>
                <w:rFonts w:ascii="Arial" w:cs="Arial" w:eastAsia="Arial" w:hAnsi="Arial"/>
                <w:sz w:val="18"/>
                <w:szCs w:val="18"/>
                <w:color w:val="auto"/>
              </w:rPr>
              <w:t>Basic net earnings per share of common stock</w:t>
            </w:r>
          </w:p>
        </w:tc>
        <w:tc>
          <w:tcPr>
            <w:tcW w:w="14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1.05</w:t>
            </w: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0.94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3.32</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line="196" w:lineRule="exact"/>
              <w:rPr>
                <w:sz w:val="20"/>
                <w:szCs w:val="20"/>
                <w:color w:val="auto"/>
              </w:rPr>
            </w:pPr>
            <w:r>
              <w:rPr>
                <w:rFonts w:ascii="Arial" w:cs="Arial" w:eastAsia="Arial" w:hAnsi="Arial"/>
                <w:sz w:val="18"/>
                <w:szCs w:val="18"/>
                <w:color w:val="auto"/>
              </w:rPr>
              <w:t>Diluted net earnings per share of common stock</w:t>
            </w:r>
          </w:p>
        </w:tc>
        <w:tc>
          <w:tcPr>
            <w:tcW w:w="14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1.02</w:t>
            </w: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0.91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3.23</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of common</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stock outstanding – Basic</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42,852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40,938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Weighted-average number of shares of common</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outstanding – Diluted</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THE TORO COMPANY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 (Unaudited)</w:t>
      </w: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August 3,</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August 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ASSETS</w:t>
            </w:r>
          </w:p>
        </w:tc>
        <w:tc>
          <w:tcPr>
            <w:tcW w:w="67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94,192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24,815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379,788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394,038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243,437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255,031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56,326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55,846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788,934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744,834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569,981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528,846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399,233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365,143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374,016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11,269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8,197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81,768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81,469</w:t>
            </w: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1,060,106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1,003,468</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919,073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3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83,366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86,998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351,198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380,690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342,629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223,157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 and other long-term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Preferred stock, par value $1.00, authorized 1,000,000 voting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and 850,000 non-voting shares, none issued and outstanding</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Common stock, par value $1.00, authorized 100,000,000 shares,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issued and outstanding 39,774,219 shares as of August 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2007 (net of 14,258,001 treasury shares), 41,374,724 shares as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of August 4, 2006 (net of 12,657,496 treasury shares), and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40,355,714 shares as of October 31, 2006 (net of 13,676,506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treasury shares)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39,774</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439,780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405,947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475,397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437,301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392,029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1,060,106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1,003,468</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919,073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 w:name="page5"/>
    <w:bookmarkEnd w:id="4"/>
    <w:p>
      <w:pPr>
        <w:jc w:val="center"/>
        <w:ind w:left="260" w:right="2760"/>
        <w:spacing w:after="0" w:line="243" w:lineRule="auto"/>
        <w:rPr>
          <w:sz w:val="20"/>
          <w:szCs w:val="20"/>
          <w:color w:val="auto"/>
        </w:rPr>
      </w:pPr>
      <w:r>
        <w:rPr>
          <w:rFonts w:ascii="Arial" w:cs="Arial" w:eastAsia="Arial" w:hAnsi="Arial"/>
          <w:sz w:val="22"/>
          <w:szCs w:val="22"/>
          <w:b w:val="1"/>
          <w:bCs w:val="1"/>
          <w:color w:val="auto"/>
        </w:rPr>
        <w:t>THE TORO COMPANY AND SUBSIDIARIES Condensed Consolidated Statements of Cash Flows (Unaudited) (Dollars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1"/>
              </w:rPr>
              <w:t>August 3,</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earnings</w:t>
            </w:r>
          </w:p>
        </w:tc>
        <w:tc>
          <w:tcPr>
            <w:tcW w:w="2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135,902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provided by operating activities: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losses from investments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30,263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deferred income taxes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 net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Accounts payable, accrued expenses, and deferred revenue</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(32,863)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asset disposals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Increase in investment in affiliates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other assets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Increase in short-term debt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long-term debt, net of costs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11,456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(14,729)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55,523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as of the end of the fiscal period</w:t>
            </w:r>
          </w:p>
        </w:tc>
        <w:tc>
          <w:tcPr>
            <w:tcW w:w="22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94,192</w:t>
            </w:r>
          </w:p>
        </w:tc>
        <w:tc>
          <w:tcPr>
            <w:tcW w:w="2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center"/>
        <w:spacing w:after="0" w:line="243" w:lineRule="auto"/>
        <w:rPr>
          <w:sz w:val="20"/>
          <w:szCs w:val="20"/>
          <w:color w:val="auto"/>
        </w:rPr>
      </w:pPr>
      <w:r>
        <w:rPr>
          <w:rFonts w:ascii="Arial" w:cs="Arial" w:eastAsia="Arial" w:hAnsi="Arial"/>
          <w:sz w:val="22"/>
          <w:szCs w:val="22"/>
          <w:b w:val="1"/>
          <w:bCs w:val="1"/>
          <w:color w:val="auto"/>
        </w:rPr>
        <w:t>THE TORO COMPANY AND SUBSIDIARIES Notes to Condensed Consolidated Financial Statements (Unaudited) August 3,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nine months ended August 3, 2007 cannot be annualized to determine the expected results for the fiscal year ending October 31, 2007. Certain amounts from prior period’s financial statements have been reclassified to conform to this period’s presentation.</w:t>
      </w:r>
    </w:p>
    <w:p>
      <w:pPr>
        <w:spacing w:after="0" w:line="5" w:lineRule="exact"/>
        <w:rPr>
          <w:sz w:val="20"/>
          <w:szCs w:val="20"/>
          <w:color w:val="auto"/>
        </w:rPr>
      </w:pPr>
    </w:p>
    <w:p>
      <w:pPr>
        <w:jc w:val="both"/>
        <w:ind w:right="160" w:firstLine="222"/>
        <w:spacing w:after="0" w:line="250"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2006. The policies described in that report are used for preparing quarterly reports.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preparing the consolidated financial statements in conformity with U.S. generally accepted accounting principles,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to the consolidated financial statements in the company’s Annual Report on Form 10-K describe various elements of the financial statements and the assumptions made in determining specific amounts.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ind w:left="34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1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97"/>
              </w:rPr>
              <w:t>August 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4,</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1"/>
              </w:rPr>
              <w:t>August 3,</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42,486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Cumulative translation adjustments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Unrealized (loss) gain on derivative</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instruments, net of taxes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line="196" w:lineRule="exact"/>
              <w:rPr>
                <w:sz w:val="20"/>
                <w:szCs w:val="20"/>
                <w:color w:val="auto"/>
              </w:rPr>
            </w:pPr>
            <w:r>
              <w:rPr>
                <w:rFonts w:ascii="Arial" w:cs="Arial" w:eastAsia="Arial" w:hAnsi="Arial"/>
                <w:sz w:val="18"/>
                <w:szCs w:val="18"/>
                <w:color w:val="auto"/>
              </w:rPr>
              <w:t>Comprehensive income</w:t>
            </w:r>
          </w:p>
        </w:tc>
        <w:tc>
          <w:tcPr>
            <w:tcW w:w="19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43,227</w:t>
            </w: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41,600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138,594</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126,243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80" w:type="dxa"/>
            <w:vAlign w:val="bottom"/>
            <w:vMerge w:val="restart"/>
          </w:tcPr>
          <w:p>
            <w:pPr>
              <w:jc w:val="right"/>
              <w:ind w:right="256"/>
              <w:spacing w:after="0"/>
              <w:rPr>
                <w:sz w:val="20"/>
                <w:szCs w:val="20"/>
                <w:color w:val="auto"/>
              </w:rPr>
            </w:pPr>
            <w:r>
              <w:rPr>
                <w:rFonts w:ascii="Arial" w:cs="Arial" w:eastAsia="Arial" w:hAnsi="Arial"/>
                <w:sz w:val="14"/>
                <w:szCs w:val="14"/>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accounts for stock-based compensation awards in accordance with the provisions of Statement of Financial Accounting Standards (SFAS) No. 123 (Revised 2004), “Share-Based Payment.” During the first two quarters of fiscal 2007, option awards were granted with an exercise price equal to the market price of the company’s common stock as of the date of grant. For certain non-officer employees, the options vest after two years from the date of grant and have a five-year contractual term. Other options granted during the first quarter of fiscal 2007 vest one-third each year over a three-year period and have a ten-year contractual term. Compensation expense equal to the grant date fair value is recognized for these awards over the vesting period. The company also issues performance shares to key employees. The company determines the fair value of these performance shares as of the date of grant and recognizes the expense over the vesting period. Total compensation expense for option awards and performance shares for both the third quarter of fiscal 2007 and 2006 was $1.6 million. Year-to-date compensation expense for option awards and performance shares through the third quarter of fiscal 2007 and 2006 was $5.5 million and $5.6 million, respectively.</w:t>
      </w:r>
    </w:p>
    <w:p>
      <w:pPr>
        <w:spacing w:after="0" w:line="2" w:lineRule="exact"/>
        <w:rPr>
          <w:sz w:val="20"/>
          <w:szCs w:val="20"/>
          <w:color w:val="auto"/>
        </w:rPr>
      </w:pPr>
    </w:p>
    <w:p>
      <w:pPr>
        <w:ind w:right="20" w:firstLine="222"/>
        <w:spacing w:after="0" w:line="251" w:lineRule="auto"/>
        <w:rPr>
          <w:sz w:val="20"/>
          <w:szCs w:val="20"/>
          <w:color w:val="auto"/>
        </w:rPr>
      </w:pPr>
      <w:r>
        <w:rPr>
          <w:rFonts w:ascii="Arial" w:cs="Arial" w:eastAsia="Arial" w:hAnsi="Arial"/>
          <w:sz w:val="18"/>
          <w:szCs w:val="18"/>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Fiscal 2007</w:t>
            </w:r>
          </w:p>
        </w:tc>
        <w:tc>
          <w:tcPr>
            <w:tcW w:w="260" w:type="dxa"/>
            <w:vAlign w:val="bottom"/>
          </w:tcPr>
          <w:p>
            <w:pPr>
              <w:spacing w:after="0"/>
              <w:rPr>
                <w:sz w:val="20"/>
                <w:szCs w:val="20"/>
                <w:color w:val="auto"/>
              </w:rPr>
            </w:pPr>
          </w:p>
        </w:tc>
        <w:tc>
          <w:tcPr>
            <w:tcW w:w="23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Fiscal 2006</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 6.5</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 – 6.5</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24.96% - 26.44%</w:t>
            </w:r>
          </w:p>
        </w:tc>
        <w:tc>
          <w:tcPr>
            <w:tcW w:w="26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25.26% - 26.96%</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25.65%</w:t>
            </w:r>
          </w:p>
        </w:tc>
        <w:tc>
          <w:tcPr>
            <w:tcW w:w="2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26.12%</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4.420% - 4.528%</w:t>
            </w:r>
          </w:p>
        </w:tc>
        <w:tc>
          <w:tcPr>
            <w:tcW w:w="26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4.399% - 4.526%</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0.78%- 0.90%</w:t>
            </w:r>
          </w:p>
        </w:tc>
        <w:tc>
          <w:tcPr>
            <w:tcW w:w="2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0.65%- 0.70%</w:t>
            </w: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0.84%</w:t>
            </w:r>
          </w:p>
        </w:tc>
        <w:tc>
          <w:tcPr>
            <w:tcW w:w="26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0.67%</w:t>
            </w:r>
          </w:p>
        </w:tc>
      </w:tr>
    </w:tbl>
    <w:p>
      <w:pPr>
        <w:spacing w:after="0" w:line="21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weighted-average fair value of options granted during the first two quarters of fiscal 2007 was $12.32 per share and during the first quarter of fiscal 2006 was $10.90 per share. The fair value of performance shares granted during the first quarter of fiscal 2007 and fiscal 2006 was $44.90 per share and $41.44 per share, respectively. No options were granted during the third quarter of fiscal 2007 or the second and third quarters of fiscal 2006, and no performance shares were granted during the second and third quarters of fiscal 2007 and fiscal 2006.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August 3,</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August 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67,976</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237,744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247,387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229,137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Less: LIFO</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40,860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reserves</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35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243,437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255,031</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238,544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340" w:type="dxa"/>
            <w:vAlign w:val="bottom"/>
            <w:vMerge w:val="restart"/>
          </w:tcPr>
          <w:p>
            <w:pPr>
              <w:jc w:val="right"/>
              <w:ind w:right="1616"/>
              <w:spacing w:after="0"/>
              <w:rPr>
                <w:sz w:val="20"/>
                <w:szCs w:val="20"/>
                <w:color w:val="auto"/>
              </w:rPr>
            </w:pPr>
            <w:r>
              <w:rPr>
                <w:rFonts w:ascii="Arial" w:cs="Arial" w:eastAsia="Arial" w:hAnsi="Arial"/>
                <w:sz w:val="14"/>
                <w:szCs w:val="14"/>
                <w:color w:val="auto"/>
              </w:rPr>
              <w:t>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3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Per Share Data</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80" w:type="dxa"/>
            <w:vAlign w:val="bottom"/>
            <w:gridSpan w:val="7"/>
          </w:tcPr>
          <w:p>
            <w:pPr>
              <w:spacing w:after="0"/>
              <w:rPr>
                <w:sz w:val="20"/>
                <w:szCs w:val="20"/>
                <w:color w:val="auto"/>
              </w:rPr>
            </w:pPr>
            <w:r>
              <w:rPr>
                <w:rFonts w:ascii="Arial" w:cs="Arial" w:eastAsia="Arial" w:hAnsi="Arial"/>
                <w:sz w:val="18"/>
                <w:szCs w:val="18"/>
                <w:color w:val="auto"/>
                <w:w w:val="90"/>
              </w:rPr>
              <w:t>Reconciliations of basic and diluted weighted-average shares of common stock outstanding are as follows: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74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2600" w:type="dxa"/>
            <w:vAlign w:val="bottom"/>
            <w:gridSpan w:val="4"/>
          </w:tcPr>
          <w:p>
            <w:pPr>
              <w:ind w:left="5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6080" w:type="dxa"/>
            <w:vAlign w:val="bottom"/>
            <w:gridSpan w:val="4"/>
          </w:tcPr>
          <w:p>
            <w:pPr>
              <w:spacing w:after="0" w:line="201" w:lineRule="exact"/>
              <w:rPr>
                <w:sz w:val="20"/>
                <w:szCs w:val="20"/>
                <w:color w:val="auto"/>
              </w:rPr>
            </w:pPr>
            <w:r>
              <w:rPr>
                <w:rFonts w:ascii="Arial" w:cs="Arial" w:eastAsia="Arial" w:hAnsi="Arial"/>
                <w:sz w:val="18"/>
                <w:szCs w:val="18"/>
                <w:color w:val="auto"/>
              </w:rPr>
              <w:t>(Shares in thousands)</w:t>
            </w:r>
          </w:p>
        </w:tc>
        <w:tc>
          <w:tcPr>
            <w:tcW w:w="1600" w:type="dxa"/>
            <w:vAlign w:val="bottom"/>
            <w:tcBorders>
              <w:top w:val="single" w:sz="8" w:color="auto"/>
            </w:tcBorders>
            <w:gridSpan w:val="3"/>
          </w:tcPr>
          <w:p>
            <w:pPr>
              <w:ind w:left="220"/>
              <w:spacing w:after="0" w:line="201" w:lineRule="exact"/>
              <w:rPr>
                <w:sz w:val="20"/>
                <w:szCs w:val="20"/>
                <w:color w:val="auto"/>
              </w:rPr>
            </w:pPr>
            <w:r>
              <w:rPr>
                <w:rFonts w:ascii="Arial" w:cs="Arial" w:eastAsia="Arial" w:hAnsi="Arial"/>
                <w:sz w:val="18"/>
                <w:szCs w:val="18"/>
                <w:color w:val="auto"/>
              </w:rPr>
              <w:t>August 3,</w:t>
            </w:r>
          </w:p>
        </w:tc>
        <w:tc>
          <w:tcPr>
            <w:tcW w:w="94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1"/>
              </w:rPr>
              <w:t>August 4,</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1"/>
              </w:rPr>
              <w:t>August 3,</w:t>
            </w:r>
          </w:p>
        </w:tc>
        <w:tc>
          <w:tcPr>
            <w:tcW w:w="114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August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80" w:type="dxa"/>
            <w:vAlign w:val="bottom"/>
            <w:gridSpan w:val="4"/>
          </w:tcPr>
          <w:p>
            <w:pPr>
              <w:spacing w:after="0"/>
              <w:rPr>
                <w:sz w:val="20"/>
                <w:szCs w:val="20"/>
                <w:color w:val="auto"/>
              </w:rPr>
            </w:pPr>
            <w:r>
              <w:rPr>
                <w:rFonts w:ascii="Arial" w:cs="Arial" w:eastAsia="Arial" w:hAnsi="Arial"/>
                <w:sz w:val="18"/>
                <w:szCs w:val="18"/>
                <w:i w:val="1"/>
                <w:iCs w:val="1"/>
                <w:color w:val="auto"/>
              </w:rPr>
              <w:t>Basic</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number of shares of common stock</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43,232</w:t>
            </w:r>
          </w:p>
        </w:tc>
        <w:tc>
          <w:tcPr>
            <w:tcW w:w="0" w:type="dxa"/>
            <w:vAlign w:val="bottom"/>
          </w:tcPr>
          <w:p>
            <w:pPr>
              <w:spacing w:after="0"/>
              <w:rPr>
                <w:sz w:val="1"/>
                <w:szCs w:val="1"/>
                <w:color w:val="auto"/>
              </w:rPr>
            </w:pPr>
          </w:p>
        </w:tc>
      </w:tr>
      <w:tr>
        <w:trPr>
          <w:trHeight w:val="216"/>
        </w:trPr>
        <w:tc>
          <w:tcPr>
            <w:tcW w:w="6080" w:type="dxa"/>
            <w:vAlign w:val="bottom"/>
            <w:gridSpan w:val="4"/>
          </w:tcPr>
          <w:p>
            <w:pPr>
              <w:spacing w:after="0"/>
              <w:rPr>
                <w:sz w:val="20"/>
                <w:szCs w:val="20"/>
                <w:color w:val="auto"/>
              </w:rPr>
            </w:pPr>
            <w:r>
              <w:rPr>
                <w:rFonts w:ascii="Arial" w:cs="Arial" w:eastAsia="Arial" w:hAnsi="Arial"/>
                <w:sz w:val="18"/>
                <w:szCs w:val="18"/>
                <w:color w:val="auto"/>
              </w:rPr>
              <w:t>Assumed issuance of contingent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Weighted-average number of shares of common stock and assumed issuance of</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40,569</w:t>
            </w:r>
          </w:p>
        </w:tc>
        <w:tc>
          <w:tcPr>
            <w:tcW w:w="24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42,852</w:t>
            </w:r>
          </w:p>
        </w:tc>
        <w:tc>
          <w:tcPr>
            <w:tcW w:w="200" w:type="dxa"/>
            <w:vAlign w:val="bottom"/>
            <w:vMerge w:val="restart"/>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40,938</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43,283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line="157" w:lineRule="exact"/>
              <w:rPr>
                <w:sz w:val="20"/>
                <w:szCs w:val="20"/>
                <w:color w:val="auto"/>
              </w:rPr>
            </w:pPr>
            <w:r>
              <w:rPr>
                <w:rFonts w:ascii="Arial" w:cs="Arial" w:eastAsia="Arial" w:hAnsi="Arial"/>
                <w:sz w:val="18"/>
                <w:szCs w:val="18"/>
                <w:color w:val="auto"/>
              </w:rPr>
              <w:t>contingent shares</w:t>
            </w:r>
          </w:p>
        </w:tc>
        <w:tc>
          <w:tcPr>
            <w:tcW w:w="11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60" w:type="dxa"/>
            <w:vAlign w:val="bottom"/>
            <w:tcBorders>
              <w:top w:val="single" w:sz="8" w:color="CCEEFF"/>
            </w:tcBorders>
            <w:gridSpan w:val="3"/>
          </w:tcPr>
          <w:p>
            <w:pPr>
              <w:spacing w:after="0" w:line="170" w:lineRule="exact"/>
              <w:rPr>
                <w:sz w:val="20"/>
                <w:szCs w:val="20"/>
                <w:color w:val="auto"/>
              </w:rPr>
            </w:pPr>
            <w:r>
              <w:rPr>
                <w:rFonts w:ascii="Arial" w:cs="Arial" w:eastAsia="Arial" w:hAnsi="Arial"/>
                <w:sz w:val="18"/>
                <w:szCs w:val="18"/>
                <w:i w:val="1"/>
                <w:iCs w:val="1"/>
                <w:color w:val="auto"/>
              </w:rPr>
              <w:t>Diluted</w:t>
            </w:r>
          </w:p>
        </w:tc>
        <w:tc>
          <w:tcPr>
            <w:tcW w:w="11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Weighted-average number of shares of common stock and assumed issuance of</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contingent shares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40,569</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43,283</w:t>
            </w:r>
          </w:p>
        </w:tc>
        <w:tc>
          <w:tcPr>
            <w:tcW w:w="0" w:type="dxa"/>
            <w:vAlign w:val="bottom"/>
          </w:tcPr>
          <w:p>
            <w:pPr>
              <w:spacing w:after="0"/>
              <w:rPr>
                <w:sz w:val="1"/>
                <w:szCs w:val="1"/>
                <w:color w:val="auto"/>
              </w:rPr>
            </w:pPr>
          </w:p>
        </w:tc>
      </w:tr>
      <w:tr>
        <w:trPr>
          <w:trHeight w:val="216"/>
        </w:trPr>
        <w:tc>
          <w:tcPr>
            <w:tcW w:w="6080" w:type="dxa"/>
            <w:vAlign w:val="bottom"/>
            <w:gridSpan w:val="4"/>
          </w:tcPr>
          <w:p>
            <w:pPr>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number of shares of common stock, assumed issuance of</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41,803</w:t>
            </w:r>
          </w:p>
        </w:tc>
        <w:tc>
          <w:tcPr>
            <w:tcW w:w="24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44,360</w:t>
            </w:r>
          </w:p>
        </w:tc>
        <w:tc>
          <w:tcPr>
            <w:tcW w:w="200" w:type="dxa"/>
            <w:vAlign w:val="bottom"/>
            <w:vMerge w:val="restart"/>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42,113</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44,806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gridSpan w:val="3"/>
            <w:shd w:val="clear" w:color="auto" w:fill="CCEEFF"/>
          </w:tcPr>
          <w:p>
            <w:pPr>
              <w:ind w:left="160"/>
              <w:spacing w:after="0" w:line="157" w:lineRule="exact"/>
              <w:rPr>
                <w:sz w:val="20"/>
                <w:szCs w:val="20"/>
                <w:color w:val="auto"/>
              </w:rPr>
            </w:pPr>
            <w:r>
              <w:rPr>
                <w:rFonts w:ascii="Arial" w:cs="Arial" w:eastAsia="Arial" w:hAnsi="Arial"/>
                <w:sz w:val="18"/>
                <w:szCs w:val="18"/>
                <w:color w:val="auto"/>
              </w:rPr>
              <w:t>contingent shares, and effect of dilutive securities</w:t>
            </w:r>
          </w:p>
        </w:tc>
        <w:tc>
          <w:tcPr>
            <w:tcW w:w="11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gridSpan w:val="4"/>
          </w:tcPr>
          <w:p>
            <w:pPr>
              <w:spacing w:after="0"/>
              <w:rPr>
                <w:sz w:val="20"/>
                <w:szCs w:val="20"/>
                <w:color w:val="auto"/>
              </w:rPr>
            </w:pPr>
            <w:r>
              <w:rPr>
                <w:rFonts w:ascii="Arial" w:cs="Arial" w:eastAsia="Arial" w:hAnsi="Arial"/>
                <w:sz w:val="18"/>
                <w:szCs w:val="18"/>
                <w:color w:val="auto"/>
              </w:rPr>
              <w:t>(Dollars in thousands)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60" w:type="dxa"/>
            <w:vAlign w:val="bottom"/>
            <w:gridSpan w:val="4"/>
          </w:tcPr>
          <w:p>
            <w:pPr>
              <w:spacing w:after="0" w:line="190" w:lineRule="exact"/>
              <w:rPr>
                <w:sz w:val="20"/>
                <w:szCs w:val="20"/>
                <w:color w:val="auto"/>
              </w:rPr>
            </w:pPr>
            <w:r>
              <w:rPr>
                <w:rFonts w:ascii="Arial" w:cs="Arial" w:eastAsia="Arial" w:hAnsi="Arial"/>
                <w:sz w:val="18"/>
                <w:szCs w:val="18"/>
                <w:color w:val="auto"/>
              </w:rPr>
              <w:t>Three months ended August 3, 2007</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Professional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6"/>
                <w:szCs w:val="16"/>
                <w:color w:val="auto"/>
              </w:rPr>
            </w:pPr>
          </w:p>
        </w:tc>
        <w:tc>
          <w:tcPr>
            <w:tcW w:w="1040" w:type="dxa"/>
            <w:vAlign w:val="bottom"/>
            <w:gridSpan w:val="2"/>
          </w:tcPr>
          <w:p>
            <w:pPr>
              <w:jc w:val="right"/>
              <w:ind w:right="500"/>
              <w:spacing w:after="0" w:line="190"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140"/>
              <w:spacing w:after="0" w:line="190"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5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332,014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132,981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13,712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11,972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1,655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(13,627)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Three months ended August 4, 2006</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Professional</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176"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60" w:type="dxa"/>
            <w:vAlign w:val="bottom"/>
            <w:tcBorders>
              <w:top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20" w:type="dxa"/>
            <w:vAlign w:val="bottom"/>
            <w:tcBorders>
              <w:top w:val="single" w:sz="8" w:color="CCEEFF"/>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54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319,733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145,308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12,820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Earnings (loss) before income taxes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62,474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8,752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(11,426)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3"/>
          </w:tcPr>
          <w:p>
            <w:pPr>
              <w:spacing w:after="0" w:line="176" w:lineRule="exact"/>
              <w:rPr>
                <w:sz w:val="20"/>
                <w:szCs w:val="20"/>
                <w:color w:val="auto"/>
              </w:rPr>
            </w:pPr>
            <w:r>
              <w:rPr>
                <w:rFonts w:ascii="Arial" w:cs="Arial" w:eastAsia="Arial" w:hAnsi="Arial"/>
                <w:sz w:val="18"/>
                <w:szCs w:val="18"/>
                <w:color w:val="auto"/>
              </w:rPr>
              <w:t>Nine months ended August 3, 2007</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Professional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5"/>
                <w:szCs w:val="15"/>
                <w:color w:val="auto"/>
              </w:rPr>
            </w:pPr>
          </w:p>
        </w:tc>
        <w:tc>
          <w:tcPr>
            <w:tcW w:w="1040" w:type="dxa"/>
            <w:vAlign w:val="bottom"/>
            <w:gridSpan w:val="2"/>
          </w:tcPr>
          <w:p>
            <w:pPr>
              <w:jc w:val="right"/>
              <w:ind w:right="500"/>
              <w:spacing w:after="0" w:line="176"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5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1,052,013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463,043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4,900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(39,911)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227,737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40,055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522,963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210,660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326,483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1,060,106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3"/>
          </w:tcPr>
          <w:p>
            <w:pPr>
              <w:spacing w:after="0" w:line="176" w:lineRule="exact"/>
              <w:rPr>
                <w:sz w:val="20"/>
                <w:szCs w:val="20"/>
                <w:color w:val="auto"/>
              </w:rPr>
            </w:pPr>
            <w:r>
              <w:rPr>
                <w:rFonts w:ascii="Arial" w:cs="Arial" w:eastAsia="Arial" w:hAnsi="Arial"/>
                <w:sz w:val="18"/>
                <w:szCs w:val="18"/>
                <w:color w:val="auto"/>
              </w:rPr>
              <w:t>Nine months ended August 4, 2006</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Professional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5"/>
                <w:szCs w:val="15"/>
                <w:color w:val="auto"/>
              </w:rPr>
            </w:pPr>
          </w:p>
        </w:tc>
        <w:tc>
          <w:tcPr>
            <w:tcW w:w="1040" w:type="dxa"/>
            <w:vAlign w:val="bottom"/>
            <w:gridSpan w:val="2"/>
          </w:tcPr>
          <w:p>
            <w:pPr>
              <w:jc w:val="right"/>
              <w:ind w:right="500"/>
              <w:spacing w:after="0" w:line="176"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5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1,012,436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463,786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30,283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6,132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(45,249)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32,037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511,953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217,037</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274,478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1,003,468</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jc w:val="right"/>
              <w:ind w:right="254"/>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r>
      <w:tr>
        <w:trPr>
          <w:trHeight w:val="202"/>
        </w:trPr>
        <w:tc>
          <w:tcPr>
            <w:tcW w:w="608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97"/>
              </w:rPr>
              <w:t>August 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4,</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1"/>
              </w:rPr>
              <w:t>August 3,</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4,</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(18,408)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(63,071)</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Finance charge revenue</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Elimination of corporate financing</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5,136</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14,052</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(4,677)</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(14,097)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(15,293)</w:t>
            </w: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(11,426)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(63,704)</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(56,020)</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nine months of fiscal 2007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Professional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Residential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Segment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Segment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31, 2006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81,469</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Translation adjustment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August 3,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71,096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10,672</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81,768</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Other Intangible Assets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620" w:type="dxa"/>
            <w:vAlign w:val="bottom"/>
            <w:gridSpan w:val="2"/>
          </w:tcPr>
          <w:p>
            <w:pPr>
              <w:spacing w:after="0"/>
              <w:rPr>
                <w:sz w:val="20"/>
                <w:szCs w:val="20"/>
                <w:color w:val="auto"/>
              </w:rPr>
            </w:pPr>
            <w:r>
              <w:rPr>
                <w:rFonts w:ascii="Arial" w:cs="Arial" w:eastAsia="Arial" w:hAnsi="Arial"/>
                <w:sz w:val="18"/>
                <w:szCs w:val="18"/>
                <w:color w:val="auto"/>
                <w:w w:val="98"/>
              </w:rPr>
              <w:t>The components of other amortizable intangible assets were as follows: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August 3, 2007</w:t>
            </w: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October 31, 2006</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460" w:type="dxa"/>
            <w:vAlign w:val="bottom"/>
          </w:tcPr>
          <w:p>
            <w:pPr>
              <w:spacing w:after="0"/>
              <w:rPr>
                <w:sz w:val="17"/>
                <w:szCs w:val="17"/>
                <w:color w:val="auto"/>
              </w:rPr>
            </w:pPr>
          </w:p>
        </w:tc>
        <w:tc>
          <w:tcPr>
            <w:tcW w:w="12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Gross Carrying</w:t>
            </w:r>
          </w:p>
        </w:tc>
        <w:tc>
          <w:tcPr>
            <w:tcW w:w="120" w:type="dxa"/>
            <w:vAlign w:val="bottom"/>
          </w:tcPr>
          <w:p>
            <w:pPr>
              <w:spacing w:after="0"/>
              <w:rPr>
                <w:sz w:val="17"/>
                <w:szCs w:val="17"/>
                <w:color w:val="auto"/>
              </w:rPr>
            </w:pPr>
          </w:p>
        </w:tc>
        <w:tc>
          <w:tcPr>
            <w:tcW w:w="114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9"/>
              </w:rPr>
              <w:t>Accumulated</w:t>
            </w:r>
          </w:p>
        </w:tc>
        <w:tc>
          <w:tcPr>
            <w:tcW w:w="200" w:type="dxa"/>
            <w:vAlign w:val="bottom"/>
          </w:tcPr>
          <w:p>
            <w:pPr>
              <w:spacing w:after="0"/>
              <w:rPr>
                <w:sz w:val="17"/>
                <w:szCs w:val="17"/>
                <w:color w:val="auto"/>
              </w:rPr>
            </w:pPr>
          </w:p>
        </w:tc>
        <w:tc>
          <w:tcPr>
            <w:tcW w:w="124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9"/>
              </w:rPr>
              <w:t>Gross Carrying</w:t>
            </w:r>
          </w:p>
        </w:tc>
        <w:tc>
          <w:tcPr>
            <w:tcW w:w="120" w:type="dxa"/>
            <w:vAlign w:val="bottom"/>
          </w:tcPr>
          <w:p>
            <w:pPr>
              <w:spacing w:after="0"/>
              <w:rPr>
                <w:sz w:val="17"/>
                <w:szCs w:val="17"/>
                <w:color w:val="auto"/>
              </w:rPr>
            </w:pPr>
          </w:p>
        </w:tc>
        <w:tc>
          <w:tcPr>
            <w:tcW w:w="114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9"/>
              </w:rPr>
              <w:t>Accumulated</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6,553</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6,553</w:t>
            </w:r>
          </w:p>
        </w:tc>
        <w:tc>
          <w:tcPr>
            <w:tcW w:w="7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(5,964)</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Non-compete agreements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(904)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(885)</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(2,116)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(1,615)</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12,176</w:t>
            </w:r>
          </w:p>
        </w:tc>
        <w:tc>
          <w:tcPr>
            <w:tcW w:w="660" w:type="dxa"/>
            <w:vAlign w:val="bottom"/>
            <w:gridSpan w:val="2"/>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(9,494)</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11,252</w:t>
            </w:r>
          </w:p>
        </w:tc>
        <w:tc>
          <w:tcPr>
            <w:tcW w:w="720" w:type="dxa"/>
            <w:vAlign w:val="bottom"/>
            <w:gridSpan w:val="2"/>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(8,698)</w:t>
            </w: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other intangible assets, net</w:t>
            </w:r>
          </w:p>
        </w:tc>
        <w:tc>
          <w:tcPr>
            <w:tcW w:w="64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2,682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Amortization expense for intangible assets during the first nine months of fiscal 2007 was $773,000. Estimated amortization expense for the remainder of fiscal 2007 and succeeding fiscal years is as follows: fiscal 2007 (remainder), $266,000; fiscal 2008, $864,000; fiscal 2009, $515,000; fiscal 2010, $241,000; fiscal 2011, $175,000; fiscal 2012, $175,000 and after fiscal 2012, $446,000.</w:t>
      </w:r>
    </w:p>
    <w:p>
      <w:pPr>
        <w:ind w:left="220"/>
        <w:spacing w:after="0"/>
        <w:rPr>
          <w:sz w:val="20"/>
          <w:szCs w:val="20"/>
          <w:color w:val="auto"/>
        </w:rPr>
      </w:pPr>
      <w:r>
        <w:rPr>
          <w:rFonts w:ascii="Arial" w:cs="Arial" w:eastAsia="Arial" w:hAnsi="Arial"/>
          <w:sz w:val="18"/>
          <w:szCs w:val="18"/>
          <w:color w:val="auto"/>
        </w:rPr>
        <w:t>The company also has $2.8 million of non-amortizable intangible assets related to the Hayter brand name.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April 26, 2007, the company issued $125.0 million in aggregate principal amount of 6.625% senior notes due May 1, 2037. The senior notes were priced at 98.513% of par value, and the resulting discount of $1.9 million associated with the issuance of these senior notes is being amortized over the term of the senior notes using the effective interest rate method. The underwriting fee and direct debt issue costs totaling $1.5 million will be amortized over the life of the senior notes. Although the coupon rate of the notes is 6.625%, the effective interest rate is 6.741% after taking into account the issuance discount. Interest on the senior notes is payable semi-annually, on May 1 and November 1 of each year. The notes are unsecured senior obligations of the company and rank equally with the company’s other unsecured and unsubordinated indebtedness from time to time outstanding.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interest. The company used the proceeds from the issuance of the senior notes to pay $75.0 million principal amount of 7.125% notes that were due June 15, 2007 as well as for general corporate uses.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first nine-month periods in fiscal 2007 and fiscal 2006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Beginning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Warranty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Warranty</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Changes in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Ending</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Nine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Provisions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Claims</w:t>
            </w:r>
          </w:p>
        </w:tc>
        <w:tc>
          <w:tcPr>
            <w:tcW w:w="1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Estimates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August 3, 2007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65,235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August 4, 2006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71,452</w:t>
            </w:r>
          </w:p>
        </w:tc>
        <w:tc>
          <w:tcPr>
            <w:tcW w:w="0" w:type="dxa"/>
            <w:vAlign w:val="bottom"/>
          </w:tcPr>
          <w:p>
            <w:pPr>
              <w:spacing w:after="0"/>
              <w:rPr>
                <w:sz w:val="1"/>
                <w:szCs w:val="1"/>
                <w:color w:val="auto"/>
              </w:rPr>
            </w:pPr>
          </w:p>
        </w:tc>
      </w:tr>
      <w:tr>
        <w:trPr>
          <w:trHeight w:val="45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Postretirement Benefit Plans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net periodic benefit costs: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service cost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losses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7"/>
          </w:tcPr>
          <w:p>
            <w:pPr>
              <w:jc w:val="right"/>
              <w:ind w:right="72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r>
      <w:tr>
        <w:trPr>
          <w:trHeight w:val="202"/>
        </w:trPr>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right"/>
              <w:ind w:right="380"/>
              <w:spacing w:after="0" w:line="201" w:lineRule="exact"/>
              <w:rPr>
                <w:sz w:val="20"/>
                <w:szCs w:val="20"/>
                <w:color w:val="auto"/>
              </w:rPr>
            </w:pPr>
            <w:r>
              <w:rPr>
                <w:rFonts w:ascii="Arial" w:cs="Arial" w:eastAsia="Arial" w:hAnsi="Arial"/>
                <w:sz w:val="18"/>
                <w:szCs w:val="18"/>
                <w:color w:val="auto"/>
                <w:w w:val="97"/>
              </w:rPr>
              <w:t>August 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4,</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w w:val="97"/>
              </w:rPr>
              <w:t>August 3,</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4,</w:t>
            </w: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95</w:t>
            </w:r>
          </w:p>
        </w:tc>
        <w:tc>
          <w:tcPr>
            <w:tcW w:w="20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284</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285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-736600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-462280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-170815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368" w:right="239" w:bottom="1440" w:gutter="0" w:footer="0" w:header="0"/>
          <w:type w:val="continuous"/>
        </w:sectPr>
      </w:pPr>
    </w:p>
    <w:p>
      <w:pPr>
        <w:spacing w:after="0" w:line="29"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color w:val="auto"/>
        </w:rPr>
        <w:t>As of August 3, 2007, approximately $375,000 of contributions had been made. The company presently expects to contribute a total of $500,000 to its postretirement health-care benefit plan in fiscal 2007, including contributions made through August 3, 2007.</w:t>
      </w:r>
    </w:p>
    <w:p>
      <w:pPr>
        <w:spacing w:after="0" w:line="1" w:lineRule="exact"/>
        <w:rPr>
          <w:sz w:val="20"/>
          <w:szCs w:val="20"/>
          <w:color w:val="auto"/>
        </w:rPr>
      </w:pPr>
    </w:p>
    <w:p>
      <w:pPr>
        <w:ind w:right="220" w:firstLine="222"/>
        <w:spacing w:after="0" w:line="250"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$3.8 million and $13.7 million for the third quarter and year-to-date periods in fiscal 2007, respectively, and $3.8 million and $12.1 million for the third quarter and year-to-date periods in fiscal 2006, respectively.</w:t>
      </w:r>
    </w:p>
    <w:p>
      <w:pPr>
        <w:spacing w:after="0" w:line="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During the first quarter of fiscal 2007, the company began to offer participants in the company’s deferred compensation plans the option to invest their deferred compensation in multiple investment options. At the same time, the company elected to fund the majority of the deferred compensation plans, which amounted to $18 million. The fair value of the investment in the deferred compensation plans as of August 3, 2007 was $18.6 million, which reduced the company’s deferred compensation liability reflected in accrued liabilities on the condensed consolidated balance sheet.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5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and interest rates. The company uses derivative instruments only to limit underlying exposure to currency and interest rate fluctuations, and not for trading purposes. The company documents relationships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effective in offsetting changes in cash flows of the hedged item.</w:t>
      </w:r>
    </w:p>
    <w:p>
      <w:pPr>
        <w:spacing w:after="0" w:line="4" w:lineRule="exact"/>
        <w:rPr>
          <w:sz w:val="20"/>
          <w:szCs w:val="20"/>
          <w:color w:val="auto"/>
        </w:rPr>
      </w:pPr>
    </w:p>
    <w:p>
      <w:pPr>
        <w:ind w:firstLine="222"/>
        <w:spacing w:after="0" w:line="265" w:lineRule="auto"/>
        <w:rPr>
          <w:sz w:val="20"/>
          <w:szCs w:val="20"/>
          <w:color w:val="auto"/>
        </w:rPr>
      </w:pPr>
      <w:r>
        <w:rPr>
          <w:rFonts w:ascii="Arial" w:cs="Arial" w:eastAsia="Arial" w:hAnsi="Arial"/>
          <w:sz w:val="17"/>
          <w:szCs w:val="17"/>
          <w:color w:val="auto"/>
        </w:rPr>
        <w:t>The company enters into foreign currency exchange contracts to hedge the risk from forecasted settlements in local currencies of trade sales and purchases. These contracts are designated as cash flow hedges and are reported at fair value as a hedge asset or liability in prepaid expenses or accrued liabilities, as applicable. Changes in the fair value of these contracts are reported in accumulated other comprehensive loss until the hedged transaction occurs. Once the forecasted transaction has been recognized as a sale or inventory purchase and a related asset or liability recorded in the balance sheet, the related fair value of the derivative hedge contract is reclassified from accumulated other comprehensive loss into earnings. During the three and nine months ended August 3, 2007, the amount of losses reclassified to earnings for such cash flow hedges was $0.3 million and $0.6 million, respectively. For the nine months ended August 3, 2007, the losses treated as a reduction to net sales for contracts to hedge trade sales were $1.3 million and the gains treated as a reduction of cost of sales for contracts to hedge inventory purchases were $0.7 million. As of August 3, 2007, the notional amount of such contracts outstanding was $80.7 million. The unrecognized after-tax loss portion of the fair value of the contracts recorded in accumulated other comprehensive loss as of August 3, 2007 was $1.3 million.</w:t>
      </w:r>
    </w:p>
    <w:p>
      <w:pPr>
        <w:spacing w:after="0" w:line="2" w:lineRule="exact"/>
        <w:rPr>
          <w:sz w:val="20"/>
          <w:szCs w:val="20"/>
          <w:color w:val="auto"/>
        </w:rPr>
      </w:pPr>
    </w:p>
    <w:p>
      <w:pPr>
        <w:ind w:right="220" w:firstLine="222"/>
        <w:spacing w:after="0" w:line="250"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intracompany financing transactions and other activities and are not designated as hedging instruments under the accounting criteria of SFAS No. 133; therefore, changes in fair value of these instruments are recorded in other income, net.</w:t>
      </w:r>
    </w:p>
    <w:p>
      <w:pPr>
        <w:spacing w:after="0" w:line="1" w:lineRule="exact"/>
        <w:rPr>
          <w:sz w:val="20"/>
          <w:szCs w:val="20"/>
          <w:color w:val="auto"/>
        </w:rPr>
      </w:pPr>
    </w:p>
    <w:p>
      <w:pPr>
        <w:ind w:right="180" w:firstLine="225"/>
        <w:spacing w:after="0" w:line="252" w:lineRule="auto"/>
        <w:rPr>
          <w:sz w:val="20"/>
          <w:szCs w:val="20"/>
          <w:color w:val="auto"/>
        </w:rPr>
      </w:pPr>
      <w:r>
        <w:rPr>
          <w:rFonts w:ascii="Arial" w:cs="Arial" w:eastAsia="Arial" w:hAnsi="Arial"/>
          <w:sz w:val="18"/>
          <w:szCs w:val="18"/>
          <w:color w:val="auto"/>
        </w:rPr>
        <w:t>During the second quarter of fiscal 2007, the company entered into three treasury lock agreements based on a 30-year US Treasury security with a principal balance of $30 million for two of the agreements and $40 million for the third agreement. These treasury lock agreements were entered into as hedges against changes in market interest rates in anticipation of our April 2007 senior note offering and provided for a single payment at their maturity, which was April 23, 2007, based on the change in value of the reference treasury security. These agreements were designated as cash flow hedges and resulted in a net settlement of $0.2 million. This loss is recorded in accumulated other comprehensive loss, which will be amortized to interest expense over the 30 year term of the debt.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On December 21, 2006, another defendant, American Honda Motor Company, notified us that it had reached an agreement of settlement with the plaintiffs. On March 30, 2007, the court entered an order dismissing plaintiffs’ complaint, subject to the ability to re-plead certain claims pursuant to a detailed written order to follow. As of the date hereof, the court has not yet entered the detailed written order.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13" w:lineRule="exact"/>
        <w:rPr>
          <w:sz w:val="20"/>
          <w:szCs w:val="20"/>
          <w:color w:val="auto"/>
        </w:rPr>
      </w:pPr>
    </w:p>
    <w:p>
      <w:pPr>
        <w:ind w:right="20" w:firstLine="90"/>
        <w:spacing w:after="0" w:line="254" w:lineRule="auto"/>
        <w:rPr>
          <w:sz w:val="20"/>
          <w:szCs w:val="20"/>
          <w:color w:val="auto"/>
        </w:rPr>
      </w:pPr>
      <w:r>
        <w:rPr>
          <w:rFonts w:ascii="Arial" w:cs="Arial" w:eastAsia="Arial" w:hAnsi="Arial"/>
          <w:sz w:val="18"/>
          <w:szCs w:val="18"/>
          <w:color w:val="auto"/>
        </w:rPr>
        <w:t>In July 2005, Textron Innovations Inc., the patent holding company of Textron, Inc., filed a lawsuit in Delaware Federal District Court against the company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ind w:right="60"/>
        <w:spacing w:after="0" w:line="252" w:lineRule="auto"/>
        <w:rPr>
          <w:sz w:val="20"/>
          <w:szCs w:val="20"/>
          <w:color w:val="auto"/>
        </w:rPr>
      </w:pPr>
      <w:r>
        <w:rPr>
          <w:rFonts w:ascii="Arial" w:cs="Arial" w:eastAsia="Arial" w:hAnsi="Arial"/>
          <w:sz w:val="18"/>
          <w:szCs w:val="18"/>
          <w:color w:val="auto"/>
        </w:rPr>
        <w:t>non-infringement, invalidity and equitable estoppel. Following the Court’s order in October 2006 construing the claims of Textron’s patents, discovery in the case was closed in February 2007. In March 2007, following unsuccessful attempts to mediate the case, we filed with the United States Patent and Trademark Office (USPTO) to have Textron’s patents reexamined. Our reexamination applications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4"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lawsuits discussed above, the outcomes of these cases are unlikely to have a material adverse effect on our consolidated operating results or financial position. Further, although we are self-insured to some extent, we maintain insurance against certain product liability losses.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RESULTS OF OPERATIONS</w:t>
      </w:r>
    </w:p>
    <w:p>
      <w:pPr>
        <w:spacing w:after="0"/>
        <w:rPr>
          <w:sz w:val="20"/>
          <w:szCs w:val="20"/>
          <w:color w:val="auto"/>
        </w:rPr>
      </w:pPr>
      <w:r>
        <w:rPr>
          <w:rFonts w:ascii="Arial" w:cs="Arial" w:eastAsia="Arial" w:hAnsi="Arial"/>
          <w:sz w:val="18"/>
          <w:szCs w:val="18"/>
          <w:b w:val="1"/>
          <w:bCs w:val="1"/>
          <w:color w:val="auto"/>
        </w:rPr>
        <w:t>Nature of Operations</w:t>
      </w:r>
    </w:p>
    <w:p>
      <w:pPr>
        <w:spacing w:after="0" w:line="23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and agricultural irrigation systems, landscaping equipment, and residential yard products worldwide. We sell our products through a network of distributors, dealers, hardware retailers, home centers, mass retailers, and over the Internet, mainly through Internet retailers. Our businesses are organized into two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 As part of our “GrowLean” initiative, we are focusing our efforts on revenue growth, profit improvement, and asset management, while maximizing our use of Lean methods to reduce costs and improve quality and efficiency in our manufacturing facilities and corporate offices. The goals of this initiative are to grow revenues at an average annual rate of 8 percent or more and achieve a consistent after-tax annual return on net sales of 7 percent or more over the three-year period ending October 31, 2009. We have added a long-term asset management goal to reduce average net working capital as a percent of net sales below 20 percent, or in the “teens.” We define average net working capital as accounts receivable plus inventory less trade payables.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results for the third quarter of fiscal 2007 were positive with net earnings growth of 5.4 percent on a slight increase in net sales of 0.2 percent compared to the third quarter of fiscal 2006. Fiscal 2007 year-to-date net earnings rose 9.0 percent compared to the same period last fiscal year on a year-to-date sales growth rate of 2.5 percent. Continued strong international performance and acceptance of new products in both the professional and residential segments more than offset a decline in sales of snow thrower products and landscape contractor equipment for the fiscal 2007 year-to-date period compared to the same period last fiscal year. International sales continued its growth momentum with an increase of 5.9 percent and 9.9 percent for the third quarter and year-to-date period of fiscal 2007, respectively, compared to the same periods last fiscal year. Net earnings as a percentage of net sales rose to 8.9 percent and 8.8 percent in the third quarter and year-to-date period of fiscal 2007, respectively, from 8.4 percent and 8.3 percent in the third quarter and year-to-date period of fiscal 2006, respectively. Higher gross margins contributed to the earnings improvement while a higher effective tax rate and increase in selling, general, and administrative expenses somewhat hampered the earnings growth rate. We also increased our third quarter cash dividend by 33 percent compared to the quarterly cash dividend paid in the third quarter of fiscal 2006.</w:t>
      </w:r>
    </w:p>
    <w:p>
      <w:pPr>
        <w:spacing w:after="0" w:line="1"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Our fiscal 2007 third quarter financial results were not as strong as the financial results for the first half of fiscal 2007. However, we are optimistic that our results for the full fiscal year of 2007 will be positive. We continue to keep a cautionary eye on world economies, retail demand, field inventory levels, commodity prices, weather, competitive actions, and other factors identified below under the heading “Forward-Looking Information,” which could cause our actual results to differ from our anticipated outlook.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Net Earnings</w:t>
      </w:r>
    </w:p>
    <w:p>
      <w:pPr>
        <w:spacing w:after="0" w:line="25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Net earnings for the third quarter of fiscal 2007 were $42.5 million or $1.02 per diluted share compared to $40.3 million or $0.91 per diluted share for the third quarter of fiscal 2006, a net earnings per diluted share increase of 12.1 percent. Year-to-date net earnings in fiscal 2007 were $135.9 million or $3.23 per diluted share compared to $124.7 million or $2.78 per diluted share last fiscal year, a net earnings per diluted share increase of 16.2 percent. The primary factors contributing to these increases were higher sales volumes and an increase in gross margins, somewhat offset by higher selling, general, and administrative costs, a higher effective tax rate, and an increase in interest expense. In addition, third quarter and year-to-date fiscal 2007 net earnings per diluted share were benefited by approximately $0.06 per share and $0.20 per share, respectively, compared to the same periods in fiscal 2006 as a result of reduced shares outstanding from the repurchase of our common stock.</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780" w:type="dxa"/>
            <w:vAlign w:val="bottom"/>
            <w:gridSpan w:val="4"/>
          </w:tcPr>
          <w:p>
            <w:pPr>
              <w:jc w:val="right"/>
              <w:ind w:right="780"/>
              <w:spacing w:after="0"/>
              <w:rPr>
                <w:sz w:val="20"/>
                <w:szCs w:val="20"/>
                <w:color w:val="auto"/>
              </w:rPr>
            </w:pPr>
            <w:r>
              <w:rPr>
                <w:rFonts w:ascii="Arial" w:cs="Arial" w:eastAsia="Arial" w:hAnsi="Arial"/>
                <w:sz w:val="18"/>
                <w:szCs w:val="18"/>
                <w:color w:val="auto"/>
              </w:rPr>
              <w:t>Three Months Ended</w:t>
            </w:r>
          </w:p>
        </w:tc>
        <w:tc>
          <w:tcPr>
            <w:tcW w:w="2680" w:type="dxa"/>
            <w:vAlign w:val="bottom"/>
            <w:gridSpan w:val="4"/>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August 3,</w:t>
            </w:r>
          </w:p>
        </w:tc>
        <w:tc>
          <w:tcPr>
            <w:tcW w:w="112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August 4,</w:t>
            </w:r>
          </w:p>
        </w:tc>
        <w:tc>
          <w:tcPr>
            <w:tcW w:w="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August 3,</w:t>
            </w:r>
          </w:p>
        </w:tc>
        <w:tc>
          <w:tcPr>
            <w:tcW w:w="114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August 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20" w:type="dxa"/>
            <w:vAlign w:val="bottom"/>
          </w:tcPr>
          <w:p>
            <w:pPr>
              <w:jc w:val="right"/>
              <w:spacing w:after="0"/>
              <w:rPr>
                <w:sz w:val="20"/>
                <w:szCs w:val="20"/>
                <w:color w:val="auto"/>
              </w:rPr>
            </w:pPr>
            <w:r>
              <w:rPr>
                <w:rFonts w:ascii="Arial" w:cs="Arial" w:eastAsia="Arial" w:hAnsi="Arial"/>
                <w:sz w:val="18"/>
                <w:szCs w:val="18"/>
                <w:color w:val="auto"/>
              </w:rPr>
              <w:t>62.9</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64.4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expense</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net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2"/>
          </w:tcPr>
          <w:p>
            <w:pPr>
              <w:spacing w:after="0" w:line="196" w:lineRule="exact"/>
              <w:rPr>
                <w:sz w:val="20"/>
                <w:szCs w:val="20"/>
                <w:color w:val="auto"/>
              </w:rPr>
            </w:pPr>
            <w:r>
              <w:rPr>
                <w:rFonts w:ascii="Arial" w:cs="Arial" w:eastAsia="Arial" w:hAnsi="Arial"/>
                <w:sz w:val="18"/>
                <w:szCs w:val="18"/>
                <w:color w:val="auto"/>
              </w:rPr>
              <w:t>Net earnings</w:t>
            </w: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8.9%</w:t>
            </w: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8.4%</w:t>
            </w: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8.8%</w:t>
            </w:r>
          </w:p>
        </w:tc>
        <w:tc>
          <w:tcPr>
            <w:tcW w:w="1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Worldwide consolidated net sales for the third quarter and year-to-date period of fiscal 2007 were up slightly by 0.2 percent and 2.5 percent, respectively, from the same periods in the prior fiscal year. Favorable currency exchange rates accounted for approximately $4 million and $18 million of the sales growth for the third quarter and year-to-date period of fiscal 2007, respectively. Disregarding currency exchange effects, international sales for the third quarter and year-to-date period of fiscal 2007 increased 2.0 percent and 5.4 percent, respectively, compared to the same periods in fiscal 2006. Professional segment products worldwide were strong as a result of continued demand in international markets, particularly in the golf market, and the successful introduction of new products. Landscape contractor equipment sales also increased for the third quarter comparison due to strong retail demand; however, sales of landscape contractor equipment were down for the year-to-date period comparison due to efforts to reduce field inventory levels, which were down as of the end of the third quarter of fiscal 2007 compared to same period last year. Residential segment net sales were down for the third quarter and year-to-date periods of fiscal 2007 compared to the same periods in fiscal 2006 as a result of lower worldwide shipments of snow thrower products due to the lack of snowfall during the winter season of 2006-2007 in key markets, somewhat offset by the introduction of our new innovative riding and walk power mower products. Other segment net sales were up for the third quarter of fiscal 2007 compared to the third quarter of fiscal 2006 but were down for the year-to-date period of fiscal 2007 compared to the year-to-date period of fiscal 2006 due to lower sales at a company-owned distributorship.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Gross profit for the third quarter and year-to-date period of fiscal 2007 increased 4.2 percent and 5.6 percent, respectively, compared to the same periods in the prior fiscal year due to increased sales. As a percentage of net sales, gross profit for the third quarter and year-to-date period of fiscal 2007 increased to 37.1 percent and 36.4 percent, respectively, compared to 35.6 percent and 35.3 percent for the third quarter and year-to-date period of fiscal 2006, respectively. The increase in gross profit as a percentage of net sales was the result of the following factors: (i) increased sales of higher-margin products; (ii) cost reduction efforts, including benefits from past and continuing profit improvement initiatives; (iii) a weaker US dollar compared to the other worldwide currencies in which we transact business; and (iv) price increases on some products. Somewhat offsetting those positive factors were: (i) higher manufacturing costs from lower plant utilization as we curtailed production levels in an effort to lower inventory levels and (ii) higher commodity costs.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Selling, general, and administrative expense (SG&amp;A) increased for the third quarter and year-to-date period of fiscal 2007 by 1.8 percent and 2.5 percent, respectively, from the same periods in the prior fiscal year. SG&amp;A as a percentage of net sales for the third quarter of fiscal 2007 increased to 23.1 percent compared to 22.7 percent for the third quarter of fiscal 2006, and was even as a percentage of net sales for the year-to-date period of both fiscal 2007 and fiscal 2006 at 22.6 percent. The increase in SG&amp;A expense as a percentage of net sales for the third quarter comparison was due primarily to lower self-insurance costs last year as a result of favorable claims experience, somewhat offset by a decline in warranty expense due to the reversal of a special warranty provision.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Interest expense for the third quarter and year-to-date period of fiscal 2007 increased by 6.0 percent and 8.1 percent, respectively, from the same periods in the prior fiscal year. These increases were due primarily to higher average debt levels and slightly higher average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income, net for the third quarter of fiscal 2007 decreased $0.8 million compared to the third quarter of fiscal 2006. This decline was due mainly to lower financing revenue. Other income, net for the year-to-date period of fiscal 2007 was down $0.3 million compared to the same period last fiscal year. This decrease was due mainly to a litigation settlement recovery we received last fiscal year and lower financing revenue, somewhat offset by higher interest income and lower losses on investments in fiscal 2007 compared to fiscal 2006.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effective tax rate for the third quarter of fiscal 2007 was 33.4 percent compared to 32.6 percent in the third quarter of fiscal 2006. The effective tax rate for the year-to-date period of fiscal 2007 was 33.4 percent compared to 32.4 percent for the same period in the prior fiscal year. The increase in the effective tax rate was due to a favorable resolution of tax matters from prior years’ tax returns last fiscal year as well as the accelerated phase-out of benefits for foreign export incentives as compared to the phase-in benefit for the domestic manufacturing credit.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SEGMENTS</w:t>
      </w:r>
    </w:p>
    <w:p>
      <w:pPr>
        <w:spacing w:after="0" w:line="2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described previously, we operate in two reportable business segments: professional and residential. A third reportable segment called “other” consists of company-owned distributorships in the United States, corporate activities, and financing functions. Operating earnings for each of our two business segments is defined as earnings from operations plus other income, net. Operating loss for our third “other” segment includes earnings (loss) from operations, corporate activities, including corporate financing activities, other income, net, and interest expense.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The following table summarizes net sales by segment: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10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August 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August 4,</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332,014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145,308</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(12,327)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line="196" w:lineRule="exact"/>
              <w:rPr>
                <w:sz w:val="20"/>
                <w:szCs w:val="20"/>
                <w:color w:val="auto"/>
              </w:rPr>
            </w:pPr>
            <w:r>
              <w:rPr>
                <w:rFonts w:ascii="Arial" w:cs="Arial" w:eastAsia="Arial" w:hAnsi="Arial"/>
                <w:sz w:val="18"/>
                <w:szCs w:val="18"/>
                <w:color w:val="auto"/>
              </w:rPr>
              <w:t>Total *</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478,707</w:t>
            </w:r>
          </w:p>
        </w:tc>
        <w:tc>
          <w:tcPr>
            <w:tcW w:w="140" w:type="dxa"/>
            <w:vAlign w:val="bottom"/>
          </w:tcPr>
          <w:p>
            <w:pPr>
              <w:spacing w:after="0"/>
              <w:rPr>
                <w:sz w:val="18"/>
                <w:szCs w:val="18"/>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477,861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846</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0.2</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196" w:lineRule="exact"/>
              <w:rPr>
                <w:sz w:val="20"/>
                <w:szCs w:val="20"/>
                <w:color w:val="auto"/>
              </w:rPr>
            </w:pPr>
            <w:r>
              <w:rPr>
                <w:rFonts w:ascii="Arial" w:cs="Arial" w:eastAsia="Arial" w:hAnsi="Arial"/>
                <w:sz w:val="18"/>
                <w:szCs w:val="18"/>
                <w:color w:val="auto"/>
              </w:rPr>
              <w:t>* Includes international sales of:</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120,319</w:t>
            </w:r>
          </w:p>
        </w:tc>
        <w:tc>
          <w:tcPr>
            <w:tcW w:w="140" w:type="dxa"/>
            <w:vAlign w:val="bottom"/>
          </w:tcPr>
          <w:p>
            <w:pPr>
              <w:spacing w:after="0"/>
              <w:rPr>
                <w:sz w:val="18"/>
                <w:szCs w:val="18"/>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113,651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6,668</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5.9</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August 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August 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1,052,013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39,577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463,043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463,786</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line="196" w:lineRule="exact"/>
              <w:rPr>
                <w:sz w:val="20"/>
                <w:szCs w:val="20"/>
                <w:color w:val="auto"/>
              </w:rPr>
            </w:pPr>
            <w:r>
              <w:rPr>
                <w:rFonts w:ascii="Arial" w:cs="Arial" w:eastAsia="Arial" w:hAnsi="Arial"/>
                <w:sz w:val="18"/>
                <w:szCs w:val="18"/>
                <w:color w:val="auto"/>
              </w:rPr>
              <w:t>Total *</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1,544,448</w:t>
            </w:r>
          </w:p>
        </w:tc>
        <w:tc>
          <w:tcPr>
            <w:tcW w:w="140" w:type="dxa"/>
            <w:vAlign w:val="bottom"/>
          </w:tcPr>
          <w:p>
            <w:pPr>
              <w:spacing w:after="0"/>
              <w:rPr>
                <w:sz w:val="18"/>
                <w:szCs w:val="18"/>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1,506,505</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37,943</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2.5</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196" w:lineRule="exact"/>
              <w:rPr>
                <w:sz w:val="20"/>
                <w:szCs w:val="20"/>
                <w:color w:val="auto"/>
              </w:rPr>
            </w:pPr>
            <w:r>
              <w:rPr>
                <w:rFonts w:ascii="Arial" w:cs="Arial" w:eastAsia="Arial" w:hAnsi="Arial"/>
                <w:sz w:val="18"/>
                <w:szCs w:val="18"/>
                <w:color w:val="auto"/>
              </w:rPr>
              <w:t>* Includes international sales of:</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441,793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402,000</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39,793</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9.9</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320" w:type="dxa"/>
            <w:vAlign w:val="bottom"/>
            <w:gridSpan w:val="4"/>
          </w:tcPr>
          <w:p>
            <w:pPr>
              <w:ind w:left="200"/>
              <w:spacing w:after="0"/>
              <w:rPr>
                <w:sz w:val="20"/>
                <w:szCs w:val="20"/>
                <w:color w:val="auto"/>
              </w:rPr>
            </w:pPr>
            <w:r>
              <w:rPr>
                <w:rFonts w:ascii="Arial" w:cs="Arial" w:eastAsia="Arial" w:hAnsi="Arial"/>
                <w:sz w:val="18"/>
                <w:szCs w:val="18"/>
                <w:color w:val="auto"/>
                <w:w w:val="97"/>
              </w:rPr>
              <w:t>The following table summarizes operating earnings (loss) before income taxes by segment: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vMerge w:val="restart"/>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10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August 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August 4,</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62,474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8,752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(11,426)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line="196" w:lineRule="exact"/>
              <w:rPr>
                <w:sz w:val="20"/>
                <w:szCs w:val="20"/>
                <w:color w:val="auto"/>
              </w:rPr>
            </w:pPr>
            <w:r>
              <w:rPr>
                <w:rFonts w:ascii="Arial" w:cs="Arial" w:eastAsia="Arial" w:hAnsi="Arial"/>
                <w:sz w:val="18"/>
                <w:szCs w:val="18"/>
                <w:color w:val="auto"/>
              </w:rPr>
              <w:t>Total *</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63,840</w:t>
            </w:r>
          </w:p>
        </w:tc>
        <w:tc>
          <w:tcPr>
            <w:tcW w:w="140" w:type="dxa"/>
            <w:vAlign w:val="bottom"/>
          </w:tcPr>
          <w:p>
            <w:pPr>
              <w:spacing w:after="0"/>
              <w:rPr>
                <w:sz w:val="18"/>
                <w:szCs w:val="18"/>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59,800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4,040</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6.8</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40" w:type="dxa"/>
            <w:vAlign w:val="bottom"/>
            <w:gridSpan w:val="5"/>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August 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August 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227,737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208,311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32,037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(56,020)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line="196" w:lineRule="exact"/>
              <w:rPr>
                <w:sz w:val="20"/>
                <w:szCs w:val="20"/>
                <w:color w:val="auto"/>
              </w:rPr>
            </w:pPr>
            <w:r>
              <w:rPr>
                <w:rFonts w:ascii="Arial" w:cs="Arial" w:eastAsia="Arial" w:hAnsi="Arial"/>
                <w:sz w:val="18"/>
                <w:szCs w:val="18"/>
                <w:color w:val="auto"/>
              </w:rPr>
              <w:t>Total *</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204,088</w:t>
            </w:r>
          </w:p>
        </w:tc>
        <w:tc>
          <w:tcPr>
            <w:tcW w:w="140" w:type="dxa"/>
            <w:vAlign w:val="bottom"/>
          </w:tcPr>
          <w:p>
            <w:pPr>
              <w:spacing w:after="0"/>
              <w:rPr>
                <w:sz w:val="18"/>
                <w:szCs w:val="18"/>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184,328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19,760</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10.7</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third quarter and year-to-date period of fiscal 2007 were up 3.8 percent and 3.9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last fiscal year. This increase was due primarily to strong international professional segment net sales, which were up 12.4 percent and 14.1 percent in the third quarter and year-to-date period of fiscal 2007, respectively, compared to the same periods last fiscal year due to continued demand and growth in international markets, particularly in the golf market, the success of new products introduced within the past two years, and a weaker US dollar compared to the other worldwide currencies in which we transact business. However, sales of domestic golf irrigation systems were down for the third quarter and year-to-date period comparisons due to a delay in golf course projects to later in the fiscal year and softness in golf community developments. Sales of domestic golf and sports field and grounds equipment were also down for the third quarter of fiscal 2007 compared to the third quarter of fiscal 2006 as a result of customers’ efforts to lower field inventory levels, which are lower as of the end of the third quarter of fiscal 2007 compared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ind w:right="40"/>
        <w:spacing w:after="0" w:line="257" w:lineRule="auto"/>
        <w:rPr>
          <w:sz w:val="20"/>
          <w:szCs w:val="20"/>
          <w:color w:val="auto"/>
        </w:rPr>
      </w:pPr>
      <w:r>
        <w:rPr>
          <w:rFonts w:ascii="Arial" w:cs="Arial" w:eastAsia="Arial" w:hAnsi="Arial"/>
          <w:sz w:val="18"/>
          <w:szCs w:val="18"/>
          <w:color w:val="auto"/>
        </w:rPr>
        <w:t>the same period last fiscal year. On a positive note, sales of domestic golf and sports field and grounds equipment were up for the year-to-date period of fiscal 2007 compared to the year-to-date period of fiscal 2006, due to new product introductions and higher retail demand. Shipments of landscape contractor equipment increased in the third quarter of fiscal 2007 compared to the third quarter of fiscal 2006 due to strong retail demand. However, sales of landscape contractor equipment were down for the year-to-date period comparison due mainly to efforts to reduce field inventory levels, which are lower as of the end of the third quarter of fiscal 2007 compared to the same period last year.</w:t>
      </w:r>
    </w:p>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professional segment in the third quarter and year-to-date period of fiscal 2007 increased 13.5 percent and 9.3</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respectively, compared to the same periods last fiscal year. Expressed as a percentage of net sales, professional segment operating margins increased to 21.4 percent compared to 19.5 percent in the third quarter of fiscal 2006, and the fiscal 2007 year-to-date professional segment operating margins increased to 21.6 percent compared to 20.6 percent last fiscal year. This profit improvement was the result of higher gross margins in the fiscal 2007 periods compared to the fiscal 2006 periods due to the same factors discussed previously in the Gross Profit section above. SG&amp;A expense as a percentage of net sales was down for the third quarter comparison due mainly to a decline in warranty expense as a result of a one-time reversal of a special warranty provision in the third quarter of fiscal 2007 compared to a one-time charge for a warranty special provision in the third quarter of the prior fiscal year. However, SG&amp;A expense as a percentage of net sales increased for the year-to-date comparison, which was due mainly to increased warranty expense and engineering spending.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Net Sales.</w:t>
      </w:r>
      <w:r>
        <w:rPr>
          <w:rFonts w:ascii="Arial" w:cs="Arial" w:eastAsia="Arial" w:hAnsi="Arial"/>
          <w:sz w:val="16"/>
          <w:szCs w:val="16"/>
          <w:color w:val="auto"/>
        </w:rPr>
        <w:t xml:space="preserve"> Worldwide net sales for the residential segment in the third quarter and year-to-date period of fiscal 2007 were down 8.5 percent and 0.2 percent, respectively, compared to the same periods last fiscal year. This decrease was due primarily to lower worldwide shipments of snow thrower products as the result of the lack of snowfall during the winter season of 2006-2007 in key markets, which has resulted in customers ordering product closer to retail demand. Therefore, we anticipate sales of snow thrower products to be higher in the fourth quarter of fiscal 2007 compared to the fourth quarter of fiscal 2006 as well as from the introduction of a new line of single-stage snow thrower products. Sales of electric trimmers were also down due to lost placement at a key retailer, and shipments of retail irrigation products declined due to unfavorable weather conditions in key markets. Somewhat offsetting the sales decline was strong worldwide demand for our new generation zero-turn radius riding mowers and the successful introduction of a new line of walk power mowers.</w:t>
      </w:r>
    </w:p>
    <w:p>
      <w:pPr>
        <w:spacing w:after="0" w:line="19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u w:val="single" w:color="auto"/>
          <w:color w:val="auto"/>
        </w:rPr>
        <w:t>Operating Earnings.</w:t>
      </w:r>
      <w:r>
        <w:rPr>
          <w:rFonts w:ascii="Arial" w:cs="Arial" w:eastAsia="Arial" w:hAnsi="Arial"/>
          <w:sz w:val="17"/>
          <w:szCs w:val="17"/>
          <w:color w:val="auto"/>
        </w:rPr>
        <w:t xml:space="preserve"> Operating earnings for the residential segment in the third quarter of fiscal 2007 decreased 5.8 percent compared to the third quarter of fiscal 2006; however, fiscal 2007 year-to-date operating earnings were up by 25.0 percent compared to the same period last fiscal year. Expressed as a percentage of net sales, residential segment operating margin increased to 6.2 percent in the third quarter of fiscal 2007 compared to 6.0 percent in the third quarter of fiscal 2006, and fiscal 2007 year-to-date residential segment operating margin increased to 8.7 percent compared to 6.9 percent in the same period last fiscal year. The operating earnings increase for the third quarter comparison was due to higher gross margins, somewhat offset by slightly higher SG&amp;A expense as a percentage of net sales. Operating earnings for the year-to-date period of fiscal 2007 compared to the year-to-date period of fiscal 2006 also increased due to lower SG&amp;A expense as a percentage of net sales due primarily to lower warranty costs as a result of the reversal of a special warranty provision, and lower spending for marketing.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Net sales for the other segment include sales from our wholly owned domestic distribution companies less sales from the professional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segments to those distribution companies. In addition, elimination of the professional and residential segments’ floor plan interest costs from Toro Credit Company are also included in this segment. Net sales for the other segment were up 7.0 percent for the third quarter of fiscal 2007 compared to the third quarter of fiscal 2006 due to increased sales at our company-owned distributorships. However, net sales for the year-to-date period of fiscal 2007 compared to the same period last fiscal year were down by 2.9 percent due mainly to lower sales at a company-owned distributorship.</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losses for the other segment were up for the third quarter and year-to-date period of fiscal 2007 by $3.9 million or 33.8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$7.7 million or 13.7 percent, respectively, compared to the same periods last fiscal year. The increased losses were due primarily to: (i) lower self-insurance costs last fiscal year as a result of favorable claims experience; (ii) higher legal expenses; (iii) lower financing revenue; and (iv) increased interest expense.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FINANCIAL POSITION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our GrowLean initiative, we have placed additional emphasis on asset management, with a focus on: (i) ensuring strong profitability of our products and services all the way through the retail sale; (ii) minimizing the amount of working capital in the supply chain; and (iii) maintaining or improving order replenishment and service levels to end users. Our long-term goal is to reduce average net working capital (accounts receivable plus inventory minus trade payables) as a percentage of net sales to below 20 percent, or “in the teens.”</w:t>
      </w:r>
    </w:p>
    <w:p>
      <w:pPr>
        <w:spacing w:after="0" w:line="2" w:lineRule="exact"/>
        <w:rPr>
          <w:sz w:val="20"/>
          <w:szCs w:val="20"/>
          <w:color w:val="auto"/>
        </w:rPr>
      </w:pPr>
    </w:p>
    <w:p>
      <w:pPr>
        <w:ind w:firstLine="215"/>
        <w:spacing w:after="0" w:line="288" w:lineRule="auto"/>
        <w:rPr>
          <w:sz w:val="20"/>
          <w:szCs w:val="20"/>
          <w:color w:val="auto"/>
        </w:rPr>
      </w:pPr>
      <w:r>
        <w:rPr>
          <w:rFonts w:ascii="Arial" w:cs="Arial" w:eastAsia="Arial" w:hAnsi="Arial"/>
          <w:sz w:val="16"/>
          <w:szCs w:val="16"/>
          <w:color w:val="auto"/>
        </w:rPr>
        <w:t>Average receivables for the first nine months of fiscal 2007 increased 2.8 percent compared to the first nine months of fiscal 2006 on a sales increase of 2.5 percent. Our average days sales outstanding for receivables were slightly up to 74.9 days based on sales for the last twelve months ended August 3, 2007, compared to 74.0 days for the twelve months ended August 4, 2006. This increase was due mainly to a higher proportion of international sales that have longer payment terms. Average inventory levels also increased by 4.9 percent for the first nine months of fiscal 2007 compared to the first nine months of fiscal 2006; however, inventory levels were down by 4.5 percent as of August 3, 2007 compared to August 4, 2006, as we curtailed production levels in an effort to lower inventory levels. As a result of these increases, the average net working capital for the twelve months ended August 3, 2007 was 29.7 percent compared to 29.1 percent for the twelve months ended August 4, 2006, an unfavorable change of 0.6 percentage points.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funds available through existing or anticipated financing arrangements and forecasted cash flows will be sufficient to provide the necessary capital resources for our anticipated working capital, capital expenditures, investments, acquisitions, debt repayments, dividend payments, and stock repurchases for at least the next twelve months.</w:t>
      </w:r>
    </w:p>
    <w:p>
      <w:pPr>
        <w:spacing w:after="0" w:line="1" w:lineRule="exact"/>
        <w:rPr>
          <w:sz w:val="20"/>
          <w:szCs w:val="20"/>
          <w:color w:val="auto"/>
        </w:rPr>
      </w:pPr>
    </w:p>
    <w:p>
      <w:pPr>
        <w:ind w:right="40" w:firstLine="225"/>
        <w:spacing w:after="0" w:line="250" w:lineRule="auto"/>
        <w:rPr>
          <w:sz w:val="20"/>
          <w:szCs w:val="20"/>
          <w:color w:val="auto"/>
        </w:rPr>
      </w:pPr>
      <w:r>
        <w:rPr>
          <w:rFonts w:ascii="Arial" w:cs="Arial" w:eastAsia="Arial" w:hAnsi="Arial"/>
          <w:sz w:val="18"/>
          <w:szCs w:val="18"/>
          <w:color w:val="auto"/>
        </w:rPr>
        <w:t>On May 22, 2007, the company’s Board of Directors authorized the repurchase of an additional 3,000,000 shares of the company’s common stock in open-market or in privately negotiated transactions.</w:t>
      </w:r>
    </w:p>
    <w:p>
      <w:pPr>
        <w:spacing w:after="0" w:line="1" w:lineRule="exact"/>
        <w:rPr>
          <w:sz w:val="20"/>
          <w:szCs w:val="20"/>
          <w:color w:val="auto"/>
        </w:rPr>
      </w:pPr>
    </w:p>
    <w:p>
      <w:pPr>
        <w:ind w:right="120" w:firstLine="225"/>
        <w:spacing w:after="0" w:line="261" w:lineRule="auto"/>
        <w:rPr>
          <w:sz w:val="20"/>
          <w:szCs w:val="20"/>
          <w:color w:val="auto"/>
        </w:rPr>
      </w:pPr>
      <w:r>
        <w:rPr>
          <w:rFonts w:ascii="Arial" w:cs="Arial" w:eastAsia="Arial" w:hAnsi="Arial"/>
          <w:sz w:val="18"/>
          <w:szCs w:val="18"/>
          <w:color w:val="auto"/>
        </w:rPr>
        <w:t>Our Board of Directors approved a cash dividend of $0.12 per share for the third quarter of fiscal 2007 paid on July 12, 2007, which was an increase over our cash dividend of $0.09 per share for the third quarter of fiscal 2006.</w:t>
      </w:r>
    </w:p>
    <w:p>
      <w:pPr>
        <w:spacing w:after="0" w:line="2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u w:val="single" w:color="auto"/>
          <w:color w:val="auto"/>
        </w:rPr>
        <w:t>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for the first nine months of fiscal 2007 was 31.1 percent higher than the first nine months of fiscal 2006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lower receivables and inventory levels and higher net earnings, somewhat offset by a decrease of accounts payable and accrued liabilities for the first nine months of fiscal 2007 compared to the first nine months of fiscal 2006. Cash used in investing activities increased by $12.6 million compared to the first nine months of fiscal 2006, due mainly to an increase of purchases of property, plant, and equipment as well as cash received last fiscal year for payments of note receivables. Cash used in financing activities for the first nine months of fiscal 2007 was lower by $47.2 million compared to the first nine months of fiscal 2006 due to proceeds received from the issuance of 30-year senior notes in April 2007 and lower levels of our common stock repurchased in the first nine months of fiscal 2007 compared to the first nine months of fiscal 2006, somewhat offset by repayments of short-term and long-term debt. Cash and cash equivalents increased $69.4 million as of August 3, 2007 compared to August 4, 2006 as a result of additional net proceeds from the issuance of the senior notes in April 2007 less the payment of the $75 million long-term notes paid in June 2007 plus an increase of cash provided by operations.</w:t>
      </w:r>
    </w:p>
    <w:p>
      <w:pPr>
        <w:spacing w:after="0" w:line="1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is seasonal, with accounts receivable balances historically increasing between January and April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January 2012. Interest expense on these credit lines is determined based on a LIBOR rate plus a basis point spread defined in the credit agreements. In addition, our non-U.S. operations and a domestic subsidiary also maintain unsecured short-term lines of credit of approximately $15 million. These facilities bear interest at various rates depending on the rates in their respective countries of operation. We also have a letter of credit subfacility as part of our credit agreements. Average short-term debt was $65.2 million in the first nine months of fiscal 2007 compared to $56.7 million in the first nine months of fiscal 2006, an increase of 14.9 percent. This increase was primarily due to funding a majority of our deferred compensation plans during the first quarter of fiscal 2007 and additional working capital requirements as a result of higher average receivable and inventory levels in the first half of fiscal 2007 compared to the first half of fiscal 2006. As of August 3, 2007, we had $188.3 million of unutilized availability under our credit agreements.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 w:name="page18"/>
    <w:bookmarkEnd w:id="17"/>
    <w:p>
      <w:pPr>
        <w:ind w:firstLine="225"/>
        <w:spacing w:after="0" w:line="283" w:lineRule="auto"/>
        <w:rPr>
          <w:sz w:val="20"/>
          <w:szCs w:val="20"/>
          <w:color w:val="auto"/>
        </w:rPr>
      </w:pPr>
      <w:r>
        <w:rPr>
          <w:rFonts w:ascii="Arial" w:cs="Arial" w:eastAsia="Arial" w:hAnsi="Arial"/>
          <w:sz w:val="16"/>
          <w:szCs w:val="16"/>
          <w:color w:val="auto"/>
        </w:rPr>
        <w:t>On April 26, 2007, we issued $125.0 million in aggregate principal amount of 6.625% senior notes due May 1, 2037. The senior notes were priced at 98.513% of par value, and the resulting discount of $1.9 million associated with the issuance of these senior notes is being amortized over the term of the notes using the effective interest rate method. The underwriting fee and direct debt issue costs totaling $1.5 million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our other unsecured and unsubordinated indebtedness from time to time outstanding. The indentures under which the senior notes were issued contain customary covenants and event of default provisions. We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our company and (ii) a downgrade of the notes below an investment grade rating by both Moody’s Investors Service, Inc. and Standard</w:t>
      </w:r>
    </w:p>
    <w:p>
      <w:pPr>
        <w:spacing w:after="0" w:line="6" w:lineRule="exact"/>
        <w:rPr>
          <w:sz w:val="20"/>
          <w:szCs w:val="20"/>
          <w:color w:val="auto"/>
        </w:rPr>
      </w:pPr>
    </w:p>
    <w:p>
      <w:pPr>
        <w:ind w:right="40" w:firstLine="8"/>
        <w:spacing w:after="0" w:line="265" w:lineRule="auto"/>
        <w:tabs>
          <w:tab w:leader="none" w:pos="185" w:val="left"/>
        </w:tabs>
        <w:numPr>
          <w:ilvl w:val="0"/>
          <w:numId w:val="1"/>
        </w:numPr>
        <w:rPr>
          <w:rFonts w:ascii="Arial" w:cs="Arial" w:eastAsia="Arial" w:hAnsi="Arial"/>
          <w:sz w:val="17"/>
          <w:szCs w:val="17"/>
          <w:color w:val="auto"/>
        </w:rPr>
      </w:pPr>
      <w:r>
        <w:rPr>
          <w:rFonts w:ascii="Arial" w:cs="Arial" w:eastAsia="Arial" w:hAnsi="Arial"/>
          <w:sz w:val="17"/>
          <w:szCs w:val="17"/>
          <w:color w:val="auto"/>
        </w:rPr>
        <w:t>Poor’s Ratings Services within a specified period, we would be required to make an offer to purchase the senior notes at a price equal to 101% of the principal amount of the senior notes, plus accrued and unpaid interest to the date of repurchase. We used the proceeds from the issuance of the senior notes to pay $75.0 million outstanding principal amount of 7.125% notes that were due on June 15, 2007 as well as for general corporate uses.</w:t>
      </w:r>
    </w:p>
    <w:p>
      <w:pPr>
        <w:ind w:firstLine="225"/>
        <w:spacing w:after="0" w:line="268" w:lineRule="auto"/>
        <w:rPr>
          <w:rFonts w:ascii="Arial" w:cs="Arial" w:eastAsia="Arial" w:hAnsi="Arial"/>
          <w:sz w:val="17"/>
          <w:szCs w:val="17"/>
          <w:color w:val="auto"/>
        </w:rPr>
      </w:pPr>
      <w:r>
        <w:rPr>
          <w:rFonts w:ascii="Arial" w:cs="Arial" w:eastAsia="Arial" w:hAnsi="Arial"/>
          <w:sz w:val="17"/>
          <w:szCs w:val="17"/>
          <w:color w:val="auto"/>
        </w:rPr>
        <w:t>Significant financial covenants in our credit agreements are interest coverage and debt to capitalization ratios. We were in compliance with all covenants related to our credit agreements as of August 3, 2007, and expect to be in compliance with all covenants during the remainder of fiscal 2007. If we were out of compliance with any covenant required by our credit agreements following the applicable period,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 the credit agreements could increase, but the credit commitments could not be cancelled by the banks based only on a ratings downgrade. Our debt rating for long-term unsecured senior, non-credit enhanced debt has been unchanged for the third quarter of fiscal 2007 by Standard and Poor’s Ratings Group at BBB- and by Moody’s Investors Service at Baa3.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off-balance sheet arrangements generally relate to customer financing activities, inventory purchase commitments, operating lease commitments, and currency contracts. See our most recently filed Annual Report on Form 10-K for further details regarding our off-balance sheet arrangements and contractual obligations. There has been no material change in this information, except for changes to long-term debt and interest payments resulting from our senior note issuance. Contractual obligations for long-term debt and interest payments as of August 3, 2007 are as follows: less than 1 year, $16.1 million; 1-3 years, $32.2 million; 3-5 years, $32.2 million; more than 5 years, $634.2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the effects of inflation and changing prices. In the first nine months of fiscal 2007, average prices paid for most commodities were slightly higher compared to the first nine months of fiscal 2006, which resulted in a slight negative impact on our gross profit and net earnings. We expect average commodity prices to continue to trend slightly higher for the remainder of fiscal 2007 compared to fiscal 2006. We will continue to attempt to mitigate the impact of commodity prices and other inflationary pressures through proactive vendor negotiations, by actively pursuing internal cost reduction efforts, and introducing moderate price increases on some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Our significant accounting policies are described in Note 1 to the notes to our consolidated financial statements included in our Annual Report on Form</w:t>
      </w:r>
    </w:p>
    <w:p>
      <w:pPr>
        <w:spacing w:after="0" w:line="2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10-K for the fiscal year ended October 31, 2006.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8" w:name="page19"/>
    <w:bookmarkEnd w:id="18"/>
    <w:p>
      <w:pPr>
        <w:ind w:right="100"/>
        <w:spacing w:after="0" w:line="264" w:lineRule="auto"/>
        <w:rPr>
          <w:sz w:val="20"/>
          <w:szCs w:val="20"/>
          <w:color w:val="auto"/>
        </w:rPr>
      </w:pPr>
      <w:r>
        <w:rPr>
          <w:rFonts w:ascii="Arial" w:cs="Arial" w:eastAsia="Arial" w:hAnsi="Arial"/>
          <w:sz w:val="18"/>
          <w:szCs w:val="18"/>
          <w:color w:val="auto"/>
        </w:rPr>
        <w:t>accounting estimate is made, and (ii) different estimates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u w:val="single" w:color="auto"/>
          <w:color w:val="auto"/>
        </w:rPr>
        <w:t>Warranty Reserve.</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coverage on our products ranges from a period of six months to seven years, and covers parts, labor, and other expenses for non-maintenance repairs. Warranty coverage generally does not cover operator abuse and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2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u w:val="single" w:color="auto"/>
          <w:color w:val="auto"/>
        </w:rPr>
        <w:t>Sales Promotions and Incentives.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of sale to a customer, we record an estimate for sales promotion and incentive costs, which are classified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from gross sales or as a component of SG&amp;A.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the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u w:val="single" w:color="auto"/>
          <w:color w:val="auto"/>
        </w:rPr>
        <w:t>Inventory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value our inventories at the lower of the cost of inventory or net realizable value, with cost determined by either the last-in, first-out</w:t>
      </w:r>
      <w:r>
        <w:rPr>
          <w:rFonts w:ascii="Arial" w:cs="Arial" w:eastAsia="Arial" w:hAnsi="Arial"/>
          <w:sz w:val="18"/>
          <w:szCs w:val="18"/>
          <w:i w:val="1"/>
          <w:iCs w:val="1"/>
          <w:color w:val="auto"/>
        </w:rPr>
        <w:t xml:space="preserve"> </w:t>
      </w:r>
      <w:r>
        <w:rPr>
          <w:rFonts w:ascii="Arial" w:cs="Arial" w:eastAsia="Arial" w:hAnsi="Arial"/>
          <w:sz w:val="18"/>
          <w:szCs w:val="18"/>
          <w:color w:val="auto"/>
        </w:rPr>
        <w:t>(LIFO) method for most U.S. inventories or the first-in, first-out (FIFO) method for all other inventories. We establish reserves for excess, slow moving, and obsolete inventory based on inventory levels, expected product lives,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spacing w:after="0" w:line="4"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u w:val="single" w:color="auto"/>
          <w:color w:val="auto"/>
        </w:rPr>
        <w:t>Accounts and Notes Receivable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We value accounts and notes receivable, net of an allowance for doubtful accounts. Each quarter, we prepare an</w:t>
      </w:r>
      <w:r>
        <w:rPr>
          <w:rFonts w:ascii="Arial" w:cs="Arial" w:eastAsia="Arial" w:hAnsi="Arial"/>
          <w:sz w:val="16"/>
          <w:szCs w:val="16"/>
          <w:i w:val="1"/>
          <w:iCs w:val="1"/>
          <w:color w:val="auto"/>
        </w:rPr>
        <w:t xml:space="preserve"> </w:t>
      </w:r>
      <w:r>
        <w:rPr>
          <w:rFonts w:ascii="Arial" w:cs="Arial" w:eastAsia="Arial" w:hAnsi="Arial"/>
          <w:sz w:val="16"/>
          <w:szCs w:val="16"/>
          <w:color w:val="auto"/>
        </w:rPr>
        <w:t>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 w:name="page20"/>
    <w:bookmarkEnd w:id="19"/>
    <w:p>
      <w:pPr>
        <w:ind w:right="340"/>
        <w:spacing w:after="0" w:line="277" w:lineRule="auto"/>
        <w:rPr>
          <w:sz w:val="20"/>
          <w:szCs w:val="20"/>
          <w:color w:val="auto"/>
        </w:rPr>
      </w:pPr>
      <w:r>
        <w:rPr>
          <w:rFonts w:ascii="Arial" w:cs="Arial" w:eastAsia="Arial" w:hAnsi="Arial"/>
          <w:sz w:val="18"/>
          <w:szCs w:val="18"/>
          <w:color w:val="auto"/>
        </w:rPr>
        <w:t>uncollectible accounts may differ from our estimates. In the event we determined that a smaller or larger uncollectible accounts reserve is appropriate, we would record a credit or charge to SG&amp;A in the period that we made such a determination.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Subsequent to the last day of our fiscal 2007 third quarter on August 16, 2007, the company completed the acquisition of Rain Master Irrigation Systems, Inc., a manufacturer of irrigation central controllers and other products for the commercial landscape market with annual sales of approximately $10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5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October 2006, the Financial Accounting Standards Board (FASB) issued SFAS No. 158, “Employers’ Accounting for Defined Benefit Pension and Other Postretirement Plans.” SFAS No. 158 requires employers to recognize on their balance sheets the funded status of pension and other postretirement benefit plans. In addition, employers will recognize, as a component of other comprehensive income, changes in the funded status of pension and other postretirement benefit plans, such as actuarial gains and losses and prior service costs that arise during the year but are not recognized as components of net periodic benefit cost. SFAS No. 158 will require the measurement date of plan assets and benefit obligations to be as of the end of the employer’s fiscal year. We will adopt the provisions of SFAS No. 158, which requires the funded status of pension and other postretirement benefit plans to be recorded on the balance sheet as of October 31, 2007, as required, and we will adopt the provisions that require the measurement date of plan assets and benefit obligations to be the same as our fiscal year end as of October 31, 2009, as required. This new pronouncement is not expected to have a material impact on our financial condition, and will have no impact on our consolidated results of operations.</w:t>
      </w:r>
    </w:p>
    <w:p>
      <w:pPr>
        <w:spacing w:after="0" w:line="2" w:lineRule="exact"/>
        <w:rPr>
          <w:sz w:val="20"/>
          <w:szCs w:val="20"/>
          <w:color w:val="auto"/>
        </w:rPr>
      </w:pPr>
    </w:p>
    <w:p>
      <w:pPr>
        <w:ind w:right="20" w:firstLine="225"/>
        <w:spacing w:after="0" w:line="250" w:lineRule="auto"/>
        <w:rPr>
          <w:sz w:val="20"/>
          <w:szCs w:val="20"/>
          <w:color w:val="auto"/>
        </w:rPr>
      </w:pPr>
      <w:r>
        <w:rPr>
          <w:rFonts w:ascii="Arial" w:cs="Arial" w:eastAsia="Arial" w:hAnsi="Arial"/>
          <w:sz w:val="18"/>
          <w:szCs w:val="18"/>
          <w:color w:val="auto"/>
        </w:rPr>
        <w:t>In September 2006, the FASB issued SFAS No. 157, “Fair Value Measurements.” SFAS No. 157 defines fair value, establishes a framework for measuring fair value, and expands disclosures concerning fair value. We will adopt the provisions of SFAS No. 157 during the first quarter of fiscal 2009, as required. We are currently evaluating the requirements of SFAS No. 157 and, we do not expect this new pronouncement will have a material impact on our consolidated financial condition or results of operations.</w:t>
      </w:r>
    </w:p>
    <w:p>
      <w:pPr>
        <w:spacing w:after="0" w:line="2" w:lineRule="exact"/>
        <w:rPr>
          <w:sz w:val="20"/>
          <w:szCs w:val="20"/>
          <w:color w:val="auto"/>
        </w:rPr>
      </w:pPr>
    </w:p>
    <w:p>
      <w:pPr>
        <w:ind w:right="40" w:firstLine="225"/>
        <w:spacing w:after="0" w:line="281" w:lineRule="auto"/>
        <w:rPr>
          <w:sz w:val="20"/>
          <w:szCs w:val="20"/>
          <w:color w:val="auto"/>
        </w:rPr>
      </w:pPr>
      <w:r>
        <w:rPr>
          <w:rFonts w:ascii="Arial" w:cs="Arial" w:eastAsia="Arial" w:hAnsi="Arial"/>
          <w:sz w:val="16"/>
          <w:szCs w:val="16"/>
          <w:color w:val="auto"/>
        </w:rPr>
        <w:t>In August 2006, the FASB issued Staff Position No. AUG AIR-1, “Accounting for Planned Major Maintenance Activities.” This Staff Position prohibits the use of the accrue-in-advance method of accounting for planned major maintenance activities in annual and interim financial reporting periods. We will adopt the provisions of this Staff Position as of November 1, 2007, as required. We are currently evaluating the requirements of Staff Position No. AUG AIR-1 and do not expect that the adoption of this Staff Position will have a material impact on our consolidated results of operations or financial condition.</w:t>
      </w:r>
    </w:p>
    <w:p>
      <w:pPr>
        <w:spacing w:after="0" w:line="3" w:lineRule="exact"/>
        <w:rPr>
          <w:sz w:val="20"/>
          <w:szCs w:val="20"/>
          <w:color w:val="auto"/>
        </w:rPr>
      </w:pPr>
    </w:p>
    <w:p>
      <w:pPr>
        <w:ind w:right="100" w:firstLine="225"/>
        <w:spacing w:after="0" w:line="292" w:lineRule="auto"/>
        <w:rPr>
          <w:sz w:val="20"/>
          <w:szCs w:val="20"/>
          <w:color w:val="auto"/>
        </w:rPr>
      </w:pPr>
      <w:r>
        <w:rPr>
          <w:rFonts w:ascii="Arial" w:cs="Arial" w:eastAsia="Arial" w:hAnsi="Arial"/>
          <w:sz w:val="16"/>
          <w:szCs w:val="16"/>
          <w:color w:val="auto"/>
        </w:rPr>
        <w:t>In July 2006, the FASB issued Interpretation No. 48, “Accounting for Uncertainty in Income Taxes” (FIN No. 48). This interpretation clarifies the accounting for uncertainty in income taxes recognized in an entity’s financial statements in accordance with SFAS No. 109, “Accounting for Income Taxes.” It prescribes a recognition threshold and measurement attributes for financial statement disclosure of tax positions taken or expected to be taken on a tax return. We will adopt the provisions of this interpretation as of November 1, 2007, as required. We are currently evaluating the requirements of FIN No. 48, and we do not expect this new pronouncement will have a material impact on our consolidated financial condition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5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historicalare forward-looking and reflect expectations and assumptions. We try to identify forward-looking statements in this report and elsewhere by using words such as “expect”, “looking ahead”, “optimistic”, “plan”, “anticipate”,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0" w:name="page21"/>
    <w:bookmarkEnd w:id="20"/>
    <w:p>
      <w:pPr>
        <w:jc w:val="both"/>
        <w:ind w:left="143" w:hanging="143"/>
        <w:spacing w:after="0" w:line="256"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economic conditions in the United States and around the world, including but not limited to worldwide economic growth rates; slow downs or reductions in home ownership, construction, and home sales; consumer spending levels; employment rates; interest rates; inflation; and consumer confidence in the United States and the foreign countries in which we conduct business.</w:t>
      </w:r>
    </w:p>
    <w:p>
      <w:pPr>
        <w:ind w:left="143" w:hanging="143"/>
        <w:spacing w:after="0"/>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w:t>
      </w:r>
    </w:p>
    <w:p>
      <w:pPr>
        <w:spacing w:after="0" w:line="9" w:lineRule="exact"/>
        <w:rPr>
          <w:rFonts w:ascii="Arial" w:cs="Arial" w:eastAsia="Arial" w:hAnsi="Arial"/>
          <w:sz w:val="18"/>
          <w:szCs w:val="18"/>
          <w:color w:val="auto"/>
        </w:rPr>
      </w:pPr>
    </w:p>
    <w:p>
      <w:pPr>
        <w:ind w:left="143" w:right="20"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cost and availability of raw materials and components that we purchase and increases in our other costs of doing business, such as transportation costs, may adversely affect our profit margins and business.</w:t>
      </w:r>
    </w:p>
    <w:p>
      <w:pPr>
        <w:jc w:val="both"/>
        <w:ind w:left="143"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the level of growth in the residential and commercial construction markets, growth of homeowners who outsource lawn care, the amount of investment in golf course renovations and improvements, new golf course development, and the amount of government spending.</w:t>
      </w:r>
    </w:p>
    <w:p>
      <w:pPr>
        <w:spacing w:after="0" w:line="1" w:lineRule="exact"/>
        <w:rPr>
          <w:rFonts w:ascii="Arial" w:cs="Arial" w:eastAsia="Arial" w:hAnsi="Arial"/>
          <w:sz w:val="18"/>
          <w:szCs w:val="18"/>
          <w:color w:val="auto"/>
        </w:rPr>
      </w:pPr>
    </w:p>
    <w:p>
      <w:pPr>
        <w:ind w:left="143"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the amount of product placement at retailers, changing buying patterns of customers, and The Home Depot, Inc. as a major customer.</w:t>
      </w:r>
    </w:p>
    <w:p>
      <w:pPr>
        <w:ind w:left="143"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and develop and market new products that respond to customer needs and achieve market acceptance, we may experience a decrease in demand for our products, and our business could suffer.</w:t>
      </w:r>
    </w:p>
    <w:p>
      <w:pPr>
        <w:ind w:left="143" w:right="20"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including some competitors that have greater operations and financial resources than us. We may not be able to compete effectively against competitors’ actions, which could harm our business and operating results.</w:t>
      </w:r>
    </w:p>
    <w:p>
      <w:pPr>
        <w:jc w:val="both"/>
        <w:ind w:left="143" w:hanging="143"/>
        <w:spacing w:after="0" w:line="281" w:lineRule="auto"/>
        <w:tabs>
          <w:tab w:leader="none" w:pos="143"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business.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 w:lineRule="exact"/>
        <w:rPr>
          <w:rFonts w:ascii="Arial" w:cs="Arial" w:eastAsia="Arial" w:hAnsi="Arial"/>
          <w:sz w:val="16"/>
          <w:szCs w:val="16"/>
          <w:color w:val="auto"/>
        </w:rPr>
      </w:pPr>
    </w:p>
    <w:p>
      <w:pPr>
        <w:ind w:left="143" w:hanging="143"/>
        <w:spacing w:after="0"/>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143" w:right="20"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manufacture and purchase our products at and distribute our products from several locations in the United States and internationally. Any disruption at any of these facilities could adversely affect our business and operating results.</w:t>
      </w:r>
    </w:p>
    <w:p>
      <w:pPr>
        <w:ind w:left="143"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alliances, and joint venture arrangements, which are risky and could harm our business, particularly if we are not able to successfully integrate such acquisitions, alliances, and joint ventures.</w:t>
      </w:r>
    </w:p>
    <w:p>
      <w:pPr>
        <w:ind w:left="143" w:right="20" w:hanging="143"/>
        <w:spacing w:after="0" w:line="281" w:lineRule="auto"/>
        <w:tabs>
          <w:tab w:leader="none" w:pos="143"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6"/>
          <w:szCs w:val="16"/>
          <w:color w:val="auto"/>
        </w:rPr>
      </w:pPr>
    </w:p>
    <w:p>
      <w:pPr>
        <w:jc w:val="both"/>
        <w:ind w:left="143"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1" w:lineRule="exact"/>
        <w:rPr>
          <w:rFonts w:ascii="Arial" w:cs="Arial" w:eastAsia="Arial" w:hAnsi="Arial"/>
          <w:sz w:val="18"/>
          <w:szCs w:val="18"/>
          <w:color w:val="auto"/>
        </w:rPr>
      </w:pPr>
    </w:p>
    <w:p>
      <w:pPr>
        <w:ind w:left="143" w:right="20"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w:t>
      </w:r>
    </w:p>
    <w:p>
      <w:pPr>
        <w:jc w:val="both"/>
        <w:ind w:left="143" w:right="20"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pacing w:after="0" w:line="1" w:lineRule="exact"/>
        <w:rPr>
          <w:rFonts w:ascii="Arial" w:cs="Arial" w:eastAsia="Arial" w:hAnsi="Arial"/>
          <w:sz w:val="18"/>
          <w:szCs w:val="18"/>
          <w:color w:val="auto"/>
        </w:rPr>
      </w:pPr>
    </w:p>
    <w:p>
      <w:pPr>
        <w:jc w:val="both"/>
        <w:ind w:left="143" w:hanging="143"/>
        <w:spacing w:after="0" w:line="281" w:lineRule="auto"/>
        <w:tabs>
          <w:tab w:leader="none" w:pos="143"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subject to product liability claims, product quality issues, and other litigation from time to time that could adversely affect our operating results or financial condition, including without limitation the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period.</w:t>
      </w:r>
    </w:p>
    <w:p>
      <w:pPr>
        <w:spacing w:after="0" w:line="2" w:lineRule="exact"/>
        <w:rPr>
          <w:rFonts w:ascii="Arial" w:cs="Arial" w:eastAsia="Arial" w:hAnsi="Arial"/>
          <w:sz w:val="16"/>
          <w:szCs w:val="16"/>
          <w:color w:val="auto"/>
        </w:rPr>
      </w:pPr>
    </w:p>
    <w:p>
      <w:pPr>
        <w:ind w:left="143" w:hanging="143"/>
        <w:spacing w:after="0" w:line="250"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jc w:val="both"/>
        <w:ind w:left="143" w:hanging="143"/>
        <w:spacing w:after="0" w:line="253"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is subject to a number of other factors that may adversely affect our operating results, financial condition, or business, such as natural disasters that may result in shortages of raw materials, higher fuel costs, and an increase in insurance premiums; financial viability of some distributors and dealers, changes in distributor ownership, our success in partnering with new dealers, and our customers’ ability to pay amounts owed to us; and continued threat of terrorist acts and war that may result in heightened security and higher costs for import and export shipments of components or finished goods, reduced leisure travel, and contraction of the U.S. and world economies.</w:t>
      </w:r>
    </w:p>
    <w:p>
      <w:pPr>
        <w:spacing w:after="0" w:line="214" w:lineRule="exact"/>
        <w:rPr>
          <w:sz w:val="20"/>
          <w:szCs w:val="20"/>
          <w:color w:val="auto"/>
        </w:rPr>
      </w:pPr>
    </w:p>
    <w:p>
      <w:pPr>
        <w:jc w:val="center"/>
        <w:ind w:right="177"/>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3"/>
          </w:cols>
          <w:pgMar w:left="437" w:top="368" w:right="239" w:bottom="1440" w:gutter="0" w:footer="0" w:header="0"/>
        </w:sectPr>
      </w:pPr>
    </w:p>
    <w:bookmarkStart w:id="21" w:name="page22"/>
    <w:bookmarkEnd w:id="21"/>
    <w:p>
      <w:pPr>
        <w:ind w:right="40"/>
        <w:spacing w:after="0" w:line="256"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 filed Annual Report on Form 10-K and our Quarterly Report on Form 10-Q for the quarter ended May 4, 2007.</w:t>
      </w:r>
    </w:p>
    <w:p>
      <w:pPr>
        <w:ind w:firstLine="222"/>
        <w:spacing w:after="0" w:line="268"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19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color w:val="auto"/>
        </w:rPr>
        <w:t>. In the normal course of business, we actively manage the exposure of our foreign currency market risk by entering</w:t>
      </w:r>
      <w:r>
        <w:rPr>
          <w:rFonts w:ascii="Arial" w:cs="Arial" w:eastAsia="Arial" w:hAnsi="Arial"/>
          <w:sz w:val="17"/>
          <w:szCs w:val="17"/>
          <w:i w:val="1"/>
          <w:iCs w:val="1"/>
          <w:color w:val="auto"/>
        </w:rPr>
        <w:t xml:space="preserve"> </w:t>
      </w:r>
      <w:r>
        <w:rPr>
          <w:rFonts w:ascii="Arial" w:cs="Arial" w:eastAsia="Arial" w:hAnsi="Arial"/>
          <w:sz w:val="17"/>
          <w:szCs w:val="17"/>
          <w:color w:val="auto"/>
        </w:rPr>
        <w:t>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subsidiaries as well as sales to third party customers, and purchases from suppliers. Because our products are manufactured or sourced primarily from the United States, a stronger U.S. dollar generally has a negative impact on results from operations outside the United States while a weaker dollar generally has a positive effect. Our primary currency exchange rate exposures are with the Euro, the Japanese yen, the Australian dollar, the Canadian dollar, the British pound, and the Mexican peso against the U.S. dollar.</w:t>
      </w:r>
    </w:p>
    <w:p>
      <w:pPr>
        <w:spacing w:after="0" w:line="209"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nine months ended August 3, 2007, the amount of losses reclassified to earnings for such cash flow hedges was $0.3 million and $0.6 million, respectively. For the nine months ended August 3, 2007, the losses treated as a reduction to net sales for contracts to hedge trade sales were $1.3 million and the gains treated as a reduction of cost of sales for contracts to hedge inventory purchases were $0.7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ind w:right="240" w:firstLine="222"/>
        <w:spacing w:after="0" w:line="257" w:lineRule="auto"/>
        <w:rPr>
          <w:sz w:val="20"/>
          <w:szCs w:val="20"/>
          <w:color w:val="auto"/>
        </w:rPr>
      </w:pPr>
      <w:r>
        <w:rPr>
          <w:rFonts w:ascii="Arial" w:cs="Arial" w:eastAsia="Arial" w:hAnsi="Arial"/>
          <w:sz w:val="18"/>
          <w:szCs w:val="18"/>
          <w:color w:val="auto"/>
        </w:rPr>
        <w:t>The following foreign currency exchange contracts held by us have maturity dates in fiscal 2007 and fiscal 2008.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(AOCL), and fair value impact of derivative instruments in other income, net for the nine months ended August 3, 2007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Value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Contracted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Impact</w:t>
            </w: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(except average contracted rate)</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Gain (Loss)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39,980.3</w:t>
            </w: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Buy US dollar/Sell Canadian dollar</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0.9364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90,803.8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Buy US dollar/Sell British pound</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2.0300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Buy Australian dollar /Sell US dollar</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0.8366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Buy Japanese yen /Sell US dollar</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119.0000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Buy Mexican peso/Sell US dollar</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11.2957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exposed to interest rate risk arising from transactions that are entered into during the normal course of business. Our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rates are dependent upon LIBOR plus a basis point spread defined in our credit agreements. See our most recently filed Annual Report on Form 10-K (Item 7A). There has been no material change in this information.</w:t>
      </w:r>
    </w:p>
    <w:p>
      <w:pPr>
        <w:ind w:right="300" w:firstLine="225"/>
        <w:spacing w:after="0" w:line="253" w:lineRule="auto"/>
        <w:rPr>
          <w:sz w:val="20"/>
          <w:szCs w:val="20"/>
          <w:color w:val="auto"/>
        </w:rPr>
      </w:pPr>
      <w:r>
        <w:rPr>
          <w:rFonts w:ascii="Arial" w:cs="Arial" w:eastAsia="Arial" w:hAnsi="Arial"/>
          <w:sz w:val="18"/>
          <w:szCs w:val="18"/>
          <w:color w:val="auto"/>
        </w:rPr>
        <w:t>During the second quarter of fiscal 2007, the company entered into three treasury lock agreements based on a 30-year US Treasury security with a principal balance of $30 million for two of the agreements and $40 million for the third agreement. These treasury lock agreements provided for a single payment at maturity, which was April 23, 2007, based on the change in value of the reference treasury security. These agreements were designated as cash flow hedges and resulted in a net settlement of $0.2 million. This loss is recorded in accumulated other comprehensive loss, which will be amortized to interest expense over the 30 year term of the senior notes.</w:t>
      </w:r>
    </w:p>
    <w:p>
      <w:pPr>
        <w:spacing w:after="0" w:line="2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u w:val="single" w:color="auto"/>
          <w:color w:val="auto"/>
        </w:rPr>
        <w:t>Commodity Price Risk</w:t>
      </w:r>
      <w:r>
        <w:rPr>
          <w:rFonts w:ascii="Arial" w:cs="Arial" w:eastAsia="Arial" w:hAnsi="Arial"/>
          <w:sz w:val="18"/>
          <w:szCs w:val="18"/>
          <w:i w:val="1"/>
          <w:iCs w:val="1"/>
          <w:color w:val="auto"/>
        </w:rPr>
        <w:t xml:space="preserve">. </w:t>
      </w:r>
      <w:r>
        <w:rPr>
          <w:rFonts w:ascii="Arial" w:cs="Arial" w:eastAsia="Arial" w:hAnsi="Arial"/>
          <w:sz w:val="18"/>
          <w:szCs w:val="18"/>
          <w:color w:val="auto"/>
        </w:rPr>
        <w:t>Some raw materials used in our products are exposed to commodity price changes. The primary commodity price exposures are with</w:t>
      </w:r>
      <w:r>
        <w:rPr>
          <w:rFonts w:ascii="Arial" w:cs="Arial" w:eastAsia="Arial" w:hAnsi="Arial"/>
          <w:sz w:val="18"/>
          <w:szCs w:val="18"/>
          <w:i w:val="1"/>
          <w:iCs w:val="1"/>
          <w:color w:val="auto"/>
        </w:rPr>
        <w:t xml:space="preserve"> </w:t>
      </w:r>
      <w:r>
        <w:rPr>
          <w:rFonts w:ascii="Arial" w:cs="Arial" w:eastAsia="Arial" w:hAnsi="Arial"/>
          <w:sz w:val="18"/>
          <w:szCs w:val="18"/>
          <w:color w:val="auto"/>
        </w:rPr>
        <w:t>steel, aluminum, fuel, petroleum-based resin, and linerboard. Further information regarding rising prices for commodities is presented in Item 2, section entitled “Inflation.”</w:t>
      </w:r>
    </w:p>
    <w:p>
      <w:pPr>
        <w:ind w:left="22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contracts meet the definition of “normal purchases and normal sales” and, therefore, are not considered derivative instruments for accounting purposes.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2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third quarter ended August 3, 2007 that has materially affected, or is reasonably likely to materially affect, our internal control over financial reporting.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24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On December 21, 2006, another defendant, American Honda Motor Company, notified us that it had reached an agreement of settlement with the plaintiffs. On March 30, 2007, the court entered an order dismissing plaintiffs’ complaint, subject to the ability to re-plead certain claims pursuant to a detailed written order to follow. As of the date hereof, the court has not yet entered the detailed written order.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13" w:lineRule="exact"/>
        <w:rPr>
          <w:sz w:val="20"/>
          <w:szCs w:val="20"/>
          <w:color w:val="auto"/>
        </w:rPr>
      </w:pPr>
    </w:p>
    <w:p>
      <w:pPr>
        <w:ind w:firstLine="225"/>
        <w:spacing w:after="0" w:line="265" w:lineRule="auto"/>
        <w:rPr>
          <w:sz w:val="20"/>
          <w:szCs w:val="20"/>
          <w:color w:val="auto"/>
        </w:rPr>
      </w:pPr>
      <w:r>
        <w:rPr>
          <w:rFonts w:ascii="Arial" w:cs="Arial" w:eastAsia="Arial" w:hAnsi="Arial"/>
          <w:sz w:val="17"/>
          <w:szCs w:val="17"/>
          <w:color w:val="auto"/>
        </w:rPr>
        <w:t>In July 2005, Textron Innovations Inc., the patent holding company of Textron, Inc., filed a lawsuit in Delaware Federal District Court against the company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United States Patent and Trademark Office (USPTO) to have Textron’s patents reexamined. Our reexamination applications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3" w:lineRule="exact"/>
        <w:rPr>
          <w:sz w:val="20"/>
          <w:szCs w:val="20"/>
          <w:color w:val="auto"/>
        </w:rPr>
      </w:pPr>
    </w:p>
    <w:p>
      <w:pPr>
        <w:ind w:right="80" w:firstLine="222"/>
        <w:spacing w:after="0" w:line="269" w:lineRule="auto"/>
        <w:rPr>
          <w:sz w:val="20"/>
          <w:szCs w:val="20"/>
          <w:color w:val="auto"/>
        </w:rPr>
      </w:pPr>
      <w:r>
        <w:rPr>
          <w:rFonts w:ascii="Arial" w:cs="Arial" w:eastAsia="Arial" w:hAnsi="Arial"/>
          <w:sz w:val="17"/>
          <w:szCs w:val="17"/>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lawsuits discussed above, the outcomes of these cases are unlikely to have a material adverse effect on our consolidated operating results or financial position. Further, although we are self-insured to some extent, we maintain insurance against certain product liability losses.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24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are described in our most recently filed Annual Report on Form 10-K for the fiscal year ended October 31, 2006 (Part I, Item 1A) and our Quarterly Report on Form 10-Q for the quarter ended May 4, 2007 (Part II, Item 1A). There has been no material change in those risk factors.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w w:val="91"/>
              </w:rPr>
              <w:t>The following table shows our third quarter of fiscal 2007 stock repurchase activity.</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As Part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Total Number</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Publicly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of</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Plans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 (1)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2"/>
          </w:tcPr>
          <w:p>
            <w:pPr>
              <w:ind w:left="2700"/>
              <w:spacing w:after="0"/>
              <w:rPr>
                <w:sz w:val="20"/>
                <w:szCs w:val="20"/>
                <w:color w:val="auto"/>
              </w:rPr>
            </w:pPr>
            <w:r>
              <w:rPr>
                <w:rFonts w:ascii="Arial" w:cs="Arial" w:eastAsia="Arial" w:hAnsi="Arial"/>
                <w:sz w:val="18"/>
                <w:szCs w:val="18"/>
                <w:color w:val="auto"/>
              </w:rPr>
              <w:t>Period</w:t>
            </w: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Purchased (1)</w:t>
            </w:r>
          </w:p>
        </w:tc>
        <w:tc>
          <w:tcPr>
            <w:tcW w:w="6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or Programs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May 5, 2007 through</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1, 2007</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544,834</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544,834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2, 2007 through</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29, 2007</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30, 2007 through</w:t>
            </w:r>
          </w:p>
        </w:tc>
        <w:tc>
          <w:tcPr>
            <w:tcW w:w="1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1,551(3)</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right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3, 2007</w:t>
            </w:r>
          </w:p>
        </w:tc>
        <w:tc>
          <w:tcPr>
            <w:tcW w:w="13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61.82</w:t>
            </w: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3,046,563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546,385</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52.28</w:t>
            </w:r>
          </w:p>
        </w:tc>
        <w:tc>
          <w:tcPr>
            <w:tcW w:w="13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544,834</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3,046,563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40" w:right="160" w:hanging="232"/>
        <w:spacing w:after="0" w:line="254"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18, 2006, the company’s Board of Directors authorized the repurchase of 3,000,000 shares of the company’s common stock in open-market or in privately negotiated transactions. This program has no expiration date but may be terminated by the company’s Board of Directors at any time. The company purchased an aggregate of 544,834 shares during the periods indicated above under this program. There are 46,563 shares remaining for repurchase under this program.</w:t>
      </w:r>
    </w:p>
    <w:p>
      <w:pPr>
        <w:spacing w:after="0" w:line="2" w:lineRule="exact"/>
        <w:rPr>
          <w:rFonts w:ascii="Arial" w:cs="Arial" w:eastAsia="Arial" w:hAnsi="Arial"/>
          <w:sz w:val="18"/>
          <w:szCs w:val="18"/>
          <w:color w:val="auto"/>
        </w:rPr>
      </w:pPr>
    </w:p>
    <w:p>
      <w:pPr>
        <w:ind w:left="240" w:right="40" w:hanging="232"/>
        <w:spacing w:after="0" w:line="250"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22, 2007, the company’s Board of Directors authorized the repurchase of an additional 3,000,000 shares of the company’s common stock in open-market or in privately negotiated transactions. This program has no expiration date but may be terminated by the company’s Board of Directors at any time. No shares were purchased during the periods indicated above under this program.</w:t>
      </w:r>
    </w:p>
    <w:p>
      <w:pPr>
        <w:spacing w:after="0" w:line="1" w:lineRule="exact"/>
        <w:rPr>
          <w:rFonts w:ascii="Arial" w:cs="Arial" w:eastAsia="Arial" w:hAnsi="Arial"/>
          <w:sz w:val="18"/>
          <w:szCs w:val="18"/>
          <w:color w:val="auto"/>
        </w:rPr>
      </w:pPr>
    </w:p>
    <w:p>
      <w:pPr>
        <w:ind w:left="240" w:right="40" w:hanging="232"/>
        <w:spacing w:after="0" w:line="255"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1,551 units (shares) of the company’s common stock purchased in open-market transactions at an average price of $61.82 per share on behalf of a rabbi trust formed to pay benefit obligations of the company to participants in deferred compensation plans. These 1,551 shares were not repurchased under the company’s repurchase programs described in footnotes (1) and (2) above.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6. EXHIBITS</w:t>
      </w:r>
    </w:p>
    <w:p>
      <w:pPr>
        <w:spacing w:after="0" w:line="24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880" w:right="100" w:hanging="1405"/>
        <w:spacing w:after="0" w:line="277" w:lineRule="auto"/>
        <w:rPr>
          <w:rFonts w:ascii="Arial" w:cs="Arial" w:eastAsia="Arial" w:hAnsi="Arial"/>
          <w:sz w:val="18"/>
          <w:szCs w:val="18"/>
          <w:color w:val="auto"/>
        </w:rPr>
      </w:pPr>
      <w:r>
        <w:rPr>
          <w:rFonts w:ascii="Arial" w:cs="Arial" w:eastAsia="Arial" w:hAnsi="Arial"/>
          <w:sz w:val="18"/>
          <w:szCs w:val="18"/>
          <w:color w:val="auto"/>
        </w:rPr>
        <w:t>3(i) and 4(a)The Toro Company Amended and Restated Certificate of Incorporation of Registrant (incorporated by reference to Exhibit 3(i) and 4(a) to Registrant’s Current Report on Form 8-K dated March 15, 2005, Commission File No. 1-8649).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ind w:left="460"/>
              <w:spacing w:after="0"/>
              <w:rPr>
                <w:sz w:val="20"/>
                <w:szCs w:val="20"/>
                <w:color w:val="auto"/>
              </w:rPr>
            </w:pPr>
            <w:r>
              <w:rPr>
                <w:rFonts w:ascii="Arial" w:cs="Arial" w:eastAsia="Arial" w:hAnsi="Arial"/>
                <w:sz w:val="18"/>
                <w:szCs w:val="18"/>
                <w:color w:val="auto"/>
              </w:rPr>
              <w:t>3(ii) and 4(b)</w:t>
            </w:r>
          </w:p>
        </w:tc>
        <w:tc>
          <w:tcPr>
            <w:tcW w:w="9780" w:type="dxa"/>
            <w:vAlign w:val="bottom"/>
          </w:tcPr>
          <w:p>
            <w:pPr>
              <w:ind w:left="240"/>
              <w:spacing w:after="0"/>
              <w:rPr>
                <w:sz w:val="20"/>
                <w:szCs w:val="20"/>
                <w:color w:val="auto"/>
              </w:rPr>
            </w:pPr>
            <w:r>
              <w:rPr>
                <w:rFonts w:ascii="Arial" w:cs="Arial" w:eastAsia="Arial" w:hAnsi="Arial"/>
                <w:sz w:val="18"/>
                <w:szCs w:val="18"/>
                <w:color w:val="auto"/>
                <w:w w:val="91"/>
              </w:rPr>
              <w:t>Bylaws of Registrant (incorporated by reference to Exhibit 3 to Registrant’s Current Report on Form 8-K dated November 30, 2005,</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Commission File No. 1-8649).</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4(c)</w:t>
            </w:r>
          </w:p>
        </w:tc>
        <w:tc>
          <w:tcPr>
            <w:tcW w:w="9780" w:type="dxa"/>
            <w:vAlign w:val="bottom"/>
          </w:tcPr>
          <w:p>
            <w:pPr>
              <w:ind w:left="240"/>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Annual Report on Form 10-</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K for the fiscal year ended October 31, 2006).</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4(d)</w:t>
            </w:r>
          </w:p>
        </w:tc>
        <w:tc>
          <w:tcPr>
            <w:tcW w:w="9780" w:type="dxa"/>
            <w:vAlign w:val="bottom"/>
          </w:tcPr>
          <w:p>
            <w:pPr>
              <w:ind w:left="240"/>
              <w:spacing w:after="0"/>
              <w:rPr>
                <w:sz w:val="20"/>
                <w:szCs w:val="20"/>
                <w:color w:val="auto"/>
              </w:rPr>
            </w:pPr>
            <w:r>
              <w:rPr>
                <w:rFonts w:ascii="Arial" w:cs="Arial" w:eastAsia="Arial" w:hAnsi="Arial"/>
                <w:sz w:val="18"/>
                <w:szCs w:val="18"/>
                <w:color w:val="auto"/>
                <w:w w:val="91"/>
              </w:rPr>
              <w:t>Rights Agreement dated as of May 20, 1998, between Registrant and Wells Fargo Bank Minnesota, National Association relating to</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4"/>
              </w:rPr>
              <w:t>rights to purchase Series B Junior Participating Voting Preferred Stock, as amended (incorporated by reference to Registrant’s</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Current Report on Form 8-K dated May 27, 1998, Commission File No. 1-8649).</w:t>
            </w:r>
          </w:p>
        </w:tc>
      </w:tr>
      <w:tr>
        <w:trPr>
          <w:trHeight w:val="866"/>
        </w:trPr>
        <w:tc>
          <w:tcPr>
            <w:tcW w:w="1640" w:type="dxa"/>
            <w:vAlign w:val="bottom"/>
          </w:tcPr>
          <w:p>
            <w:pPr>
              <w:spacing w:after="0"/>
              <w:rPr>
                <w:sz w:val="24"/>
                <w:szCs w:val="24"/>
                <w:color w:val="auto"/>
              </w:rPr>
            </w:pPr>
          </w:p>
        </w:tc>
        <w:tc>
          <w:tcPr>
            <w:tcW w:w="9780" w:type="dxa"/>
            <w:vAlign w:val="bottom"/>
          </w:tcPr>
          <w:p>
            <w:pPr>
              <w:ind w:left="4000"/>
              <w:spacing w:after="0"/>
              <w:rPr>
                <w:sz w:val="20"/>
                <w:szCs w:val="20"/>
                <w:color w:val="auto"/>
              </w:rPr>
            </w:pPr>
            <w:r>
              <w:rPr>
                <w:rFonts w:ascii="Arial" w:cs="Arial" w:eastAsia="Arial" w:hAnsi="Arial"/>
                <w:sz w:val="14"/>
                <w:szCs w:val="14"/>
                <w:color w:val="auto"/>
              </w:rPr>
              <w:t>25</w:t>
            </w:r>
          </w:p>
        </w:tc>
      </w:tr>
      <w:tr>
        <w:trPr>
          <w:trHeight w:val="103"/>
        </w:trPr>
        <w:tc>
          <w:tcPr>
            <w:tcW w:w="1640" w:type="dxa"/>
            <w:vAlign w:val="bottom"/>
            <w:tcBorders>
              <w:bottom w:val="single" w:sz="8" w:color="808080"/>
            </w:tcBorders>
          </w:tcPr>
          <w:p>
            <w:pPr>
              <w:spacing w:after="0"/>
              <w:rPr>
                <w:sz w:val="8"/>
                <w:szCs w:val="8"/>
                <w:color w:val="auto"/>
              </w:rPr>
            </w:pPr>
          </w:p>
        </w:tc>
        <w:tc>
          <w:tcPr>
            <w:tcW w:w="97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4(e)</w:t>
            </w:r>
          </w:p>
        </w:tc>
        <w:tc>
          <w:tcPr>
            <w:tcW w:w="10040" w:type="dxa"/>
            <w:vAlign w:val="bottom"/>
          </w:tcPr>
          <w:p>
            <w:pPr>
              <w:ind w:left="520"/>
              <w:spacing w:after="0"/>
              <w:rPr>
                <w:sz w:val="20"/>
                <w:szCs w:val="20"/>
                <w:color w:val="auto"/>
              </w:rPr>
            </w:pPr>
            <w:r>
              <w:rPr>
                <w:rFonts w:ascii="Arial" w:cs="Arial" w:eastAsia="Arial" w:hAnsi="Arial"/>
                <w:sz w:val="18"/>
                <w:szCs w:val="18"/>
                <w:color w:val="auto"/>
                <w:w w:val="97"/>
              </w:rPr>
              <w:t>Certificate of Adjusted Purchase Price or Number of Shares dated April 14, 2003 filed by Registrant with Wells Fargo Bank</w:t>
            </w:r>
          </w:p>
        </w:tc>
      </w:tr>
      <w:tr>
        <w:trPr>
          <w:trHeight w:val="216"/>
        </w:trPr>
        <w:tc>
          <w:tcPr>
            <w:tcW w:w="900" w:type="dxa"/>
            <w:vAlign w:val="bottom"/>
          </w:tcPr>
          <w:p>
            <w:pPr>
              <w:spacing w:after="0"/>
              <w:rPr>
                <w:sz w:val="18"/>
                <w:szCs w:val="18"/>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w w:val="93"/>
              </w:rPr>
              <w:t>Minnesota, N.A., as Rights Agent, in connection with Rights Agreement dated as of May 20, 1998 (incorporated by reference to</w:t>
            </w:r>
          </w:p>
        </w:tc>
      </w:tr>
      <w:tr>
        <w:trPr>
          <w:trHeight w:val="216"/>
        </w:trPr>
        <w:tc>
          <w:tcPr>
            <w:tcW w:w="900" w:type="dxa"/>
            <w:vAlign w:val="bottom"/>
          </w:tcPr>
          <w:p>
            <w:pPr>
              <w:spacing w:after="0"/>
              <w:rPr>
                <w:sz w:val="18"/>
                <w:szCs w:val="18"/>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w w:val="94"/>
              </w:rPr>
              <w:t>Exhibit 2 to Registrant’s Amendment No. 1 to Registration Statement on Form 8-A/A as filed with the Securities and Exchange</w:t>
            </w:r>
          </w:p>
        </w:tc>
      </w:tr>
      <w:tr>
        <w:trPr>
          <w:trHeight w:val="230"/>
        </w:trPr>
        <w:tc>
          <w:tcPr>
            <w:tcW w:w="90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Commission on April 14, 2003, Commission File No. 1-8649).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4(f)</w:t>
            </w:r>
          </w:p>
        </w:tc>
        <w:tc>
          <w:tcPr>
            <w:tcW w:w="10040" w:type="dxa"/>
            <w:vAlign w:val="bottom"/>
          </w:tcPr>
          <w:p>
            <w:pPr>
              <w:ind w:left="520"/>
              <w:spacing w:after="0"/>
              <w:rPr>
                <w:sz w:val="20"/>
                <w:szCs w:val="20"/>
                <w:color w:val="auto"/>
              </w:rPr>
            </w:pPr>
            <w:r>
              <w:rPr>
                <w:rFonts w:ascii="Arial" w:cs="Arial" w:eastAsia="Arial" w:hAnsi="Arial"/>
                <w:sz w:val="18"/>
                <w:szCs w:val="18"/>
                <w:color w:val="auto"/>
                <w:w w:val="97"/>
              </w:rPr>
              <w:t>Certificate of Adjusted Purchase Price or Number of Shares dated April 12, 2005 filed by Registrant with Wells Fargo Bank</w:t>
            </w:r>
          </w:p>
        </w:tc>
      </w:tr>
      <w:tr>
        <w:trPr>
          <w:trHeight w:val="216"/>
        </w:trPr>
        <w:tc>
          <w:tcPr>
            <w:tcW w:w="900" w:type="dxa"/>
            <w:vAlign w:val="bottom"/>
          </w:tcPr>
          <w:p>
            <w:pPr>
              <w:spacing w:after="0"/>
              <w:rPr>
                <w:sz w:val="18"/>
                <w:szCs w:val="18"/>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w w:val="93"/>
              </w:rPr>
              <w:t>Minnesota, N.A., as Rights Agent, in connection with Rights Agreement dated as of May 20, 1998 (incorporated by reference to</w:t>
            </w:r>
          </w:p>
        </w:tc>
      </w:tr>
      <w:tr>
        <w:trPr>
          <w:trHeight w:val="216"/>
        </w:trPr>
        <w:tc>
          <w:tcPr>
            <w:tcW w:w="900" w:type="dxa"/>
            <w:vAlign w:val="bottom"/>
          </w:tcPr>
          <w:p>
            <w:pPr>
              <w:spacing w:after="0"/>
              <w:rPr>
                <w:sz w:val="18"/>
                <w:szCs w:val="18"/>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w w:val="94"/>
              </w:rPr>
              <w:t>Exhibit 2 to Registrant’s Amendment No. 2 to Registration Statement on Form 8-A/A as filed with the Securities and Exchange</w:t>
            </w:r>
          </w:p>
        </w:tc>
      </w:tr>
      <w:tr>
        <w:trPr>
          <w:trHeight w:val="230"/>
        </w:trPr>
        <w:tc>
          <w:tcPr>
            <w:tcW w:w="90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Commission on March 21, 2005, Commission File No. 1-8649).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4(g)</w:t>
            </w:r>
          </w:p>
        </w:tc>
        <w:tc>
          <w:tcPr>
            <w:tcW w:w="10040" w:type="dxa"/>
            <w:vAlign w:val="bottom"/>
          </w:tcPr>
          <w:p>
            <w:pPr>
              <w:ind w:left="520"/>
              <w:spacing w:after="0"/>
              <w:rPr>
                <w:sz w:val="20"/>
                <w:szCs w:val="20"/>
                <w:color w:val="auto"/>
              </w:rPr>
            </w:pPr>
            <w:r>
              <w:rPr>
                <w:rFonts w:ascii="Arial" w:cs="Arial" w:eastAsia="Arial" w:hAnsi="Arial"/>
                <w:sz w:val="18"/>
                <w:szCs w:val="18"/>
                <w:color w:val="auto"/>
                <w:w w:val="96"/>
              </w:rPr>
              <w:t>Indenture dated as of January 31, 1997, between Registrant and First National Trust Association, as Trustee, relating to the</w:t>
            </w:r>
          </w:p>
        </w:tc>
      </w:tr>
      <w:tr>
        <w:trPr>
          <w:trHeight w:val="216"/>
        </w:trPr>
        <w:tc>
          <w:tcPr>
            <w:tcW w:w="900" w:type="dxa"/>
            <w:vAlign w:val="bottom"/>
          </w:tcPr>
          <w:p>
            <w:pPr>
              <w:spacing w:after="0"/>
              <w:rPr>
                <w:sz w:val="18"/>
                <w:szCs w:val="18"/>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w w:val="92"/>
              </w:rPr>
              <w:t>Registrant’s 7.125% Notes due June 15, 2007 and its 7.80% Debentures due June 15, 2027 (incorporated by reference to Exhibit</w:t>
            </w:r>
          </w:p>
        </w:tc>
      </w:tr>
      <w:tr>
        <w:trPr>
          <w:trHeight w:val="230"/>
        </w:trPr>
        <w:tc>
          <w:tcPr>
            <w:tcW w:w="90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4(a) to Registrant’s Current Report on Form 8-K dated June 24, 1997, Commission File No. 1-8649).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4(h)</w:t>
            </w:r>
          </w:p>
        </w:tc>
        <w:tc>
          <w:tcPr>
            <w:tcW w:w="10040" w:type="dxa"/>
            <w:vAlign w:val="bottom"/>
          </w:tcPr>
          <w:p>
            <w:pPr>
              <w:ind w:left="520"/>
              <w:spacing w:after="0"/>
              <w:rPr>
                <w:sz w:val="20"/>
                <w:szCs w:val="20"/>
                <w:color w:val="auto"/>
              </w:rPr>
            </w:pPr>
            <w:r>
              <w:rPr>
                <w:rFonts w:ascii="Arial" w:cs="Arial" w:eastAsia="Arial" w:hAnsi="Arial"/>
                <w:sz w:val="18"/>
                <w:szCs w:val="18"/>
                <w:color w:val="auto"/>
                <w:w w:val="92"/>
              </w:rPr>
              <w:t>Indenture dated as of April 20, 2007, between Registrant and The Bank of New York Trust Company, N.A., as Trustee, relating to</w:t>
            </w:r>
          </w:p>
        </w:tc>
      </w:tr>
      <w:tr>
        <w:trPr>
          <w:trHeight w:val="216"/>
        </w:trPr>
        <w:tc>
          <w:tcPr>
            <w:tcW w:w="900" w:type="dxa"/>
            <w:vAlign w:val="bottom"/>
          </w:tcPr>
          <w:p>
            <w:pPr>
              <w:spacing w:after="0"/>
              <w:rPr>
                <w:sz w:val="18"/>
                <w:szCs w:val="18"/>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w w:val="91"/>
              </w:rPr>
              <w:t>the Registrant’s 6.625% Notes due May 1, 2037 (incorporated by reference to Exhibit 4.3 to Registrant’s Registration Statement on</w:t>
            </w:r>
          </w:p>
        </w:tc>
      </w:tr>
      <w:tr>
        <w:trPr>
          <w:trHeight w:val="230"/>
        </w:trPr>
        <w:tc>
          <w:tcPr>
            <w:tcW w:w="90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Form S-3 as filed with the Securities and Exchange Commission on April 23, 2007, Registration No. 333-142282).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4(i)</w:t>
            </w:r>
          </w:p>
        </w:tc>
        <w:tc>
          <w:tcPr>
            <w:tcW w:w="10040" w:type="dxa"/>
            <w:vAlign w:val="bottom"/>
          </w:tcPr>
          <w:p>
            <w:pPr>
              <w:ind w:left="520"/>
              <w:spacing w:after="0"/>
              <w:rPr>
                <w:sz w:val="20"/>
                <w:szCs w:val="20"/>
                <w:color w:val="auto"/>
              </w:rPr>
            </w:pPr>
            <w:r>
              <w:rPr>
                <w:rFonts w:ascii="Arial" w:cs="Arial" w:eastAsia="Arial" w:hAnsi="Arial"/>
                <w:sz w:val="18"/>
                <w:szCs w:val="18"/>
                <w:color w:val="auto"/>
                <w:w w:val="92"/>
              </w:rPr>
              <w:t>First Supplemental Indenture dated as of April 26, 2007, between Registrant and The Bank of New York Trust Company, N.A., as</w:t>
            </w:r>
          </w:p>
        </w:tc>
      </w:tr>
      <w:tr>
        <w:trPr>
          <w:trHeight w:val="216"/>
        </w:trPr>
        <w:tc>
          <w:tcPr>
            <w:tcW w:w="900" w:type="dxa"/>
            <w:vAlign w:val="bottom"/>
          </w:tcPr>
          <w:p>
            <w:pPr>
              <w:spacing w:after="0"/>
              <w:rPr>
                <w:sz w:val="18"/>
                <w:szCs w:val="18"/>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w w:val="90"/>
              </w:rPr>
              <w:t>Trustee, relating to the Registrant’s 6.625% Notes due May 1, 2037 (incorporated by reference to Exhibit 4.1 to Registrant’s Current</w:t>
            </w:r>
          </w:p>
        </w:tc>
      </w:tr>
      <w:tr>
        <w:trPr>
          <w:trHeight w:val="230"/>
        </w:trPr>
        <w:tc>
          <w:tcPr>
            <w:tcW w:w="90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4(j)</w:t>
            </w:r>
          </w:p>
        </w:tc>
        <w:tc>
          <w:tcPr>
            <w:tcW w:w="10040" w:type="dxa"/>
            <w:vAlign w:val="bottom"/>
          </w:tcPr>
          <w:p>
            <w:pPr>
              <w:ind w:left="520"/>
              <w:spacing w:after="0"/>
              <w:rPr>
                <w:sz w:val="20"/>
                <w:szCs w:val="20"/>
                <w:color w:val="auto"/>
              </w:rPr>
            </w:pPr>
            <w:r>
              <w:rPr>
                <w:rFonts w:ascii="Arial" w:cs="Arial" w:eastAsia="Arial" w:hAnsi="Arial"/>
                <w:sz w:val="18"/>
                <w:szCs w:val="18"/>
                <w:color w:val="auto"/>
                <w:w w:val="91"/>
              </w:rPr>
              <w:t>Form of The Toro Company 6.625% Note due May 1, 2037 (incorporated by reference to Exhibit 4.2 to Registrant’s Current Report</w:t>
            </w:r>
          </w:p>
        </w:tc>
      </w:tr>
      <w:tr>
        <w:trPr>
          <w:trHeight w:val="230"/>
        </w:trPr>
        <w:tc>
          <w:tcPr>
            <w:tcW w:w="90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10040" w:type="dxa"/>
            <w:vAlign w:val="bottom"/>
          </w:tcPr>
          <w:p>
            <w:pPr>
              <w:ind w:left="520"/>
              <w:spacing w:after="0"/>
              <w:rPr>
                <w:sz w:val="20"/>
                <w:szCs w:val="20"/>
                <w:color w:val="auto"/>
              </w:rPr>
            </w:pPr>
            <w:r>
              <w:rPr>
                <w:rFonts w:ascii="Arial" w:cs="Arial" w:eastAsia="Arial" w:hAnsi="Arial"/>
                <w:sz w:val="18"/>
                <w:szCs w:val="18"/>
                <w:color w:val="auto"/>
                <w:w w:val="98"/>
              </w:rPr>
              <w:t>Certification of Chief Executive Officer Pursuant to Rule 13a-14(a) (Section 302 of the Sarbanes-Oxley Act of 2002) (filed</w:t>
            </w:r>
          </w:p>
        </w:tc>
      </w:tr>
      <w:tr>
        <w:trPr>
          <w:trHeight w:val="230"/>
        </w:trPr>
        <w:tc>
          <w:tcPr>
            <w:tcW w:w="90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herewith).</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10040" w:type="dxa"/>
            <w:vAlign w:val="bottom"/>
          </w:tcPr>
          <w:p>
            <w:pPr>
              <w:ind w:left="520"/>
              <w:spacing w:after="0"/>
              <w:rPr>
                <w:sz w:val="20"/>
                <w:szCs w:val="20"/>
                <w:color w:val="auto"/>
              </w:rPr>
            </w:pPr>
            <w:r>
              <w:rPr>
                <w:rFonts w:ascii="Arial" w:cs="Arial" w:eastAsia="Arial" w:hAnsi="Arial"/>
                <w:sz w:val="18"/>
                <w:szCs w:val="18"/>
                <w:color w:val="auto"/>
                <w:w w:val="99"/>
              </w:rPr>
              <w:t>Certification of Chief Financial Officer Pursuant to Rule 13a-14(a) (Section 302 of the Sarbanes-Oxley Act of 2002) (filed</w:t>
            </w:r>
          </w:p>
        </w:tc>
      </w:tr>
      <w:tr>
        <w:trPr>
          <w:trHeight w:val="230"/>
        </w:trPr>
        <w:tc>
          <w:tcPr>
            <w:tcW w:w="90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herewith).</w:t>
            </w:r>
          </w:p>
        </w:tc>
      </w:tr>
    </w:tbl>
    <w:p>
      <w:pPr>
        <w:spacing w:after="0" w:line="202" w:lineRule="exact"/>
        <w:rPr>
          <w:sz w:val="20"/>
          <w:szCs w:val="20"/>
          <w:color w:val="auto"/>
        </w:rPr>
      </w:pPr>
    </w:p>
    <w:p>
      <w:pPr>
        <w:ind w:left="1420" w:right="260" w:hanging="1413"/>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368"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20"/>
                <w:szCs w:val="20"/>
                <w:color w:val="auto"/>
              </w:rPr>
            </w:pPr>
            <w:r>
              <w:rPr>
                <w:rFonts w:ascii="Arial" w:cs="Arial" w:eastAsia="Arial" w:hAnsi="Arial"/>
                <w:sz w:val="18"/>
                <w:szCs w:val="18"/>
                <w:color w:val="auto"/>
              </w:rPr>
              <w:t>Date: September 10, 2007</w:t>
            </w: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By /s/ Stephen P. Wolfe</w:t>
            </w:r>
          </w:p>
        </w:tc>
      </w:tr>
      <w:tr>
        <w:trPr>
          <w:trHeight w:val="20"/>
        </w:trPr>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Stephen P. Wolfe</w:t>
            </w:r>
          </w:p>
        </w:tc>
      </w:tr>
      <w:tr>
        <w:trPr>
          <w:trHeight w:val="216"/>
        </w:trPr>
        <w:tc>
          <w:tcPr>
            <w:tcW w:w="3780" w:type="dxa"/>
            <w:vAlign w:val="bottom"/>
          </w:tcPr>
          <w:p>
            <w:pPr>
              <w:spacing w:after="0"/>
              <w:rPr>
                <w:sz w:val="18"/>
                <w:szCs w:val="18"/>
                <w:color w:val="auto"/>
              </w:rPr>
            </w:pP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Vice President Finance</w:t>
            </w:r>
          </w:p>
        </w:tc>
      </w:tr>
      <w:tr>
        <w:trPr>
          <w:trHeight w:val="216"/>
        </w:trPr>
        <w:tc>
          <w:tcPr>
            <w:tcW w:w="3780" w:type="dxa"/>
            <w:vAlign w:val="bottom"/>
          </w:tcPr>
          <w:p>
            <w:pPr>
              <w:spacing w:after="0"/>
              <w:rPr>
                <w:sz w:val="18"/>
                <w:szCs w:val="18"/>
                <w:color w:val="auto"/>
              </w:rPr>
            </w:pP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780" w:type="dxa"/>
            <w:vAlign w:val="bottom"/>
          </w:tcPr>
          <w:p>
            <w:pPr>
              <w:spacing w:after="0"/>
              <w:rPr>
                <w:sz w:val="20"/>
                <w:szCs w:val="20"/>
                <w:color w:val="auto"/>
              </w:rPr>
            </w:pP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(duly authorized officer and principal financial officer)</w:t>
            </w:r>
          </w:p>
        </w:tc>
      </w:tr>
      <w:tr>
        <w:trPr>
          <w:trHeight w:val="893"/>
        </w:trPr>
        <w:tc>
          <w:tcPr>
            <w:tcW w:w="3780" w:type="dxa"/>
            <w:vAlign w:val="bottom"/>
          </w:tcPr>
          <w:p>
            <w:pPr>
              <w:spacing w:after="0"/>
              <w:rPr>
                <w:sz w:val="24"/>
                <w:szCs w:val="24"/>
                <w:color w:val="auto"/>
              </w:rPr>
            </w:pPr>
          </w:p>
        </w:tc>
        <w:tc>
          <w:tcPr>
            <w:tcW w:w="2180" w:type="dxa"/>
            <w:vAlign w:val="bottom"/>
          </w:tcPr>
          <w:p>
            <w:pPr>
              <w:ind w:left="1860"/>
              <w:spacing w:after="0"/>
              <w:rPr>
                <w:sz w:val="20"/>
                <w:szCs w:val="20"/>
                <w:color w:val="auto"/>
              </w:rPr>
            </w:pPr>
            <w:r>
              <w:rPr>
                <w:rFonts w:ascii="Arial" w:cs="Arial" w:eastAsia="Arial" w:hAnsi="Arial"/>
                <w:sz w:val="14"/>
                <w:szCs w:val="14"/>
                <w:color w:val="auto"/>
              </w:rPr>
              <w:t>27</w:t>
            </w:r>
          </w:p>
        </w:tc>
        <w:tc>
          <w:tcPr>
            <w:tcW w:w="14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03"/>
        </w:trPr>
        <w:tc>
          <w:tcPr>
            <w:tcW w:w="378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Exhibit 31(a)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52"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40" w:hanging="328"/>
        <w:spacing w:after="0" w:line="250" w:lineRule="auto"/>
        <w:tabs>
          <w:tab w:leader="none" w:pos="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20" w:right="20" w:hanging="282"/>
        <w:spacing w:after="0" w:line="250" w:lineRule="auto"/>
        <w:tabs>
          <w:tab w:leader="none" w:pos="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323" w:lineRule="auto"/>
        <w:tabs>
          <w:tab w:leader="none" w:pos="660" w:val="left"/>
        </w:tabs>
        <w:numPr>
          <w:ilvl w:val="2"/>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right="460" w:firstLine="8"/>
        <w:spacing w:after="0" w:line="274"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hanging="234"/>
        <w:spacing w:after="0" w:line="250" w:lineRule="auto"/>
        <w:tabs>
          <w:tab w:leader="none" w:pos="660" w:val="left"/>
        </w:tabs>
        <w:numPr>
          <w:ilvl w:val="3"/>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44"/>
        <w:spacing w:after="0" w:line="261" w:lineRule="auto"/>
        <w:tabs>
          <w:tab w:leader="none" w:pos="660" w:val="left"/>
        </w:tabs>
        <w:numPr>
          <w:ilvl w:val="3"/>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Exhibit 31(b)</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5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40" w:hanging="328"/>
        <w:spacing w:after="0" w:line="250"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323"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right="460" w:firstLine="8"/>
        <w:spacing w:after="0" w:line="274"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hanging="234"/>
        <w:spacing w:after="0" w:line="250" w:lineRule="auto"/>
        <w:tabs>
          <w:tab w:leader="none" w:pos="6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44"/>
        <w:spacing w:after="0" w:line="261" w:lineRule="auto"/>
        <w:tabs>
          <w:tab w:leader="none" w:pos="6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2007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August 3, 2007 as filed with the Securities and Exchange Commission on the date hereof (the “Report”), we, Michael J. Hoffman,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14" w:lineRule="exact"/>
        <w:rPr>
          <w:sz w:val="20"/>
          <w:szCs w:val="20"/>
          <w:color w:val="auto"/>
        </w:rPr>
      </w:pPr>
    </w:p>
    <w:p>
      <w:pPr>
        <w:ind w:left="980" w:hanging="29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299"/>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373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2007</w:t>
      </w: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62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62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amp;"/>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decimal"/>
      <w:start w:val="32"/>
    </w:lvl>
  </w:abstractNum>
  <w:abstractNum w:abstractNumId="5">
    <w:nsid w:val="7545E14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7">
    <w:nsid w:val="5BD062C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2019-12-11T19:30:00Z</dcterms:created>
  <dcterms:modified xsi:type="dcterms:W3CDTF">2019-12-11T19:30:00Z</dcterms:modified>
</cp:coreProperties>
</file>