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79"/>
        <w:spacing w:after="0"/>
        <w:rPr>
          <w:sz w:val="20"/>
          <w:szCs w:val="20"/>
          <w:color w:val="auto"/>
        </w:rPr>
      </w:pPr>
      <w:r>
        <w:rPr>
          <w:rFonts w:ascii="Courier New" w:cs="Courier New" w:eastAsia="Courier New" w:hAnsi="Courier New"/>
          <w:sz w:val="15"/>
          <w:szCs w:val="15"/>
          <w:color w:val="auto"/>
        </w:rPr>
        <w:t>FORM 11-K</w:t>
      </w:r>
    </w:p>
    <w:p>
      <w:pPr>
        <w:spacing w:after="0" w:line="166"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FOR ANNUAL REPORTS OF EMPLOYEE STOCK PURCHASE, SAVINGS</w:t>
      </w:r>
    </w:p>
    <w:p>
      <w:pPr>
        <w:ind w:left="1500"/>
        <w:spacing w:after="0" w:line="237" w:lineRule="auto"/>
        <w:rPr>
          <w:sz w:val="20"/>
          <w:szCs w:val="20"/>
          <w:color w:val="auto"/>
        </w:rPr>
      </w:pPr>
      <w:r>
        <w:rPr>
          <w:rFonts w:ascii="Courier New" w:cs="Courier New" w:eastAsia="Courier New" w:hAnsi="Courier New"/>
          <w:sz w:val="15"/>
          <w:szCs w:val="15"/>
          <w:color w:val="auto"/>
        </w:rPr>
        <w:t>AND SIMILAR PLANS PURSUANT TO SECTION 15(d) OF THE</w:t>
      </w:r>
    </w:p>
    <w:p>
      <w:pPr>
        <w:ind w:left="2380"/>
        <w:spacing w:after="0" w:line="238"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right="3399" w:firstLine="10"/>
        <w:spacing w:after="0" w:line="234" w:lineRule="auto"/>
        <w:tabs>
          <w:tab w:leader="none" w:pos="17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ANNUAL REPORT PURSUANT TO SECTION 15(d) OF THE SECURITIES EXCHANGE ACT OF 1934</w:t>
      </w:r>
    </w:p>
    <w:p>
      <w:pPr>
        <w:spacing w:after="0"/>
        <w:tabs>
          <w:tab w:leader="none" w:pos="2960" w:val="left"/>
        </w:tabs>
        <w:rPr>
          <w:sz w:val="20"/>
          <w:szCs w:val="20"/>
          <w:color w:val="auto"/>
        </w:rPr>
      </w:pPr>
      <w:r>
        <w:rPr>
          <w:rFonts w:ascii="Courier New" w:cs="Courier New" w:eastAsia="Courier New" w:hAnsi="Courier New"/>
          <w:sz w:val="15"/>
          <w:szCs w:val="15"/>
          <w:color w:val="auto"/>
        </w:rPr>
        <w:t>For the fiscal year ended</w:t>
      </w:r>
      <w:r>
        <w:rPr>
          <w:sz w:val="20"/>
          <w:szCs w:val="20"/>
          <w:color w:val="auto"/>
        </w:rPr>
        <w:tab/>
      </w:r>
      <w:r>
        <w:rPr>
          <w:rFonts w:ascii="Courier New" w:cs="Courier New" w:eastAsia="Courier New" w:hAnsi="Courier New"/>
          <w:sz w:val="14"/>
          <w:szCs w:val="14"/>
          <w:color w:val="auto"/>
        </w:rPr>
        <w:t>December 31, 1996</w:t>
      </w:r>
    </w:p>
    <w:p>
      <w:pPr>
        <w:ind w:left="2200"/>
        <w:spacing w:after="0" w:line="238"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right="3759" w:firstLine="10"/>
        <w:spacing w:after="0" w:line="234"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15(d) OF THE SECURITIES EXCHANGE ACT OF 1934</w:t>
      </w:r>
    </w:p>
    <w:p>
      <w:pPr>
        <w:spacing w:after="0" w:line="237" w:lineRule="auto"/>
        <w:tabs>
          <w:tab w:leader="none" w:pos="3840"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ectPr>
          <w:pgSz w:w="11900" w:h="16838" w:orient="portrait"/>
          <w:cols w:equalWidth="0" w:num="1">
            <w:col w:w="10239"/>
          </w:cols>
          <w:pgMar w:left="220" w:top="561" w:right="1440" w:bottom="1440" w:gutter="0" w:footer="0" w:header="0"/>
        </w:sectPr>
      </w:pPr>
    </w:p>
    <w:p>
      <w:pPr>
        <w:spacing w:after="0" w:line="5" w:lineRule="exact"/>
        <w:rPr>
          <w:sz w:val="24"/>
          <w:szCs w:val="24"/>
          <w:color w:val="auto"/>
        </w:rPr>
      </w:pPr>
    </w:p>
    <w:p>
      <w:pPr>
        <w:ind w:left="2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sectPr>
          <w:pgSz w:w="11900" w:h="16838" w:orient="portrait"/>
          <w:cols w:equalWidth="0" w:num="2">
            <w:col w:w="3860" w:space="260"/>
            <w:col w:w="6119"/>
          </w:cols>
          <w:pgMar w:left="220" w:top="561"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ind w:left="600"/>
        <w:spacing w:after="0"/>
        <w:rPr>
          <w:sz w:val="20"/>
          <w:szCs w:val="20"/>
          <w:color w:val="auto"/>
        </w:rPr>
      </w:pPr>
      <w:r>
        <w:rPr>
          <w:rFonts w:ascii="Courier New" w:cs="Courier New" w:eastAsia="Courier New" w:hAnsi="Courier New"/>
          <w:sz w:val="15"/>
          <w:szCs w:val="15"/>
          <w:color w:val="auto"/>
        </w:rPr>
        <w:t>1-8649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1940" w:space="0"/>
            <w:col w:w="8299"/>
          </w:cols>
          <w:pgMar w:left="220" w:top="561" w:right="1440" w:bottom="1440" w:gutter="0" w:footer="0" w:header="0"/>
          <w:type w:val="continuous"/>
        </w:sectPr>
      </w:pPr>
    </w:p>
    <w:p>
      <w:pPr>
        <w:ind w:left="360" w:right="5679"/>
        <w:spacing w:after="0" w:line="234" w:lineRule="auto"/>
        <w:tabs>
          <w:tab w:leader="none" w:pos="7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 Investment and Savings Plan B The Toro Company</w:t>
      </w:r>
    </w:p>
    <w:p>
      <w:pPr>
        <w:spacing w:after="0" w:line="5" w:lineRule="exact"/>
        <w:rPr>
          <w:rFonts w:ascii="Courier New" w:cs="Courier New" w:eastAsia="Courier New" w:hAnsi="Courier New"/>
          <w:sz w:val="15"/>
          <w:szCs w:val="15"/>
          <w:color w:val="auto"/>
        </w:rPr>
      </w:pPr>
    </w:p>
    <w:p>
      <w:pPr>
        <w:ind w:left="700" w:right="73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8111 Lyndale Avenue South Minneapolis, MN 55420</w:t>
      </w:r>
    </w:p>
    <w:p>
      <w:pPr>
        <w:spacing w:after="0" w:line="153"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REQUIRED INFORMATION</w:t>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following financial statements shall be furnished for the plan:</w:t>
      </w:r>
    </w:p>
    <w:p>
      <w:pPr>
        <w:spacing w:after="0" w:line="5" w:lineRule="exact"/>
        <w:rPr>
          <w:sz w:val="24"/>
          <w:szCs w:val="24"/>
          <w:color w:val="auto"/>
        </w:rPr>
      </w:pPr>
    </w:p>
    <w:p>
      <w:pPr>
        <w:ind w:right="3319" w:firstLine="97"/>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audited statement of financial condition as of the end of the latest two fiscal years of the plan (or such lesser period as the plan has been in existence).</w:t>
      </w:r>
    </w:p>
    <w:p>
      <w:pPr>
        <w:spacing w:after="0" w:line="5" w:lineRule="exact"/>
        <w:rPr>
          <w:rFonts w:ascii="Courier New" w:cs="Courier New" w:eastAsia="Courier New" w:hAnsi="Courier New"/>
          <w:sz w:val="15"/>
          <w:szCs w:val="15"/>
          <w:color w:val="auto"/>
        </w:rPr>
      </w:pPr>
    </w:p>
    <w:p>
      <w:pPr>
        <w:ind w:right="3499" w:firstLine="97"/>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audited statement of income and changes in plan equity for each of the latest three fiscal years of the plan (or such lesser period as the plan has been in existence).</w:t>
      </w:r>
    </w:p>
    <w:p>
      <w:pPr>
        <w:spacing w:after="0" w:line="5" w:lineRule="exact"/>
        <w:rPr>
          <w:rFonts w:ascii="Courier New" w:cs="Courier New" w:eastAsia="Courier New" w:hAnsi="Courier New"/>
          <w:sz w:val="15"/>
          <w:szCs w:val="15"/>
          <w:color w:val="auto"/>
        </w:rPr>
      </w:pPr>
    </w:p>
    <w:p>
      <w:pPr>
        <w:ind w:right="3579" w:firstLine="97"/>
        <w:spacing w:after="0" w:line="235"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required by Items 1 and 2 shall be prepared in accordance with the applicable provisions of Article 6A of Regulation S-X (17 CFR 210.6A-01-.6A-05).</w:t>
      </w:r>
    </w:p>
    <w:p>
      <w:pPr>
        <w:spacing w:after="0" w:line="5" w:lineRule="exact"/>
        <w:rPr>
          <w:rFonts w:ascii="Courier New" w:cs="Courier New" w:eastAsia="Courier New" w:hAnsi="Courier New"/>
          <w:sz w:val="15"/>
          <w:szCs w:val="15"/>
          <w:color w:val="auto"/>
        </w:rPr>
      </w:pPr>
    </w:p>
    <w:p>
      <w:pPr>
        <w:ind w:right="3239" w:firstLine="97"/>
        <w:spacing w:after="0" w:line="236" w:lineRule="auto"/>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exemption" contained in Section 103(a)(3)(C) of ERISA shall not be available.</w:t>
      </w:r>
    </w:p>
    <w:p>
      <w:pPr>
        <w:spacing w:after="0" w:line="200" w:lineRule="exact"/>
        <w:rPr>
          <w:sz w:val="24"/>
          <w:szCs w:val="24"/>
          <w:color w:val="auto"/>
        </w:rPr>
      </w:pPr>
    </w:p>
    <w:p>
      <w:pPr>
        <w:spacing w:after="0" w:line="311" w:lineRule="exact"/>
        <w:rPr>
          <w:sz w:val="24"/>
          <w:szCs w:val="24"/>
          <w:color w:val="auto"/>
        </w:rPr>
      </w:pPr>
    </w:p>
    <w:p>
      <w:pPr>
        <w:ind w:right="3239" w:firstLine="87"/>
        <w:spacing w:after="0" w:line="236" w:lineRule="auto"/>
        <w:rPr>
          <w:sz w:val="20"/>
          <w:szCs w:val="20"/>
          <w:color w:val="auto"/>
        </w:rPr>
      </w:pPr>
      <w:r>
        <w:rPr>
          <w:rFonts w:ascii="Courier New" w:cs="Courier New" w:eastAsia="Courier New" w:hAnsi="Courier New"/>
          <w:sz w:val="15"/>
          <w:szCs w:val="15"/>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335"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4"/>
          <w:szCs w:val="24"/>
          <w:color w:val="auto"/>
        </w:rPr>
      </w:pPr>
    </w:p>
    <w:p>
      <w:pPr>
        <w:ind w:right="3399" w:firstLine="87"/>
        <w:spacing w:after="0" w:line="235" w:lineRule="auto"/>
        <w:rPr>
          <w:sz w:val="20"/>
          <w:szCs w:val="20"/>
          <w:color w:val="auto"/>
        </w:rPr>
      </w:pPr>
      <w:r>
        <w:rPr>
          <w:rFonts w:ascii="Courier New" w:cs="Courier New" w:eastAsia="Courier New" w:hAnsi="Courier New"/>
          <w:sz w:val="15"/>
          <w:szCs w:val="15"/>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9"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Toro Company Savings and Investment Plan</w:t>
      </w:r>
    </w:p>
    <w:p>
      <w:pPr>
        <w:jc w:val="center"/>
        <w:ind w:right="3399"/>
        <w:spacing w:after="0" w:line="237" w:lineRule="auto"/>
        <w:rPr>
          <w:sz w:val="20"/>
          <w:szCs w:val="20"/>
          <w:color w:val="auto"/>
        </w:rPr>
      </w:pPr>
      <w:r>
        <w:rPr>
          <w:rFonts w:ascii="Courier New" w:cs="Courier New" w:eastAsia="Courier New" w:hAnsi="Courier New"/>
          <w:sz w:val="15"/>
          <w:szCs w:val="15"/>
          <w:color w:val="auto"/>
        </w:rPr>
        <w:t>(Name of Plan)</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June 30, 1997</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 Stephen P. Wolfe</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4"/>
          <w:szCs w:val="24"/>
          <w:color w:val="auto"/>
        </w:rPr>
      </w:pPr>
    </w:p>
    <w:p>
      <w:pPr>
        <w:sectPr>
          <w:pgSz w:w="11900" w:h="16838" w:orient="portrait"/>
          <w:cols w:equalWidth="0" w:num="3">
            <w:col w:w="360" w:space="80"/>
            <w:col w:w="1820" w:space="720"/>
            <w:col w:w="7259"/>
          </w:cols>
          <w:pgMar w:left="220" w:top="561" w:right="1440" w:bottom="1440" w:gutter="0" w:footer="0" w:header="0"/>
          <w:type w:val="continuous"/>
        </w:sectPr>
      </w:pPr>
    </w:p>
    <w:p>
      <w:pPr>
        <w:ind w:left="2980"/>
        <w:spacing w:after="0"/>
        <w:rPr>
          <w:sz w:val="20"/>
          <w:szCs w:val="20"/>
          <w:color w:val="auto"/>
        </w:rPr>
      </w:pPr>
      <w:r>
        <w:rPr>
          <w:rFonts w:ascii="Courier New" w:cs="Courier New" w:eastAsia="Courier New" w:hAnsi="Courier New"/>
          <w:sz w:val="15"/>
          <w:szCs w:val="15"/>
          <w:color w:val="auto"/>
        </w:rPr>
        <w:t>Stephen P. Wolfe</w:t>
      </w:r>
    </w:p>
    <w:p>
      <w:pPr>
        <w:spacing w:after="0" w:line="5" w:lineRule="exact"/>
        <w:rPr>
          <w:sz w:val="24"/>
          <w:szCs w:val="24"/>
          <w:color w:val="auto"/>
        </w:rPr>
      </w:pPr>
    </w:p>
    <w:p>
      <w:pPr>
        <w:ind w:left="2980"/>
        <w:spacing w:after="0"/>
        <w:rPr>
          <w:sz w:val="20"/>
          <w:szCs w:val="20"/>
          <w:color w:val="auto"/>
        </w:rPr>
      </w:pPr>
      <w:r>
        <w:rPr>
          <w:rFonts w:ascii="Courier New" w:cs="Courier New" w:eastAsia="Courier New" w:hAnsi="Courier New"/>
          <w:sz w:val="14"/>
          <w:szCs w:val="14"/>
          <w:color w:val="auto"/>
        </w:rPr>
        <w:t>Vice President - Finance</w:t>
      </w:r>
    </w:p>
    <w:p>
      <w:pPr>
        <w:spacing w:after="0" w:line="3"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Chief Financial Officer</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1860"/>
        <w:spacing w:after="0"/>
        <w:rPr>
          <w:sz w:val="20"/>
          <w:szCs w:val="20"/>
          <w:color w:val="auto"/>
        </w:rPr>
      </w:pPr>
      <w:r>
        <w:rPr>
          <w:rFonts w:ascii="Courier New" w:cs="Courier New" w:eastAsia="Courier New" w:hAnsi="Courier New"/>
          <w:sz w:val="15"/>
          <w:szCs w:val="15"/>
          <w:color w:val="auto"/>
        </w:rPr>
        <w:t>THE TORO COMPANY</w:t>
      </w:r>
    </w:p>
    <w:p>
      <w:pPr>
        <w:ind w:left="132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Financial Statements and Schedule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Year ended December 31, 1996 and the</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five-month period ended December 31, 1995</w:t>
      </w:r>
    </w:p>
    <w:p>
      <w:pPr>
        <w:sectPr>
          <w:pgSz w:w="11900" w:h="16838" w:orient="portrait"/>
          <w:cols w:equalWidth="0" w:num="1">
            <w:col w:w="9019"/>
          </w:cols>
          <w:pgMar w:left="1440" w:top="617" w:right="1440" w:bottom="1440" w:gutter="0" w:footer="0" w:header="0"/>
        </w:sectPr>
      </w:pPr>
    </w:p>
    <w:bookmarkStart w:id="2" w:name="page3"/>
    <w:bookmarkEnd w:id="2"/>
    <w:p>
      <w:pPr>
        <w:ind w:left="2540"/>
        <w:spacing w:after="0"/>
        <w:rPr>
          <w:sz w:val="20"/>
          <w:szCs w:val="20"/>
          <w:color w:val="auto"/>
        </w:rPr>
      </w:pPr>
      <w:r>
        <w:rPr>
          <w:rFonts w:ascii="Courier New" w:cs="Courier New" w:eastAsia="Courier New" w:hAnsi="Courier New"/>
          <w:sz w:val="15"/>
          <w:szCs w:val="15"/>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Plan Administrator</w:t>
      </w:r>
    </w:p>
    <w:p>
      <w:pPr>
        <w:spacing w:after="0" w:line="237" w:lineRule="auto"/>
        <w:rPr>
          <w:sz w:val="20"/>
          <w:szCs w:val="20"/>
          <w:color w:val="auto"/>
        </w:rPr>
      </w:pPr>
      <w:r>
        <w:rPr>
          <w:rFonts w:ascii="Courier New" w:cs="Courier New" w:eastAsia="Courier New" w:hAnsi="Courier New"/>
          <w:sz w:val="15"/>
          <w:szCs w:val="15"/>
          <w:color w:val="auto"/>
        </w:rPr>
        <w:t>The Toro Company Investment and Savings Plan:</w:t>
      </w:r>
    </w:p>
    <w:p>
      <w:pPr>
        <w:spacing w:after="0" w:line="200" w:lineRule="exact"/>
        <w:rPr>
          <w:sz w:val="20"/>
          <w:szCs w:val="20"/>
          <w:color w:val="auto"/>
        </w:rPr>
      </w:pPr>
    </w:p>
    <w:p>
      <w:pPr>
        <w:spacing w:after="0" w:line="31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statements of net assets available for plan benefits of The Toro Company Investment and Savings Plan (the Plan) as of December 31, 1996 and 1995, and the related statements of changes in net assets available for plan benefits for the year ended December 31, 1996 and the five-month period ended December 31, 1995. These financial statements are the responsibility of the Plan's management. Our responsibility is to express an opinion on these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plan benefits as of December 31, 1996 and 1995 and the changes in net assets available for plan benefits for the year ended December 31, 1996 and the five-month period ended December 31, 1995 in conformity with generally accepted accounting principles.</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fund information in the statement of net assets available for plan benefits and the statement of changes in net assets available for plan benefits is presented for purposes of additional analysis rather than to present the net assets available for plan benefits and changes in net assets available for plan benefits of each fund. The supplemental schedule and fund information have been subjected to the auditing procedures applied in the audits of the basic financial statements and, in our opinion, are fairly stated in all material respects in relation to the basic financial statements taken as a whole.</w:t>
      </w:r>
    </w:p>
    <w:p>
      <w:pPr>
        <w:sectPr>
          <w:pgSz w:w="11900" w:h="16838" w:orient="portrait"/>
          <w:cols w:equalWidth="0" w:num="1">
            <w:col w:w="10239"/>
          </w:cols>
          <w:pgMar w:left="220" w:top="617" w:right="1440" w:bottom="1440" w:gutter="0" w:footer="0" w:header="0"/>
        </w:sectPr>
      </w:pPr>
    </w:p>
    <w:bookmarkStart w:id="3" w:name="page4"/>
    <w:bookmarkEnd w:id="3"/>
    <w:p>
      <w:pPr>
        <w:ind w:left="36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Plan has not presented the schedule of reportable transactions (transactions in excess of 5% of the current value of plan assets at the beginning year). Disclosure of this information is required by the Department of Labor's Rules and Regulations for Reporting and Disclosure under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24, 1997</w:t>
      </w:r>
    </w:p>
    <w:p>
      <w:pPr>
        <w:sectPr>
          <w:pgSz w:w="11900" w:h="16838" w:orient="portrait"/>
          <w:cols w:equalWidth="0" w:num="1">
            <w:col w:w="10239"/>
          </w:cols>
          <w:pgMar w:left="220" w:top="785" w:right="1440" w:bottom="1440" w:gutter="0" w:footer="0" w:header="0"/>
        </w:sectPr>
      </w:pPr>
    </w:p>
    <w:bookmarkStart w:id="4" w:name="page5"/>
    <w:bookmarkEnd w:id="4"/>
    <w:p>
      <w:pPr>
        <w:ind w:left="272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Statement of Net Assets Available for Plan Benefits</w:t>
      </w:r>
    </w:p>
    <w:p>
      <w:pPr>
        <w:spacing w:after="0" w:line="166" w:lineRule="exact"/>
        <w:rPr>
          <w:sz w:val="20"/>
          <w:szCs w:val="20"/>
          <w:color w:val="auto"/>
        </w:rPr>
      </w:pPr>
    </w:p>
    <w:tbl>
      <w:tblPr>
        <w:tblLayout w:type="fixed"/>
        <w:tblInd w:w="386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Putnam</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Putnam</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Putnam</w:t>
            </w:r>
          </w:p>
        </w:tc>
        <w:tc>
          <w:tcPr>
            <w:tcW w:w="92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Putnam</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Asset</w:t>
            </w:r>
          </w:p>
        </w:tc>
        <w:tc>
          <w:tcPr>
            <w:tcW w:w="13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Asset</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Asset</w:t>
            </w:r>
          </w:p>
        </w:tc>
        <w:tc>
          <w:tcPr>
            <w:tcW w:w="9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Allocation</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Allocation</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Allocation</w:t>
            </w:r>
          </w:p>
        </w:tc>
        <w:tc>
          <w:tcPr>
            <w:tcW w:w="9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Putnam</w:t>
            </w:r>
          </w:p>
        </w:tc>
      </w:tr>
      <w:tr>
        <w:trPr>
          <w:trHeight w:val="168"/>
        </w:trPr>
        <w:tc>
          <w:tcPr>
            <w:tcW w:w="158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Fund</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Fund</w:t>
            </w:r>
          </w:p>
        </w:tc>
        <w:tc>
          <w:tcPr>
            <w:tcW w:w="9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Overseas</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Toro Stable</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(Growth</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(Balanced</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(Conservative</w:t>
            </w:r>
          </w:p>
        </w:tc>
        <w:tc>
          <w:tcPr>
            <w:tcW w:w="9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Growth</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Fund</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Fund</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Portfolio)</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Portfolio)</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Portfolio)</w:t>
            </w:r>
          </w:p>
        </w:tc>
        <w:tc>
          <w:tcPr>
            <w:tcW w:w="9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9"/>
              </w:rPr>
              <w:t>Fund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Assets held by</w:t>
            </w:r>
          </w:p>
        </w:tc>
        <w:tc>
          <w:tcPr>
            <w:tcW w:w="3900" w:type="dxa"/>
            <w:vAlign w:val="bottom"/>
          </w:tcPr>
          <w:p>
            <w:pPr>
              <w:jc w:val="right"/>
              <w:ind w:right="3087"/>
              <w:spacing w:after="0"/>
              <w:rPr>
                <w:sz w:val="20"/>
                <w:szCs w:val="20"/>
                <w:color w:val="auto"/>
              </w:rPr>
            </w:pPr>
            <w:r>
              <w:rPr>
                <w:rFonts w:ascii="Courier New" w:cs="Courier New" w:eastAsia="Courier New" w:hAnsi="Courier New"/>
                <w:sz w:val="15"/>
                <w:szCs w:val="15"/>
                <w:color w:val="auto"/>
                <w:w w:val="99"/>
              </w:rPr>
              <w:t>trustee:</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Investments</w:t>
            </w:r>
          </w:p>
        </w:tc>
        <w:tc>
          <w:tcPr>
            <w:tcW w:w="3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$ 37,129,761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28,800,695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6,197,085</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8,420,008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4,235,289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4,268,244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$ 37,129,761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28,800,695</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6,197,085</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8,420,008</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4,235,289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4,268,244</w:t>
            </w:r>
          </w:p>
        </w:tc>
      </w:tr>
    </w:tbl>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The Toro</w:t>
      </w:r>
    </w:p>
    <w:p>
      <w:pPr>
        <w:ind w:left="4300"/>
        <w:spacing w:after="0" w:line="237" w:lineRule="auto"/>
        <w:tabs>
          <w:tab w:leader="none" w:pos="5500" w:val="left"/>
        </w:tabs>
        <w:rPr>
          <w:sz w:val="20"/>
          <w:szCs w:val="20"/>
          <w:color w:val="auto"/>
        </w:rPr>
      </w:pPr>
      <w:r>
        <w:rPr>
          <w:rFonts w:ascii="Courier New" w:cs="Courier New" w:eastAsia="Courier New" w:hAnsi="Courier New"/>
          <w:sz w:val="15"/>
          <w:szCs w:val="15"/>
          <w:color w:val="auto"/>
        </w:rPr>
        <w:t>Putnam</w:t>
      </w:r>
      <w:r>
        <w:rPr>
          <w:sz w:val="20"/>
          <w:szCs w:val="20"/>
          <w:color w:val="auto"/>
        </w:rPr>
        <w:tab/>
      </w:r>
      <w:r>
        <w:rPr>
          <w:rFonts w:ascii="Courier New" w:cs="Courier New" w:eastAsia="Courier New" w:hAnsi="Courier New"/>
          <w:sz w:val="15"/>
          <w:szCs w:val="15"/>
          <w:color w:val="auto"/>
        </w:rPr>
        <w:t>Company</w:t>
      </w:r>
    </w:p>
    <w:p>
      <w:pPr>
        <w:ind w:left="4300"/>
        <w:spacing w:after="0" w:line="238" w:lineRule="auto"/>
        <w:tabs>
          <w:tab w:leader="none" w:pos="5500" w:val="left"/>
        </w:tabs>
        <w:rPr>
          <w:sz w:val="20"/>
          <w:szCs w:val="20"/>
          <w:color w:val="auto"/>
        </w:rPr>
      </w:pPr>
      <w:r>
        <w:rPr>
          <w:rFonts w:ascii="Courier New" w:cs="Courier New" w:eastAsia="Courier New" w:hAnsi="Courier New"/>
          <w:sz w:val="15"/>
          <w:szCs w:val="15"/>
          <w:color w:val="auto"/>
        </w:rPr>
        <w:t>Voyager</w:t>
      </w:r>
      <w:r>
        <w:rPr>
          <w:sz w:val="20"/>
          <w:szCs w:val="20"/>
          <w:color w:val="auto"/>
        </w:rPr>
        <w:tab/>
      </w:r>
      <w:r>
        <w:rPr>
          <w:rFonts w:ascii="Courier New" w:cs="Courier New" w:eastAsia="Courier New" w:hAnsi="Courier New"/>
          <w:sz w:val="15"/>
          <w:szCs w:val="15"/>
          <w:color w:val="auto"/>
        </w:rPr>
        <w:t>Common</w:t>
      </w:r>
    </w:p>
    <w:p>
      <w:pPr>
        <w:ind w:left="4380"/>
        <w:spacing w:after="0"/>
        <w:tabs>
          <w:tab w:leader="none" w:pos="5580" w:val="left"/>
          <w:tab w:leader="none" w:pos="6820" w:val="left"/>
        </w:tabs>
        <w:rPr>
          <w:sz w:val="20"/>
          <w:szCs w:val="20"/>
          <w:color w:val="auto"/>
        </w:rPr>
      </w:pPr>
      <w:r>
        <w:rPr>
          <w:rFonts w:ascii="Courier New" w:cs="Courier New" w:eastAsia="Courier New" w:hAnsi="Courier New"/>
          <w:sz w:val="15"/>
          <w:szCs w:val="15"/>
          <w:color w:val="auto"/>
        </w:rPr>
        <w:t>Fund</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Total</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w w:val="96"/>
              </w:rPr>
              <w:t>Assets held by</w:t>
            </w:r>
          </w:p>
        </w:tc>
        <w:tc>
          <w:tcPr>
            <w:tcW w:w="3900" w:type="dxa"/>
            <w:vAlign w:val="bottom"/>
          </w:tcPr>
          <w:p>
            <w:pPr>
              <w:jc w:val="right"/>
              <w:ind w:right="3087"/>
              <w:spacing w:after="0"/>
              <w:rPr>
                <w:sz w:val="20"/>
                <w:szCs w:val="20"/>
                <w:color w:val="auto"/>
              </w:rPr>
            </w:pPr>
            <w:r>
              <w:rPr>
                <w:rFonts w:ascii="Courier New" w:cs="Courier New" w:eastAsia="Courier New" w:hAnsi="Courier New"/>
                <w:sz w:val="15"/>
                <w:szCs w:val="15"/>
                <w:color w:val="auto"/>
                <w:w w:val="99"/>
              </w:rPr>
              <w:t>trustee:</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Investments</w:t>
            </w:r>
          </w:p>
        </w:tc>
        <w:tc>
          <w:tcPr>
            <w:tcW w:w="39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27,832,278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17,485,950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134,369,310</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280" w:type="dxa"/>
        <w:tblCellMar>
          <w:top w:w="0" w:type="dxa"/>
          <w:left w:w="0" w:type="dxa"/>
          <w:bottom w:w="0" w:type="dxa"/>
          <w:right w:w="0" w:type="dxa"/>
        </w:tblCellMar>
      </w:tblPr>
      <w:tr>
        <w:trPr>
          <w:trHeight w:val="169"/>
        </w:trPr>
        <w:tc>
          <w:tcPr>
            <w:tcW w:w="35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assets available for plan benefits</w:t>
            </w:r>
          </w:p>
        </w:tc>
        <w:tc>
          <w:tcPr>
            <w:tcW w:w="13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27,832,278</w:t>
            </w:r>
          </w:p>
        </w:tc>
        <w:tc>
          <w:tcPr>
            <w:tcW w:w="12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17,485,950</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134,369,310</w:t>
            </w:r>
          </w:p>
        </w:tc>
      </w:tr>
    </w:tbl>
    <w:p>
      <w:pPr>
        <w:ind w:left="180" w:hanging="170"/>
        <w:spacing w:after="0" w:line="237"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1460"/>
          </w:cols>
          <w:pgMar w:left="220" w:top="953" w:right="219" w:bottom="1440" w:gutter="0" w:footer="0" w:header="0"/>
        </w:sectPr>
      </w:pPr>
    </w:p>
    <w:bookmarkStart w:id="5" w:name="page6"/>
    <w:bookmarkEnd w:id="5"/>
    <w:p>
      <w:pPr>
        <w:ind w:left="272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Statement of Net Assets Available for Plan Benefits</w:t>
      </w:r>
    </w:p>
    <w:p>
      <w:pPr>
        <w:spacing w:after="0" w:line="166" w:lineRule="exact"/>
        <w:rPr>
          <w:sz w:val="20"/>
          <w:szCs w:val="20"/>
          <w:color w:val="auto"/>
        </w:rPr>
      </w:pPr>
    </w:p>
    <w:tbl>
      <w:tblPr>
        <w:tblLayout w:type="fixed"/>
        <w:tblInd w:w="386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Putnam</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Putnam</w:t>
            </w:r>
          </w:p>
        </w:tc>
        <w:tc>
          <w:tcPr>
            <w:tcW w:w="15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Putnam</w:t>
            </w:r>
          </w:p>
        </w:tc>
        <w:tc>
          <w:tcPr>
            <w:tcW w:w="92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Putnam</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Asset</w:t>
            </w:r>
          </w:p>
        </w:tc>
        <w:tc>
          <w:tcPr>
            <w:tcW w:w="130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Asset</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Asset</w:t>
            </w:r>
          </w:p>
        </w:tc>
        <w:tc>
          <w:tcPr>
            <w:tcW w:w="92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Growth</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Allocation</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Allocation</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Allocation</w:t>
            </w:r>
          </w:p>
        </w:tc>
        <w:tc>
          <w:tcPr>
            <w:tcW w:w="9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Putnam</w:t>
            </w:r>
          </w:p>
        </w:tc>
      </w:tr>
      <w:tr>
        <w:trPr>
          <w:trHeight w:val="168"/>
        </w:trPr>
        <w:tc>
          <w:tcPr>
            <w:tcW w:w="1580" w:type="dxa"/>
            <w:vAlign w:val="bottom"/>
          </w:tcPr>
          <w:p>
            <w:pPr>
              <w:spacing w:after="0"/>
              <w:rPr>
                <w:sz w:val="14"/>
                <w:szCs w:val="14"/>
                <w:color w:val="auto"/>
              </w:rPr>
            </w:pP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and</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Fund</w:t>
            </w: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Fund</w:t>
            </w:r>
          </w:p>
        </w:tc>
        <w:tc>
          <w:tcPr>
            <w:tcW w:w="92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7"/>
              </w:rPr>
              <w:t>Overseas</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Toro Stable</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Income</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(Growth</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(Balanced</w:t>
            </w:r>
          </w:p>
        </w:tc>
        <w:tc>
          <w:tcPr>
            <w:tcW w:w="1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(Conservative</w:t>
            </w:r>
          </w:p>
        </w:tc>
        <w:tc>
          <w:tcPr>
            <w:tcW w:w="9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Growth</w:t>
            </w: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Value Fund</w:t>
            </w: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Fund</w:t>
            </w: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Portfolio)</w:t>
            </w:r>
          </w:p>
        </w:tc>
        <w:tc>
          <w:tcPr>
            <w:tcW w:w="13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Portfolio)</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Portfolio)</w:t>
            </w:r>
          </w:p>
        </w:tc>
        <w:tc>
          <w:tcPr>
            <w:tcW w:w="92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9"/>
              </w:rPr>
              <w:t>Fund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Assets held by trustee:</w:t>
            </w: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$ 39,398,061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20,781,618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4,404,954</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6,534,932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3,165,037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2,781,412</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 receivable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 receivable</w:t>
            </w:r>
          </w:p>
        </w:tc>
        <w:tc>
          <w:tcPr>
            <w:tcW w:w="16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assets available for plan benefits</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$ 39,398,061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20,781,618</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4,404,954</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6,534,932</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3,165,037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2,781,412</w:t>
            </w:r>
          </w:p>
        </w:tc>
      </w:tr>
    </w:tbl>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The Toro</w:t>
      </w:r>
    </w:p>
    <w:p>
      <w:pPr>
        <w:ind w:left="4300"/>
        <w:spacing w:after="0" w:line="237" w:lineRule="auto"/>
        <w:tabs>
          <w:tab w:leader="none" w:pos="5500" w:val="left"/>
        </w:tabs>
        <w:rPr>
          <w:sz w:val="20"/>
          <w:szCs w:val="20"/>
          <w:color w:val="auto"/>
        </w:rPr>
      </w:pPr>
      <w:r>
        <w:rPr>
          <w:rFonts w:ascii="Courier New" w:cs="Courier New" w:eastAsia="Courier New" w:hAnsi="Courier New"/>
          <w:sz w:val="15"/>
          <w:szCs w:val="15"/>
          <w:color w:val="auto"/>
        </w:rPr>
        <w:t>Putnam</w:t>
      </w:r>
      <w:r>
        <w:rPr>
          <w:sz w:val="20"/>
          <w:szCs w:val="20"/>
          <w:color w:val="auto"/>
        </w:rPr>
        <w:tab/>
      </w:r>
      <w:r>
        <w:rPr>
          <w:rFonts w:ascii="Courier New" w:cs="Courier New" w:eastAsia="Courier New" w:hAnsi="Courier New"/>
          <w:sz w:val="15"/>
          <w:szCs w:val="15"/>
          <w:color w:val="auto"/>
        </w:rPr>
        <w:t>Company</w:t>
      </w:r>
    </w:p>
    <w:p>
      <w:pPr>
        <w:ind w:left="4300"/>
        <w:spacing w:after="0"/>
        <w:tabs>
          <w:tab w:leader="none" w:pos="5500" w:val="left"/>
          <w:tab w:leader="none" w:pos="6540" w:val="left"/>
        </w:tabs>
        <w:rPr>
          <w:sz w:val="20"/>
          <w:szCs w:val="20"/>
          <w:color w:val="auto"/>
        </w:rPr>
      </w:pPr>
      <w:r>
        <w:rPr>
          <w:rFonts w:ascii="Courier New" w:cs="Courier New" w:eastAsia="Courier New" w:hAnsi="Courier New"/>
          <w:sz w:val="15"/>
          <w:szCs w:val="15"/>
          <w:color w:val="auto"/>
        </w:rPr>
        <w:t>Voyager</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4"/>
          <w:szCs w:val="14"/>
          <w:color w:val="auto"/>
        </w:rPr>
        <w:t>Unallocated</w:t>
      </w:r>
    </w:p>
    <w:p>
      <w:pPr>
        <w:ind w:left="4380"/>
        <w:spacing w:after="0"/>
        <w:tabs>
          <w:tab w:leader="none" w:pos="5580" w:val="left"/>
          <w:tab w:leader="none" w:pos="6540" w:val="left"/>
          <w:tab w:leader="none" w:pos="8220" w:val="left"/>
        </w:tabs>
        <w:rPr>
          <w:sz w:val="20"/>
          <w:szCs w:val="20"/>
          <w:color w:val="auto"/>
        </w:rPr>
      </w:pPr>
      <w:r>
        <w:rPr>
          <w:rFonts w:ascii="Courier New" w:cs="Courier New" w:eastAsia="Courier New" w:hAnsi="Courier New"/>
          <w:sz w:val="15"/>
          <w:szCs w:val="15"/>
          <w:color w:val="auto"/>
        </w:rPr>
        <w:t>Fund</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Assets held by trustee:</w:t>
            </w: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21,055,823</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16,019,914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114,141,751</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 receivable</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13,582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13,582</w:t>
            </w:r>
          </w:p>
        </w:tc>
      </w:tr>
      <w:tr>
        <w:trPr>
          <w:trHeight w:val="168"/>
        </w:trPr>
        <w:tc>
          <w:tcPr>
            <w:tcW w:w="36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Employer contribution receivable</w:t>
            </w: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43,150</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280" w:type="dxa"/>
        <w:tblCellMar>
          <w:top w:w="0" w:type="dxa"/>
          <w:left w:w="0" w:type="dxa"/>
          <w:bottom w:w="0" w:type="dxa"/>
          <w:right w:w="0" w:type="dxa"/>
        </w:tblCellMar>
      </w:tblPr>
      <w:tr>
        <w:trPr>
          <w:trHeight w:val="169"/>
        </w:trPr>
        <w:tc>
          <w:tcPr>
            <w:tcW w:w="3580" w:type="dxa"/>
            <w:vAlign w:val="bottom"/>
          </w:tcPr>
          <w:p>
            <w:pPr>
              <w:spacing w:after="0" w:line="169" w:lineRule="exact"/>
              <w:rPr>
                <w:sz w:val="20"/>
                <w:szCs w:val="20"/>
                <w:color w:val="auto"/>
              </w:rPr>
            </w:pPr>
            <w:r>
              <w:rPr>
                <w:rFonts w:ascii="Courier New" w:cs="Courier New" w:eastAsia="Courier New" w:hAnsi="Courier New"/>
                <w:sz w:val="15"/>
                <w:szCs w:val="15"/>
                <w:color w:val="auto"/>
              </w:rPr>
              <w:t>Net assets available for plan benefits</w:t>
            </w:r>
          </w:p>
        </w:tc>
        <w:tc>
          <w:tcPr>
            <w:tcW w:w="13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21,055,823</w:t>
            </w:r>
          </w:p>
        </w:tc>
        <w:tc>
          <w:tcPr>
            <w:tcW w:w="1440" w:type="dxa"/>
            <w:vAlign w:val="bottom"/>
          </w:tcPr>
          <w:p>
            <w:pPr>
              <w:jc w:val="right"/>
              <w:ind w:right="327"/>
              <w:spacing w:after="0" w:line="169" w:lineRule="exact"/>
              <w:rPr>
                <w:sz w:val="20"/>
                <w:szCs w:val="20"/>
                <w:color w:val="auto"/>
              </w:rPr>
            </w:pPr>
            <w:r>
              <w:rPr>
                <w:rFonts w:ascii="Courier New" w:cs="Courier New" w:eastAsia="Courier New" w:hAnsi="Courier New"/>
                <w:sz w:val="15"/>
                <w:szCs w:val="15"/>
                <w:color w:val="auto"/>
              </w:rPr>
              <w:t>16,019,914</w:t>
            </w:r>
          </w:p>
        </w:tc>
        <w:tc>
          <w:tcPr>
            <w:tcW w:w="1080" w:type="dxa"/>
            <w:vAlign w:val="bottom"/>
          </w:tcPr>
          <w:p>
            <w:pPr>
              <w:jc w:val="right"/>
              <w:ind w:right="87"/>
              <w:spacing w:after="0" w:line="169" w:lineRule="exact"/>
              <w:rPr>
                <w:sz w:val="20"/>
                <w:szCs w:val="20"/>
                <w:color w:val="auto"/>
              </w:rPr>
            </w:pPr>
            <w:r>
              <w:rPr>
                <w:rFonts w:ascii="Courier New" w:cs="Courier New" w:eastAsia="Courier New" w:hAnsi="Courier New"/>
                <w:sz w:val="15"/>
                <w:szCs w:val="15"/>
                <w:color w:val="auto"/>
              </w:rPr>
              <w:t>56,732</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114,198,483</w:t>
            </w:r>
          </w:p>
        </w:tc>
      </w:tr>
    </w:tbl>
    <w:p>
      <w:pPr>
        <w:ind w:left="180" w:hanging="170"/>
        <w:spacing w:after="0" w:line="237" w:lineRule="auto"/>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460"/>
          </w:cols>
          <w:pgMar w:left="220" w:top="1122" w:right="219" w:bottom="1440" w:gutter="0" w:footer="0" w:header="0"/>
        </w:sectPr>
      </w:pPr>
    </w:p>
    <w:bookmarkStart w:id="6" w:name="page7"/>
    <w:bookmarkEnd w:id="6"/>
    <w:p>
      <w:pPr>
        <w:ind w:left="246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66"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Year ended December 31, 1996</w:t>
      </w:r>
    </w:p>
    <w:p>
      <w:pPr>
        <w:spacing w:after="0" w:line="200" w:lineRule="exact"/>
        <w:rPr>
          <w:sz w:val="20"/>
          <w:szCs w:val="20"/>
          <w:color w:val="auto"/>
        </w:rPr>
      </w:pPr>
    </w:p>
    <w:p>
      <w:pPr>
        <w:spacing w:after="0" w:line="303" w:lineRule="exact"/>
        <w:rPr>
          <w:sz w:val="20"/>
          <w:szCs w:val="20"/>
          <w:color w:val="auto"/>
        </w:rPr>
      </w:pPr>
    </w:p>
    <w:tbl>
      <w:tblPr>
        <w:tblLayout w:type="fixed"/>
        <w:tblInd w:w="482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Putnam</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Putnam</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Putnam</w:t>
            </w:r>
          </w:p>
        </w:tc>
        <w:tc>
          <w:tcPr>
            <w:tcW w:w="7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Putnam</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Asset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Asset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Asset</w:t>
            </w:r>
          </w:p>
        </w:tc>
        <w:tc>
          <w:tcPr>
            <w:tcW w:w="7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Growth</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Allocation</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Allocation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Allocation</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Putnam</w:t>
            </w:r>
          </w:p>
        </w:tc>
      </w:tr>
      <w:tr>
        <w:trPr>
          <w:trHeight w:val="168"/>
        </w:trPr>
        <w:tc>
          <w:tcPr>
            <w:tcW w:w="114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Fund</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Fund</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Overseas</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Toro Stable</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Income</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(Growth</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(Balanced</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(Conservative</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Growth</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Fund</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Portfolio)</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Portfolio)</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Portfolio)</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Fund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dividends, net of plan expenses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$ 1,301,562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2,413,654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327,202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604,156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265,079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57,647</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appreciation in the fair value of investments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994,110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2,549,264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588,030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604,983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137,106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484,682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ind w:left="280"/>
              <w:spacing w:after="0"/>
              <w:rPr>
                <w:sz w:val="20"/>
                <w:szCs w:val="20"/>
                <w:color w:val="auto"/>
              </w:rPr>
            </w:pPr>
            <w:r>
              <w:rPr>
                <w:rFonts w:ascii="Courier New" w:cs="Courier New" w:eastAsia="Courier New" w:hAnsi="Courier New"/>
                <w:sz w:val="15"/>
                <w:szCs w:val="15"/>
                <w:color w:val="auto"/>
              </w:rPr>
              <w:t>Net investment income</w:t>
            </w:r>
          </w:p>
        </w:tc>
        <w:tc>
          <w:tcPr>
            <w:tcW w:w="2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2,295,672</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4,962,918</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915,232</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1,209,139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402,185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542,329</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384,011</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725,942</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172,030</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201,917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51,918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119,329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2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645,683</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1,499,130</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424,444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429,955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113,006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317,597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Rollover contributions</w:t>
            </w:r>
          </w:p>
        </w:tc>
        <w:tc>
          <w:tcPr>
            <w:tcW w:w="2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31,931</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12,209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11,871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10,776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11,621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Total contributions</w:t>
            </w:r>
          </w:p>
        </w:tc>
        <w:tc>
          <w:tcPr>
            <w:tcW w:w="2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1,034,901</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2,257,003</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608,683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643,743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175,700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448,547</w:t>
            </w:r>
          </w:p>
        </w:tc>
      </w:tr>
      <w:tr>
        <w:trPr>
          <w:trHeight w:val="336"/>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Benefit payments</w:t>
            </w:r>
          </w:p>
        </w:tc>
        <w:tc>
          <w:tcPr>
            <w:tcW w:w="2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(2,801,479)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(824,506)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(62,915)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(195,030)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(65,457)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(58,254)</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funds</w:t>
            </w:r>
          </w:p>
        </w:tc>
        <w:tc>
          <w:tcPr>
            <w:tcW w:w="2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(2,826,759)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1,570,320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327,212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225,541</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556,141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541,765</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7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other plans</w:t>
            </w:r>
          </w:p>
        </w:tc>
        <w:tc>
          <w:tcPr>
            <w:tcW w:w="2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29,365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53,342</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3,919</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12,445</w:t>
            </w:r>
          </w:p>
        </w:tc>
      </w:tr>
    </w:tbl>
    <w:p>
      <w:pPr>
        <w:spacing w:after="0" w:line="5" w:lineRule="exact"/>
        <w:rPr>
          <w:sz w:val="20"/>
          <w:szCs w:val="20"/>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 net assets</w:t>
      </w:r>
    </w:p>
    <w:tbl>
      <w:tblPr>
        <w:tblLayout w:type="fixed"/>
        <w:tblInd w:w="0" w:type="dxa"/>
        <w:tblCellMar>
          <w:top w:w="0" w:type="dxa"/>
          <w:left w:w="0" w:type="dxa"/>
          <w:bottom w:w="0" w:type="dxa"/>
          <w:right w:w="0" w:type="dxa"/>
        </w:tblCellMar>
      </w:tblPr>
      <w:tr>
        <w:trPr>
          <w:trHeight w:val="169"/>
        </w:trPr>
        <w:tc>
          <w:tcPr>
            <w:tcW w:w="13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available</w:t>
            </w: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9"/>
              </w:rPr>
              <w:t>for plan</w:t>
            </w:r>
          </w:p>
        </w:tc>
        <w:tc>
          <w:tcPr>
            <w:tcW w:w="20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benefits</w:t>
            </w:r>
          </w:p>
        </w:tc>
        <w:tc>
          <w:tcPr>
            <w:tcW w:w="1800" w:type="dxa"/>
            <w:vAlign w:val="bottom"/>
          </w:tcPr>
          <w:p>
            <w:pPr>
              <w:ind w:left="740"/>
              <w:spacing w:after="0" w:line="169" w:lineRule="exact"/>
              <w:rPr>
                <w:sz w:val="20"/>
                <w:szCs w:val="20"/>
                <w:color w:val="auto"/>
              </w:rPr>
            </w:pPr>
            <w:r>
              <w:rPr>
                <w:rFonts w:ascii="Courier New" w:cs="Courier New" w:eastAsia="Courier New" w:hAnsi="Courier New"/>
                <w:sz w:val="15"/>
                <w:szCs w:val="15"/>
                <w:color w:val="auto"/>
              </w:rPr>
              <w:t>(2,268,300)</w:t>
            </w:r>
          </w:p>
        </w:tc>
        <w:tc>
          <w:tcPr>
            <w:tcW w:w="11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8,019,077</w:t>
            </w:r>
          </w:p>
        </w:tc>
        <w:tc>
          <w:tcPr>
            <w:tcW w:w="10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1,792,131</w:t>
            </w:r>
          </w:p>
        </w:tc>
        <w:tc>
          <w:tcPr>
            <w:tcW w:w="11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1,885,076</w:t>
            </w:r>
          </w:p>
        </w:tc>
        <w:tc>
          <w:tcPr>
            <w:tcW w:w="11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1,070,252</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1,486,832</w:t>
            </w:r>
          </w:p>
        </w:tc>
      </w:tr>
      <w:tr>
        <w:trPr>
          <w:trHeight w:val="336"/>
        </w:trPr>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Net assets available for</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plan benefits:</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Beginning of</w:t>
            </w: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year</w:t>
            </w:r>
          </w:p>
        </w:tc>
        <w:tc>
          <w:tcPr>
            <w:tcW w:w="2000" w:type="dxa"/>
            <w:vAlign w:val="bottom"/>
          </w:tcPr>
          <w:p>
            <w:pPr>
              <w:spacing w:after="0"/>
              <w:rPr>
                <w:sz w:val="14"/>
                <w:szCs w:val="14"/>
                <w:color w:val="auto"/>
              </w:rPr>
            </w:pP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39,398,061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20,781,618</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4,404,954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6,534,932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3,165,037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2,781,412</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2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$ 37,129,761</w:t>
            </w:r>
          </w:p>
        </w:tc>
        <w:tc>
          <w:tcPr>
            <w:tcW w:w="3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28,800,695   6,197,085   8,420,008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4,235,289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4,268,244</w:t>
            </w:r>
          </w:p>
        </w:tc>
      </w:tr>
    </w:tbl>
    <w:p>
      <w:pPr>
        <w:spacing w:after="0" w:line="5" w:lineRule="exact"/>
        <w:rPr>
          <w:sz w:val="20"/>
          <w:szCs w:val="20"/>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The Toro</w:t>
      </w:r>
    </w:p>
    <w:p>
      <w:pPr>
        <w:ind w:left="4900"/>
        <w:spacing w:after="0" w:line="237" w:lineRule="auto"/>
        <w:tabs>
          <w:tab w:leader="none" w:pos="6120" w:val="left"/>
        </w:tabs>
        <w:rPr>
          <w:sz w:val="20"/>
          <w:szCs w:val="20"/>
          <w:color w:val="auto"/>
        </w:rPr>
      </w:pPr>
      <w:r>
        <w:rPr>
          <w:rFonts w:ascii="Courier New" w:cs="Courier New" w:eastAsia="Courier New" w:hAnsi="Courier New"/>
          <w:sz w:val="15"/>
          <w:szCs w:val="15"/>
          <w:color w:val="auto"/>
        </w:rPr>
        <w:t>Putnam</w:t>
      </w:r>
      <w:r>
        <w:rPr>
          <w:sz w:val="20"/>
          <w:szCs w:val="20"/>
          <w:color w:val="auto"/>
        </w:rPr>
        <w:tab/>
      </w:r>
      <w:r>
        <w:rPr>
          <w:rFonts w:ascii="Courier New" w:cs="Courier New" w:eastAsia="Courier New" w:hAnsi="Courier New"/>
          <w:sz w:val="15"/>
          <w:szCs w:val="15"/>
          <w:color w:val="auto"/>
        </w:rPr>
        <w:t>Company</w:t>
      </w:r>
    </w:p>
    <w:p>
      <w:pPr>
        <w:ind w:left="4900"/>
        <w:spacing w:after="0"/>
        <w:tabs>
          <w:tab w:leader="none" w:pos="6120" w:val="left"/>
          <w:tab w:leader="none" w:pos="7160" w:val="left"/>
        </w:tabs>
        <w:rPr>
          <w:sz w:val="20"/>
          <w:szCs w:val="20"/>
          <w:color w:val="auto"/>
        </w:rPr>
      </w:pPr>
      <w:r>
        <w:rPr>
          <w:rFonts w:ascii="Courier New" w:cs="Courier New" w:eastAsia="Courier New" w:hAnsi="Courier New"/>
          <w:sz w:val="15"/>
          <w:szCs w:val="15"/>
          <w:color w:val="auto"/>
        </w:rPr>
        <w:t>Voyager</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4"/>
          <w:szCs w:val="14"/>
          <w:color w:val="auto"/>
        </w:rPr>
        <w:t>Unallocated</w:t>
      </w:r>
    </w:p>
    <w:p>
      <w:pPr>
        <w:ind w:left="5000"/>
        <w:spacing w:after="0"/>
        <w:tabs>
          <w:tab w:leader="none" w:pos="6200" w:val="left"/>
          <w:tab w:leader="none" w:pos="7160" w:val="left"/>
          <w:tab w:leader="none" w:pos="9180" w:val="left"/>
        </w:tabs>
        <w:rPr>
          <w:sz w:val="20"/>
          <w:szCs w:val="20"/>
          <w:color w:val="auto"/>
        </w:rPr>
      </w:pPr>
      <w:r>
        <w:rPr>
          <w:rFonts w:ascii="Courier New" w:cs="Courier New" w:eastAsia="Courier New" w:hAnsi="Courier New"/>
          <w:sz w:val="15"/>
          <w:szCs w:val="15"/>
          <w:color w:val="auto"/>
        </w:rPr>
        <w:t>Fund</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dividends, net of plan expenses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1,747,782</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235,428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6,952,510</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appreciation in the fair value of investments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1,216,708</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1,793,168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8,368,051</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460" w:type="dxa"/>
            <w:vAlign w:val="bottom"/>
          </w:tcPr>
          <w:p>
            <w:pPr>
              <w:ind w:left="280"/>
              <w:spacing w:after="0" w:line="169" w:lineRule="exact"/>
              <w:rPr>
                <w:sz w:val="20"/>
                <w:szCs w:val="20"/>
                <w:color w:val="auto"/>
              </w:rPr>
            </w:pPr>
            <w:r>
              <w:rPr>
                <w:rFonts w:ascii="Courier New" w:cs="Courier New" w:eastAsia="Courier New" w:hAnsi="Courier New"/>
                <w:sz w:val="15"/>
                <w:szCs w:val="15"/>
                <w:color w:val="auto"/>
              </w:rPr>
              <w:t>Net investment income</w:t>
            </w:r>
          </w:p>
        </w:tc>
        <w:tc>
          <w:tcPr>
            <w:tcW w:w="23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2,964,490</w:t>
            </w:r>
          </w:p>
        </w:tc>
        <w:tc>
          <w:tcPr>
            <w:tcW w:w="1660" w:type="dxa"/>
            <w:vAlign w:val="bottom"/>
          </w:tcPr>
          <w:p>
            <w:pPr>
              <w:jc w:val="right"/>
              <w:ind w:right="627"/>
              <w:spacing w:after="0" w:line="169" w:lineRule="exact"/>
              <w:rPr>
                <w:sz w:val="20"/>
                <w:szCs w:val="20"/>
                <w:color w:val="auto"/>
              </w:rPr>
            </w:pPr>
            <w:r>
              <w:rPr>
                <w:rFonts w:ascii="Courier New" w:cs="Courier New" w:eastAsia="Courier New" w:hAnsi="Courier New"/>
                <w:sz w:val="15"/>
                <w:szCs w:val="15"/>
                <w:color w:val="auto"/>
              </w:rPr>
              <w:t>2,028,596</w:t>
            </w:r>
          </w:p>
        </w:tc>
        <w:tc>
          <w:tcPr>
            <w:tcW w:w="106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15,320,561</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791,504</w:t>
            </w:r>
          </w:p>
        </w:tc>
        <w:tc>
          <w:tcPr>
            <w:tcW w:w="16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1,781,729</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4,228,380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2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2,123,524</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272,353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5,825,692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Rollover contributions</w:t>
            </w:r>
          </w:p>
        </w:tc>
        <w:tc>
          <w:tcPr>
            <w:tcW w:w="2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66,833</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4,511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154,959</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560" w:type="dxa"/>
            <w:vAlign w:val="bottom"/>
            <w:gridSpan w:val="2"/>
          </w:tcPr>
          <w:p>
            <w:pPr>
              <w:ind w:left="280"/>
              <w:spacing w:after="0" w:line="169" w:lineRule="exact"/>
              <w:rPr>
                <w:sz w:val="20"/>
                <w:szCs w:val="20"/>
                <w:color w:val="auto"/>
              </w:rPr>
            </w:pPr>
            <w:r>
              <w:rPr>
                <w:rFonts w:ascii="Courier New" w:cs="Courier New" w:eastAsia="Courier New" w:hAnsi="Courier New"/>
                <w:sz w:val="15"/>
                <w:szCs w:val="15"/>
                <w:color w:val="auto"/>
              </w:rPr>
              <w:t>Total contributions</w:t>
            </w:r>
          </w:p>
        </w:tc>
        <w:tc>
          <w:tcPr>
            <w:tcW w:w="22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2,981,861</w:t>
            </w:r>
          </w:p>
        </w:tc>
        <w:tc>
          <w:tcPr>
            <w:tcW w:w="144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2,058,593</w:t>
            </w:r>
          </w:p>
        </w:tc>
        <w:tc>
          <w:tcPr>
            <w:tcW w:w="132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10,209,031</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Benefit payments</w:t>
            </w:r>
          </w:p>
        </w:tc>
        <w:tc>
          <w:tcPr>
            <w:tcW w:w="2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(806,314)</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(983,527)</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(5,797,482)</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funds</w:t>
            </w:r>
          </w:p>
        </w:tc>
        <w:tc>
          <w:tcPr>
            <w:tcW w:w="2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1,314,305</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(1,651,793)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(56,732)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other plans</w:t>
            </w:r>
          </w:p>
        </w:tc>
        <w:tc>
          <w:tcPr>
            <w:tcW w:w="2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322,113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14,167</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438,717</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4040" w:type="dxa"/>
            <w:vAlign w:val="bottom"/>
            <w:gridSpan w:val="2"/>
          </w:tcPr>
          <w:p>
            <w:pPr>
              <w:jc w:val="center"/>
              <w:ind w:right="527"/>
              <w:spacing w:after="0" w:line="169" w:lineRule="exact"/>
              <w:rPr>
                <w:sz w:val="20"/>
                <w:szCs w:val="20"/>
                <w:color w:val="auto"/>
              </w:rPr>
            </w:pPr>
            <w:r>
              <w:rPr>
                <w:rFonts w:ascii="Courier New" w:cs="Courier New" w:eastAsia="Courier New" w:hAnsi="Courier New"/>
                <w:sz w:val="15"/>
                <w:szCs w:val="15"/>
                <w:color w:val="auto"/>
                <w:w w:val="96"/>
              </w:rPr>
              <w:t>Increase (decrease) in net assets</w:t>
            </w:r>
          </w:p>
        </w:tc>
        <w:tc>
          <w:tcPr>
            <w:tcW w:w="17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6,776,455</w:t>
            </w:r>
          </w:p>
        </w:tc>
        <w:tc>
          <w:tcPr>
            <w:tcW w:w="14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1,466,036</w:t>
            </w:r>
          </w:p>
        </w:tc>
        <w:tc>
          <w:tcPr>
            <w:tcW w:w="13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(56,732)</w:t>
            </w:r>
          </w:p>
        </w:tc>
        <w:tc>
          <w:tcPr>
            <w:tcW w:w="114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20,170,827</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available</w:t>
            </w:r>
          </w:p>
        </w:tc>
        <w:tc>
          <w:tcPr>
            <w:tcW w:w="2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404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w w:val="97"/>
              </w:rPr>
              <w:t>Net assets available for plan benefits:</w:t>
            </w:r>
          </w:p>
        </w:tc>
        <w:tc>
          <w:tcPr>
            <w:tcW w:w="17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Beginning of</w:t>
            </w:r>
          </w:p>
        </w:tc>
        <w:tc>
          <w:tcPr>
            <w:tcW w:w="2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w:t>
            </w:r>
          </w:p>
        </w:tc>
        <w:tc>
          <w:tcPr>
            <w:tcW w:w="17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21,055,823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16,019,914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56,732</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114,198,483</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280" w:type="dxa"/>
        <w:tblCellMar>
          <w:top w:w="0" w:type="dxa"/>
          <w:left w:w="0" w:type="dxa"/>
          <w:bottom w:w="0" w:type="dxa"/>
          <w:right w:w="0" w:type="dxa"/>
        </w:tblCellMar>
      </w:tblPr>
      <w:tr>
        <w:trPr>
          <w:trHeight w:val="169"/>
        </w:trPr>
        <w:tc>
          <w:tcPr>
            <w:tcW w:w="2660" w:type="dxa"/>
            <w:vAlign w:val="bottom"/>
          </w:tcPr>
          <w:p>
            <w:pPr>
              <w:spacing w:after="0" w:line="169" w:lineRule="exact"/>
              <w:rPr>
                <w:sz w:val="20"/>
                <w:szCs w:val="20"/>
                <w:color w:val="auto"/>
              </w:rPr>
            </w:pPr>
            <w:r>
              <w:rPr>
                <w:rFonts w:ascii="Courier New" w:cs="Courier New" w:eastAsia="Courier New" w:hAnsi="Courier New"/>
                <w:sz w:val="15"/>
                <w:szCs w:val="15"/>
                <w:color w:val="auto"/>
              </w:rPr>
              <w:t>End of year</w:t>
            </w:r>
          </w:p>
        </w:tc>
        <w:tc>
          <w:tcPr>
            <w:tcW w:w="276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27,832,278</w:t>
            </w:r>
          </w:p>
        </w:tc>
        <w:tc>
          <w:tcPr>
            <w:tcW w:w="1740" w:type="dxa"/>
            <w:vAlign w:val="bottom"/>
          </w:tcPr>
          <w:p>
            <w:pPr>
              <w:jc w:val="right"/>
              <w:ind w:right="627"/>
              <w:spacing w:after="0" w:line="169" w:lineRule="exact"/>
              <w:rPr>
                <w:sz w:val="20"/>
                <w:szCs w:val="20"/>
                <w:color w:val="auto"/>
              </w:rPr>
            </w:pPr>
            <w:r>
              <w:rPr>
                <w:rFonts w:ascii="Courier New" w:cs="Courier New" w:eastAsia="Courier New" w:hAnsi="Courier New"/>
                <w:sz w:val="15"/>
                <w:szCs w:val="15"/>
                <w:color w:val="auto"/>
              </w:rPr>
              <w:t>17,485,950</w:t>
            </w:r>
          </w:p>
        </w:tc>
        <w:tc>
          <w:tcPr>
            <w:tcW w:w="1000" w:type="dxa"/>
            <w:vAlign w:val="bottom"/>
          </w:tcPr>
          <w:p>
            <w:pPr>
              <w:jc w:val="right"/>
              <w:ind w:right="127"/>
              <w:spacing w:after="0" w:line="169" w:lineRule="exact"/>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134,369,310</w:t>
            </w:r>
          </w:p>
        </w:tc>
      </w:tr>
    </w:tbl>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40"/>
          </w:cols>
          <w:pgMar w:left="220" w:top="785" w:right="139" w:bottom="1440" w:gutter="0" w:footer="0" w:header="0"/>
        </w:sectPr>
      </w:pPr>
    </w:p>
    <w:bookmarkStart w:id="7" w:name="page8"/>
    <w:bookmarkEnd w:id="7"/>
    <w:p>
      <w:pPr>
        <w:ind w:left="2460"/>
        <w:spacing w:after="0"/>
        <w:rPr>
          <w:sz w:val="20"/>
          <w:szCs w:val="20"/>
          <w:color w:val="auto"/>
        </w:rPr>
      </w:pPr>
      <w:r>
        <w:rPr>
          <w:rFonts w:ascii="Courier New" w:cs="Courier New" w:eastAsia="Courier New" w:hAnsi="Courier New"/>
          <w:sz w:val="15"/>
          <w:szCs w:val="15"/>
          <w:color w:val="auto"/>
        </w:rPr>
        <w:t>THE TORO COMPANY INVESTMENT AND SAVINGS PLAN</w:t>
      </w:r>
    </w:p>
    <w:p>
      <w:pPr>
        <w:spacing w:after="0" w:line="166"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5"/>
          <w:szCs w:val="15"/>
          <w:color w:val="auto"/>
        </w:rPr>
        <w:t>Statement of Changes in Net Assets Available for Plan Benefits</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Five-month period ended December 31, 1995</w:t>
      </w:r>
    </w:p>
    <w:p>
      <w:pPr>
        <w:spacing w:after="0" w:line="200" w:lineRule="exact"/>
        <w:rPr>
          <w:sz w:val="20"/>
          <w:szCs w:val="20"/>
          <w:color w:val="auto"/>
        </w:rPr>
      </w:pPr>
    </w:p>
    <w:p>
      <w:pPr>
        <w:spacing w:after="0" w:line="303" w:lineRule="exact"/>
        <w:rPr>
          <w:sz w:val="20"/>
          <w:szCs w:val="20"/>
          <w:color w:val="auto"/>
        </w:rPr>
      </w:pPr>
    </w:p>
    <w:tbl>
      <w:tblPr>
        <w:tblLayout w:type="fixed"/>
        <w:tblInd w:w="482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Putnam</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Putnam</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Putnam</w:t>
            </w:r>
          </w:p>
        </w:tc>
        <w:tc>
          <w:tcPr>
            <w:tcW w:w="7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Putnam</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Asset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Asset</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Asset</w:t>
            </w:r>
          </w:p>
        </w:tc>
        <w:tc>
          <w:tcPr>
            <w:tcW w:w="78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Growth</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Allocation</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Allocation</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Allocation</w:t>
            </w:r>
          </w:p>
        </w:tc>
        <w:tc>
          <w:tcPr>
            <w:tcW w:w="7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2"/>
              </w:rPr>
              <w:t>Putnam</w:t>
            </w:r>
          </w:p>
        </w:tc>
      </w:tr>
      <w:tr>
        <w:trPr>
          <w:trHeight w:val="168"/>
        </w:trPr>
        <w:tc>
          <w:tcPr>
            <w:tcW w:w="1140" w:type="dxa"/>
            <w:vAlign w:val="bottom"/>
          </w:tcPr>
          <w:p>
            <w:pPr>
              <w:spacing w:after="0"/>
              <w:rPr>
                <w:sz w:val="14"/>
                <w:szCs w:val="14"/>
                <w:color w:val="auto"/>
              </w:rPr>
            </w:pPr>
          </w:p>
        </w:tc>
        <w:tc>
          <w:tcPr>
            <w:tcW w:w="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and</w:t>
            </w:r>
          </w:p>
        </w:tc>
        <w:tc>
          <w:tcPr>
            <w:tcW w:w="12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Fund</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Fund</w:t>
            </w:r>
          </w:p>
        </w:tc>
        <w:tc>
          <w:tcPr>
            <w:tcW w:w="13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Fund</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Overseas</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Toro Stable</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Income</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(Growth</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(Balanced</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(Conservative</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Growth</w:t>
            </w:r>
          </w:p>
        </w:tc>
      </w:tr>
      <w:tr>
        <w:trPr>
          <w:trHeight w:val="168"/>
        </w:trPr>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Fund</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Fund</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Portfolio)</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Portfolio)</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Portfolio)</w:t>
            </w:r>
          </w:p>
        </w:tc>
        <w:tc>
          <w:tcPr>
            <w:tcW w:w="78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Fund</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dividends, net of plan expenses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$ 1,221,334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1,112,039</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192,575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309,307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130,075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54,604</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appreciation in the fair value of investments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1,065,772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89,045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108,071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60,389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101,675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ind w:left="280"/>
              <w:spacing w:after="0"/>
              <w:rPr>
                <w:sz w:val="20"/>
                <w:szCs w:val="20"/>
                <w:color w:val="auto"/>
              </w:rPr>
            </w:pPr>
            <w:r>
              <w:rPr>
                <w:rFonts w:ascii="Courier New" w:cs="Courier New" w:eastAsia="Courier New" w:hAnsi="Courier New"/>
                <w:sz w:val="15"/>
                <w:szCs w:val="15"/>
                <w:color w:val="auto"/>
              </w:rPr>
              <w:t>Net investment income</w:t>
            </w:r>
          </w:p>
        </w:tc>
        <w:tc>
          <w:tcPr>
            <w:tcW w:w="2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1,221,334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2,177,811</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281,620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417,378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190,464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156,279</w:t>
            </w: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94,133</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152,050</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36,922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42,522</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10,867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22,339</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2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350,532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698,337</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210,265</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213,293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52,778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154,587</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Rollover contributions</w:t>
            </w:r>
          </w:p>
        </w:tc>
        <w:tc>
          <w:tcPr>
            <w:tcW w:w="2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8,134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Total contributions</w:t>
            </w:r>
          </w:p>
        </w:tc>
        <w:tc>
          <w:tcPr>
            <w:tcW w:w="2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447,425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858,521</w:t>
            </w:r>
          </w:p>
        </w:tc>
        <w:tc>
          <w:tcPr>
            <w:tcW w:w="10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247,896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255,815</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63,645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184,734</w:t>
            </w:r>
          </w:p>
        </w:tc>
      </w:tr>
      <w:tr>
        <w:trPr>
          <w:trHeight w:val="33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Benefit payments</w:t>
            </w:r>
          </w:p>
        </w:tc>
        <w:tc>
          <w:tcPr>
            <w:tcW w:w="2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(3,263,682)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(210,490)</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(40,184)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(24,399)</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(7,280)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funds</w:t>
            </w:r>
          </w:p>
        </w:tc>
        <w:tc>
          <w:tcPr>
            <w:tcW w:w="2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(36,275,502)</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10,368,725</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(1,264,864)</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5,886,138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2,917,074</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2,447,679</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other plans</w:t>
            </w:r>
          </w:p>
        </w:tc>
        <w:tc>
          <w:tcPr>
            <w:tcW w:w="2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30,894,325</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2,662,790</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876,733</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ind w:left="180" w:hanging="170"/>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2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Increase (decrease) in net assets</w:t>
      </w:r>
    </w:p>
    <w:tbl>
      <w:tblPr>
        <w:tblLayout w:type="fixed"/>
        <w:tblInd w:w="0" w:type="dxa"/>
        <w:tblCellMar>
          <w:top w:w="0" w:type="dxa"/>
          <w:left w:w="0" w:type="dxa"/>
          <w:bottom w:w="0" w:type="dxa"/>
          <w:right w:w="0" w:type="dxa"/>
        </w:tblCellMar>
      </w:tblPr>
      <w:tr>
        <w:trPr>
          <w:trHeight w:val="169"/>
        </w:trPr>
        <w:tc>
          <w:tcPr>
            <w:tcW w:w="13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available</w:t>
            </w:r>
          </w:p>
        </w:tc>
        <w:tc>
          <w:tcPr>
            <w:tcW w:w="8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w w:val="99"/>
              </w:rPr>
              <w:t>for plan</w:t>
            </w:r>
          </w:p>
        </w:tc>
        <w:tc>
          <w:tcPr>
            <w:tcW w:w="200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benefits</w:t>
            </w:r>
          </w:p>
        </w:tc>
        <w:tc>
          <w:tcPr>
            <w:tcW w:w="1800" w:type="dxa"/>
            <w:vAlign w:val="bottom"/>
          </w:tcPr>
          <w:p>
            <w:pPr>
              <w:ind w:left="740"/>
              <w:spacing w:after="0" w:line="169" w:lineRule="exact"/>
              <w:rPr>
                <w:sz w:val="20"/>
                <w:szCs w:val="20"/>
                <w:color w:val="auto"/>
              </w:rPr>
            </w:pPr>
            <w:r>
              <w:rPr>
                <w:rFonts w:ascii="Courier New" w:cs="Courier New" w:eastAsia="Courier New" w:hAnsi="Courier New"/>
                <w:sz w:val="15"/>
                <w:szCs w:val="15"/>
                <w:color w:val="auto"/>
              </w:rPr>
              <w:t>(6,976,100)</w:t>
            </w:r>
          </w:p>
        </w:tc>
        <w:tc>
          <w:tcPr>
            <w:tcW w:w="110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15,857,357</w:t>
            </w:r>
          </w:p>
        </w:tc>
        <w:tc>
          <w:tcPr>
            <w:tcW w:w="1040" w:type="dxa"/>
            <w:vAlign w:val="bottom"/>
          </w:tcPr>
          <w:p>
            <w:pPr>
              <w:jc w:val="right"/>
              <w:ind w:right="67"/>
              <w:spacing w:after="0" w:line="169" w:lineRule="exact"/>
              <w:rPr>
                <w:sz w:val="20"/>
                <w:szCs w:val="20"/>
                <w:color w:val="auto"/>
              </w:rPr>
            </w:pPr>
            <w:r>
              <w:rPr>
                <w:rFonts w:ascii="Courier New" w:cs="Courier New" w:eastAsia="Courier New" w:hAnsi="Courier New"/>
                <w:sz w:val="15"/>
                <w:szCs w:val="15"/>
                <w:color w:val="auto"/>
              </w:rPr>
              <w:t>101,201</w:t>
            </w:r>
          </w:p>
        </w:tc>
        <w:tc>
          <w:tcPr>
            <w:tcW w:w="110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6,534,932</w:t>
            </w:r>
          </w:p>
        </w:tc>
        <w:tc>
          <w:tcPr>
            <w:tcW w:w="11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3,165,037</w:t>
            </w:r>
          </w:p>
        </w:tc>
        <w:tc>
          <w:tcPr>
            <w:tcW w:w="9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2,781,412</w:t>
            </w:r>
          </w:p>
        </w:tc>
      </w:tr>
      <w:tr>
        <w:trPr>
          <w:trHeight w:val="336"/>
        </w:trPr>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Net assets available for</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plan benefits:</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Beginning of</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period</w:t>
            </w:r>
          </w:p>
        </w:tc>
        <w:tc>
          <w:tcPr>
            <w:tcW w:w="2000" w:type="dxa"/>
            <w:vAlign w:val="bottom"/>
          </w:tcPr>
          <w:p>
            <w:pPr>
              <w:spacing w:after="0"/>
              <w:rPr>
                <w:sz w:val="14"/>
                <w:szCs w:val="14"/>
                <w:color w:val="auto"/>
              </w:rPr>
            </w:pPr>
          </w:p>
        </w:tc>
        <w:tc>
          <w:tcPr>
            <w:tcW w:w="18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46,374,161</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4,924,261</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4,303,753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800" w:type="dxa"/>
            <w:vAlign w:val="bottom"/>
          </w:tcPr>
          <w:p>
            <w:pPr>
              <w:spacing w:after="0"/>
              <w:rPr>
                <w:sz w:val="20"/>
                <w:szCs w:val="20"/>
                <w:color w:val="auto"/>
              </w:rPr>
            </w:pPr>
            <w:r>
              <w:rPr>
                <w:rFonts w:ascii="Courier New" w:cs="Courier New" w:eastAsia="Courier New" w:hAnsi="Courier New"/>
                <w:sz w:val="15"/>
                <w:szCs w:val="15"/>
                <w:color w:val="auto"/>
              </w:rPr>
              <w:t>End of period</w:t>
            </w:r>
          </w:p>
        </w:tc>
        <w:tc>
          <w:tcPr>
            <w:tcW w:w="2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$ 39,398,061</w:t>
            </w:r>
          </w:p>
        </w:tc>
        <w:tc>
          <w:tcPr>
            <w:tcW w:w="3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20,781,618   4,404,954   6,534,932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3,165,037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2,781,412</w:t>
            </w:r>
          </w:p>
        </w:tc>
      </w:tr>
    </w:tbl>
    <w:p>
      <w:pPr>
        <w:spacing w:after="0" w:line="5" w:lineRule="exact"/>
        <w:rPr>
          <w:sz w:val="20"/>
          <w:szCs w:val="20"/>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The Toro</w:t>
      </w:r>
    </w:p>
    <w:p>
      <w:pPr>
        <w:ind w:left="4900"/>
        <w:spacing w:after="0" w:line="237" w:lineRule="auto"/>
        <w:tabs>
          <w:tab w:leader="none" w:pos="6120" w:val="left"/>
        </w:tabs>
        <w:rPr>
          <w:sz w:val="20"/>
          <w:szCs w:val="20"/>
          <w:color w:val="auto"/>
        </w:rPr>
      </w:pPr>
      <w:r>
        <w:rPr>
          <w:rFonts w:ascii="Courier New" w:cs="Courier New" w:eastAsia="Courier New" w:hAnsi="Courier New"/>
          <w:sz w:val="15"/>
          <w:szCs w:val="15"/>
          <w:color w:val="auto"/>
        </w:rPr>
        <w:t>Putnam</w:t>
      </w:r>
      <w:r>
        <w:rPr>
          <w:sz w:val="20"/>
          <w:szCs w:val="20"/>
          <w:color w:val="auto"/>
        </w:rPr>
        <w:tab/>
      </w:r>
      <w:r>
        <w:rPr>
          <w:rFonts w:ascii="Courier New" w:cs="Courier New" w:eastAsia="Courier New" w:hAnsi="Courier New"/>
          <w:sz w:val="15"/>
          <w:szCs w:val="15"/>
          <w:color w:val="auto"/>
        </w:rPr>
        <w:t>Company</w:t>
      </w:r>
    </w:p>
    <w:p>
      <w:pPr>
        <w:ind w:left="4900"/>
        <w:spacing w:after="0"/>
        <w:tabs>
          <w:tab w:leader="none" w:pos="6120" w:val="left"/>
          <w:tab w:leader="none" w:pos="7160" w:val="left"/>
        </w:tabs>
        <w:rPr>
          <w:sz w:val="20"/>
          <w:szCs w:val="20"/>
          <w:color w:val="auto"/>
        </w:rPr>
      </w:pPr>
      <w:r>
        <w:rPr>
          <w:rFonts w:ascii="Courier New" w:cs="Courier New" w:eastAsia="Courier New" w:hAnsi="Courier New"/>
          <w:sz w:val="15"/>
          <w:szCs w:val="15"/>
          <w:color w:val="auto"/>
        </w:rPr>
        <w:t>Voyager</w:t>
      </w:r>
      <w:r>
        <w:rPr>
          <w:sz w:val="20"/>
          <w:szCs w:val="20"/>
          <w:color w:val="auto"/>
        </w:rPr>
        <w:tab/>
      </w:r>
      <w:r>
        <w:rPr>
          <w:rFonts w:ascii="Courier New" w:cs="Courier New" w:eastAsia="Courier New" w:hAnsi="Courier New"/>
          <w:sz w:val="15"/>
          <w:szCs w:val="15"/>
          <w:color w:val="auto"/>
        </w:rPr>
        <w:t>Common</w:t>
      </w:r>
      <w:r>
        <w:rPr>
          <w:sz w:val="20"/>
          <w:szCs w:val="20"/>
          <w:color w:val="auto"/>
        </w:rPr>
        <w:tab/>
      </w:r>
      <w:r>
        <w:rPr>
          <w:rFonts w:ascii="Courier New" w:cs="Courier New" w:eastAsia="Courier New" w:hAnsi="Courier New"/>
          <w:sz w:val="14"/>
          <w:szCs w:val="14"/>
          <w:color w:val="auto"/>
        </w:rPr>
        <w:t>Unallocated</w:t>
      </w:r>
    </w:p>
    <w:p>
      <w:pPr>
        <w:ind w:left="5000"/>
        <w:spacing w:after="0"/>
        <w:tabs>
          <w:tab w:leader="none" w:pos="6200" w:val="left"/>
          <w:tab w:leader="none" w:pos="7160" w:val="left"/>
          <w:tab w:leader="none" w:pos="9180" w:val="left"/>
        </w:tabs>
        <w:rPr>
          <w:sz w:val="20"/>
          <w:szCs w:val="20"/>
          <w:color w:val="auto"/>
        </w:rPr>
      </w:pPr>
      <w:r>
        <w:rPr>
          <w:rFonts w:ascii="Courier New" w:cs="Courier New" w:eastAsia="Courier New" w:hAnsi="Courier New"/>
          <w:sz w:val="15"/>
          <w:szCs w:val="15"/>
          <w:color w:val="auto"/>
        </w:rPr>
        <w:t>Fund</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Investment income:</w:t>
            </w: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dividends, net of plan expenses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1,112,269</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63,836</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4,196,039</w:t>
            </w:r>
          </w:p>
        </w:tc>
      </w:tr>
      <w:tr>
        <w:trPr>
          <w:trHeight w:val="168"/>
        </w:trPr>
        <w:tc>
          <w:tcPr>
            <w:tcW w:w="46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appreciation in the fair value of investments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837,371</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2,091,930</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4,354,253</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460" w:type="dxa"/>
            <w:vAlign w:val="bottom"/>
          </w:tcPr>
          <w:p>
            <w:pPr>
              <w:ind w:left="280"/>
              <w:spacing w:after="0" w:line="169" w:lineRule="exact"/>
              <w:rPr>
                <w:sz w:val="20"/>
                <w:szCs w:val="20"/>
                <w:color w:val="auto"/>
              </w:rPr>
            </w:pPr>
            <w:r>
              <w:rPr>
                <w:rFonts w:ascii="Courier New" w:cs="Courier New" w:eastAsia="Courier New" w:hAnsi="Courier New"/>
                <w:sz w:val="15"/>
                <w:szCs w:val="15"/>
                <w:color w:val="auto"/>
              </w:rPr>
              <w:t>Net investment income</w:t>
            </w:r>
          </w:p>
        </w:tc>
        <w:tc>
          <w:tcPr>
            <w:tcW w:w="232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1,949,640</w:t>
            </w:r>
          </w:p>
        </w:tc>
        <w:tc>
          <w:tcPr>
            <w:tcW w:w="144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2,155,766</w:t>
            </w:r>
          </w:p>
        </w:tc>
        <w:tc>
          <w:tcPr>
            <w:tcW w:w="132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8,550,292</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2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152,177</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175,902</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13,582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700,494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2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978,443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128,069</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43,150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2,829,454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Rollover contributions</w:t>
            </w:r>
          </w:p>
        </w:tc>
        <w:tc>
          <w:tcPr>
            <w:tcW w:w="2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29,317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48,728</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3500" w:type="dxa"/>
            <w:vAlign w:val="bottom"/>
            <w:gridSpan w:val="2"/>
          </w:tcPr>
          <w:p>
            <w:pPr>
              <w:ind w:left="280"/>
              <w:spacing w:after="0" w:line="169" w:lineRule="exact"/>
              <w:rPr>
                <w:sz w:val="20"/>
                <w:szCs w:val="20"/>
                <w:color w:val="auto"/>
              </w:rPr>
            </w:pPr>
            <w:r>
              <w:rPr>
                <w:rFonts w:ascii="Courier New" w:cs="Courier New" w:eastAsia="Courier New" w:hAnsi="Courier New"/>
                <w:sz w:val="15"/>
                <w:szCs w:val="15"/>
                <w:color w:val="auto"/>
              </w:rPr>
              <w:t>Total contributions</w:t>
            </w:r>
          </w:p>
        </w:tc>
        <w:tc>
          <w:tcPr>
            <w:tcW w:w="22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1,159,937</w:t>
            </w:r>
          </w:p>
        </w:tc>
        <w:tc>
          <w:tcPr>
            <w:tcW w:w="1320" w:type="dxa"/>
            <w:vAlign w:val="bottom"/>
          </w:tcPr>
          <w:p>
            <w:pPr>
              <w:jc w:val="right"/>
              <w:ind w:right="287"/>
              <w:spacing w:after="0" w:line="169" w:lineRule="exact"/>
              <w:rPr>
                <w:sz w:val="20"/>
                <w:szCs w:val="20"/>
                <w:color w:val="auto"/>
              </w:rPr>
            </w:pPr>
            <w:r>
              <w:rPr>
                <w:rFonts w:ascii="Courier New" w:cs="Courier New" w:eastAsia="Courier New" w:hAnsi="Courier New"/>
                <w:sz w:val="15"/>
                <w:szCs w:val="15"/>
                <w:color w:val="auto"/>
              </w:rPr>
              <w:t>303,971</w:t>
            </w:r>
          </w:p>
        </w:tc>
        <w:tc>
          <w:tcPr>
            <w:tcW w:w="1440" w:type="dxa"/>
            <w:vAlign w:val="bottom"/>
          </w:tcPr>
          <w:p>
            <w:pPr>
              <w:jc w:val="right"/>
              <w:ind w:right="227"/>
              <w:spacing w:after="0" w:line="169" w:lineRule="exact"/>
              <w:rPr>
                <w:sz w:val="20"/>
                <w:szCs w:val="20"/>
                <w:color w:val="auto"/>
              </w:rPr>
            </w:pPr>
            <w:r>
              <w:rPr>
                <w:rFonts w:ascii="Courier New" w:cs="Courier New" w:eastAsia="Courier New" w:hAnsi="Courier New"/>
                <w:sz w:val="15"/>
                <w:szCs w:val="15"/>
                <w:color w:val="auto"/>
              </w:rPr>
              <w:t>56,732</w:t>
            </w:r>
          </w:p>
        </w:tc>
        <w:tc>
          <w:tcPr>
            <w:tcW w:w="1180" w:type="dxa"/>
            <w:vAlign w:val="bottom"/>
          </w:tcPr>
          <w:p>
            <w:pPr>
              <w:jc w:val="right"/>
              <w:ind w:right="7"/>
              <w:spacing w:after="0" w:line="169" w:lineRule="exact"/>
              <w:rPr>
                <w:sz w:val="20"/>
                <w:szCs w:val="20"/>
                <w:color w:val="auto"/>
              </w:rPr>
            </w:pPr>
            <w:r>
              <w:rPr>
                <w:rFonts w:ascii="Courier New" w:cs="Courier New" w:eastAsia="Courier New" w:hAnsi="Courier New"/>
                <w:sz w:val="15"/>
                <w:szCs w:val="15"/>
                <w:color w:val="auto"/>
              </w:rPr>
              <w:t>3,578,676</w:t>
            </w: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Benefit payments</w:t>
            </w:r>
          </w:p>
        </w:tc>
        <w:tc>
          <w:tcPr>
            <w:tcW w:w="22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(202,592)</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(817,684)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(4,572,457)</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between funds</w:t>
            </w: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18,148,838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2,027,479</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(4,255,567)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r>
      <w:tr>
        <w:trPr>
          <w:trHeight w:val="168"/>
        </w:trPr>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Transfers</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from other plans</w:t>
            </w:r>
          </w:p>
        </w:tc>
        <w:tc>
          <w:tcPr>
            <w:tcW w:w="2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12,350,382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2,029,099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48,813,329</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0" w:type="dxa"/>
        <w:tblCellMar>
          <w:top w:w="0" w:type="dxa"/>
          <w:left w:w="0" w:type="dxa"/>
          <w:bottom w:w="0" w:type="dxa"/>
          <w:right w:w="0" w:type="dxa"/>
        </w:tblCellMar>
      </w:tblPr>
      <w:tr>
        <w:trPr>
          <w:trHeight w:val="169"/>
        </w:trPr>
        <w:tc>
          <w:tcPr>
            <w:tcW w:w="4040" w:type="dxa"/>
            <w:vAlign w:val="bottom"/>
            <w:gridSpan w:val="2"/>
          </w:tcPr>
          <w:p>
            <w:pPr>
              <w:jc w:val="center"/>
              <w:ind w:right="527"/>
              <w:spacing w:after="0" w:line="169" w:lineRule="exact"/>
              <w:rPr>
                <w:sz w:val="20"/>
                <w:szCs w:val="20"/>
                <w:color w:val="auto"/>
              </w:rPr>
            </w:pPr>
            <w:r>
              <w:rPr>
                <w:rFonts w:ascii="Courier New" w:cs="Courier New" w:eastAsia="Courier New" w:hAnsi="Courier New"/>
                <w:sz w:val="15"/>
                <w:szCs w:val="15"/>
                <w:color w:val="auto"/>
                <w:w w:val="96"/>
              </w:rPr>
              <w:t>Increase (decrease) in net assets</w:t>
            </w:r>
          </w:p>
        </w:tc>
        <w:tc>
          <w:tcPr>
            <w:tcW w:w="1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0</w:t>
            </w: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available</w:t>
            </w:r>
          </w:p>
        </w:tc>
        <w:tc>
          <w:tcPr>
            <w:tcW w:w="2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plan benefits</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21,055,823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16,019,914</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(2,169,736)</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56,369,840</w:t>
            </w:r>
          </w:p>
        </w:tc>
      </w:tr>
      <w:tr>
        <w:trPr>
          <w:trHeight w:val="336"/>
        </w:trPr>
        <w:tc>
          <w:tcPr>
            <w:tcW w:w="404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w w:val="97"/>
              </w:rPr>
              <w:t>Net assets available for plan benefits:</w:t>
            </w:r>
          </w:p>
        </w:tc>
        <w:tc>
          <w:tcPr>
            <w:tcW w:w="1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Beginning of</w:t>
            </w:r>
          </w:p>
        </w:tc>
        <w:tc>
          <w:tcPr>
            <w:tcW w:w="2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period</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2,226,468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57,828,643</w:t>
            </w:r>
          </w:p>
        </w:tc>
      </w:tr>
    </w:tbl>
    <w:p>
      <w:pPr>
        <w:spacing w:after="0" w:line="237" w:lineRule="auto"/>
        <w:rPr>
          <w:sz w:val="20"/>
          <w:szCs w:val="20"/>
          <w:color w:val="auto"/>
        </w:rPr>
      </w:pPr>
      <w:r>
        <w:rPr>
          <w:rFonts w:ascii="Courier New" w:cs="Courier New" w:eastAsia="Courier New" w:hAnsi="Courier New"/>
          <w:sz w:val="15"/>
          <w:szCs w:val="15"/>
          <w:color w:val="auto"/>
        </w:rPr>
        <w:t>- --------------------------------------------------------------------------------------------------------------</w:t>
      </w:r>
    </w:p>
    <w:tbl>
      <w:tblPr>
        <w:tblLayout w:type="fixed"/>
        <w:tblInd w:w="280" w:type="dxa"/>
        <w:tblCellMar>
          <w:top w:w="0" w:type="dxa"/>
          <w:left w:w="0" w:type="dxa"/>
          <w:bottom w:w="0" w:type="dxa"/>
          <w:right w:w="0" w:type="dxa"/>
        </w:tblCellMar>
      </w:tblPr>
      <w:tr>
        <w:trPr>
          <w:trHeight w:val="169"/>
        </w:trPr>
        <w:tc>
          <w:tcPr>
            <w:tcW w:w="2740" w:type="dxa"/>
            <w:vAlign w:val="bottom"/>
          </w:tcPr>
          <w:p>
            <w:pPr>
              <w:spacing w:after="0" w:line="169" w:lineRule="exact"/>
              <w:rPr>
                <w:sz w:val="20"/>
                <w:szCs w:val="20"/>
                <w:color w:val="auto"/>
              </w:rPr>
            </w:pPr>
            <w:r>
              <w:rPr>
                <w:rFonts w:ascii="Courier New" w:cs="Courier New" w:eastAsia="Courier New" w:hAnsi="Courier New"/>
                <w:sz w:val="15"/>
                <w:szCs w:val="15"/>
                <w:color w:val="auto"/>
              </w:rPr>
              <w:t>End of period</w:t>
            </w:r>
          </w:p>
        </w:tc>
        <w:tc>
          <w:tcPr>
            <w:tcW w:w="268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21,055,823</w:t>
            </w:r>
          </w:p>
        </w:tc>
        <w:tc>
          <w:tcPr>
            <w:tcW w:w="1520" w:type="dxa"/>
            <w:vAlign w:val="bottom"/>
          </w:tcPr>
          <w:p>
            <w:pPr>
              <w:jc w:val="right"/>
              <w:ind w:right="407"/>
              <w:spacing w:after="0" w:line="169" w:lineRule="exact"/>
              <w:rPr>
                <w:sz w:val="20"/>
                <w:szCs w:val="20"/>
                <w:color w:val="auto"/>
              </w:rPr>
            </w:pPr>
            <w:r>
              <w:rPr>
                <w:rFonts w:ascii="Courier New" w:cs="Courier New" w:eastAsia="Courier New" w:hAnsi="Courier New"/>
                <w:sz w:val="15"/>
                <w:szCs w:val="15"/>
                <w:color w:val="auto"/>
              </w:rPr>
              <w:t>16,019,914</w:t>
            </w:r>
          </w:p>
        </w:tc>
        <w:tc>
          <w:tcPr>
            <w:tcW w:w="1220" w:type="dxa"/>
            <w:vAlign w:val="bottom"/>
          </w:tcPr>
          <w:p>
            <w:pPr>
              <w:jc w:val="right"/>
              <w:ind w:right="127"/>
              <w:spacing w:after="0" w:line="169" w:lineRule="exact"/>
              <w:rPr>
                <w:sz w:val="20"/>
                <w:szCs w:val="20"/>
                <w:color w:val="auto"/>
              </w:rPr>
            </w:pPr>
            <w:r>
              <w:rPr>
                <w:rFonts w:ascii="Courier New" w:cs="Courier New" w:eastAsia="Courier New" w:hAnsi="Courier New"/>
                <w:sz w:val="15"/>
                <w:szCs w:val="15"/>
                <w:color w:val="auto"/>
              </w:rPr>
              <w:t>56,732</w:t>
            </w:r>
          </w:p>
        </w:tc>
        <w:tc>
          <w:tcPr>
            <w:tcW w:w="12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114,198,483</w:t>
            </w:r>
          </w:p>
        </w:tc>
      </w:tr>
    </w:tbl>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financial statements.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40"/>
          </w:cols>
          <w:pgMar w:left="220" w:top="785" w:right="139" w:bottom="1440" w:gutter="0" w:footer="0" w:header="0"/>
        </w:sectPr>
      </w:pPr>
    </w:p>
    <w:bookmarkStart w:id="8" w:name="page9"/>
    <w:bookmarkEnd w:id="8"/>
    <w:p>
      <w:pPr>
        <w:ind w:left="2980"/>
        <w:spacing w:after="0"/>
        <w:rPr>
          <w:sz w:val="20"/>
          <w:szCs w:val="20"/>
          <w:color w:val="auto"/>
        </w:rPr>
      </w:pPr>
      <w:r>
        <w:rPr>
          <w:rFonts w:ascii="Courier New" w:cs="Courier New" w:eastAsia="Courier New" w:hAnsi="Courier New"/>
          <w:sz w:val="15"/>
          <w:szCs w:val="15"/>
          <w:color w:val="auto"/>
        </w:rPr>
        <w:t>THE TORO COMPANY</w:t>
      </w:r>
    </w:p>
    <w:p>
      <w:pPr>
        <w:ind w:left="254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December 31, 1996 and 1995</w:t>
      </w:r>
    </w:p>
    <w:p>
      <w:pPr>
        <w:spacing w:after="0" w:line="341" w:lineRule="exact"/>
        <w:rPr>
          <w:sz w:val="20"/>
          <w:szCs w:val="20"/>
          <w:color w:val="auto"/>
        </w:rPr>
      </w:pPr>
    </w:p>
    <w:p>
      <w:pPr>
        <w:ind w:left="360" w:right="6199" w:hanging="350"/>
        <w:spacing w:after="0" w:line="465"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STATEMENT PRESENTATION</w:t>
      </w:r>
    </w:p>
    <w:p>
      <w:pPr>
        <w:spacing w:after="0" w:line="14" w:lineRule="exact"/>
        <w:rPr>
          <w:rFonts w:ascii="Courier New" w:cs="Courier New" w:eastAsia="Courier New" w:hAnsi="Courier New"/>
          <w:sz w:val="15"/>
          <w:szCs w:val="15"/>
          <w:color w:val="auto"/>
        </w:rPr>
      </w:pPr>
    </w:p>
    <w:p>
      <w:pPr>
        <w:ind w:left="620" w:right="3319" w:hanging="262"/>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August 1, 1995, The Toro Company (the Company) merged four of its profit sharing and retirement plans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with the Toro Company Profit Sharing Plan and Trust Agreement for Office Employees. As a result of this merger, the net assets of the four plans were transferred to the Toro Company Profit Sharing Plan and Trust Agreement for Office Employees on August 1, 1995. The surviving plan, The Toro Company Profit Sharing Plan and Trust Agreement for Office Employees, was then renamed and restated as the Toro Company Investment and Savings Plan (the Plan).</w:t>
      </w:r>
    </w:p>
    <w:p>
      <w:pPr>
        <w:spacing w:after="0" w:line="341" w:lineRule="exact"/>
        <w:rPr>
          <w:rFonts w:ascii="Courier New" w:cs="Courier New" w:eastAsia="Courier New" w:hAnsi="Courier New"/>
          <w:sz w:val="15"/>
          <w:szCs w:val="15"/>
          <w:color w:val="auto"/>
        </w:rPr>
      </w:pPr>
    </w:p>
    <w:p>
      <w:pPr>
        <w:ind w:left="62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 of the Plan was changed from July 31st to December 31st effective August 1, 1995. The periods presented in the accompanying financial statements of the Plan represent the transitional period for the change in the Plan's fiscal year and includes statements of net assets available for plan benefits as of December 31, 1996 and 1995 and statements of changes in net assets available for plan benefits for the year ended December 31, 1996 and the five-month period ended December 31, 1995.</w:t>
      </w:r>
    </w:p>
    <w:p>
      <w:pPr>
        <w:spacing w:after="0" w:line="177" w:lineRule="exact"/>
        <w:rPr>
          <w:rFonts w:ascii="Courier New" w:cs="Courier New" w:eastAsia="Courier New" w:hAnsi="Courier New"/>
          <w:sz w:val="15"/>
          <w:szCs w:val="15"/>
          <w:color w:val="auto"/>
        </w:rPr>
      </w:pPr>
    </w:p>
    <w:p>
      <w:pPr>
        <w:ind w:left="620" w:right="409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financial statements of the Plan are presented in accordance with generally accepted accounting principles.</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2" w:lineRule="exact"/>
        <w:rPr>
          <w:rFonts w:ascii="Courier New" w:cs="Courier New" w:eastAsia="Courier New" w:hAnsi="Courier New"/>
          <w:sz w:val="15"/>
          <w:szCs w:val="15"/>
          <w:color w:val="auto"/>
        </w:rPr>
      </w:pPr>
    </w:p>
    <w:p>
      <w:pPr>
        <w:ind w:left="620" w:right="339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Currently, the Company maintains one fund, the Toro Stable Value Fund, within the master trust agreement for three profit sharing and retirement plans which are sponsored by the Company. The three plans include the Toro Company Profit Sharing Plan and Trust Agreement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177" w:lineRule="exact"/>
        <w:rPr>
          <w:rFonts w:ascii="Courier New" w:cs="Courier New" w:eastAsia="Courier New" w:hAnsi="Courier New"/>
          <w:sz w:val="15"/>
          <w:szCs w:val="15"/>
          <w:color w:val="auto"/>
        </w:rPr>
      </w:pPr>
    </w:p>
    <w:p>
      <w:pPr>
        <w:ind w:left="62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1, 1995, the investment assets of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were transferred to the Plan.</w:t>
      </w:r>
    </w:p>
    <w:p>
      <w:pPr>
        <w:spacing w:after="0" w:line="168"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9" w:name="page10"/>
    <w:bookmarkEnd w:id="9"/>
    <w:p>
      <w:pPr>
        <w:ind w:left="2620"/>
        <w:spacing w:after="0"/>
        <w:rPr>
          <w:sz w:val="20"/>
          <w:szCs w:val="20"/>
          <w:color w:val="auto"/>
        </w:rPr>
      </w:pPr>
      <w:r>
        <w:rPr>
          <w:rFonts w:ascii="Courier New" w:cs="Courier New" w:eastAsia="Courier New" w:hAnsi="Courier New"/>
          <w:sz w:val="15"/>
          <w:szCs w:val="15"/>
          <w:color w:val="auto"/>
        </w:rPr>
        <w:t>THE TORO COMPANY</w:t>
      </w:r>
    </w:p>
    <w:p>
      <w:pPr>
        <w:ind w:left="218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342" w:lineRule="exact"/>
        <w:rPr>
          <w:sz w:val="20"/>
          <w:szCs w:val="20"/>
          <w:color w:val="auto"/>
        </w:rPr>
      </w:pPr>
    </w:p>
    <w:p>
      <w:pPr>
        <w:ind w:left="260" w:right="3499" w:hanging="261"/>
        <w:spacing w:after="0" w:line="235" w:lineRule="auto"/>
        <w:rPr>
          <w:sz w:val="20"/>
          <w:szCs w:val="20"/>
          <w:color w:val="auto"/>
        </w:rPr>
      </w:pPr>
      <w:r>
        <w:rPr>
          <w:rFonts w:ascii="Courier New" w:cs="Courier New" w:eastAsia="Courier New" w:hAnsi="Courier New"/>
          <w:sz w:val="15"/>
          <w:szCs w:val="15"/>
          <w:color w:val="auto"/>
        </w:rPr>
        <w:t>The Plan's investments were held by Putnam Fiduciary Trust Company (the Trustee) as of December 31, 1996. Plan investments are invested in the following investment funds:</w:t>
      </w:r>
    </w:p>
    <w:p>
      <w:pPr>
        <w:spacing w:after="0" w:line="174" w:lineRule="exact"/>
        <w:rPr>
          <w:sz w:val="20"/>
          <w:szCs w:val="20"/>
          <w:color w:val="auto"/>
        </w:rPr>
      </w:pPr>
    </w:p>
    <w:p>
      <w:pPr>
        <w:ind w:left="700" w:right="3319" w:hanging="438"/>
        <w:spacing w:after="0" w:line="256" w:lineRule="auto"/>
        <w:tabs>
          <w:tab w:leader="none" w:pos="70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Stable Value Fund is invested in investment contracts with insurance companies, major banks, and other financial institutions. The fund's holdings may also include U.S. government agency mortgage-backed securities, AAA-rated asset-backed securities, high-quality debt securities, and money market investments.</w:t>
      </w:r>
    </w:p>
    <w:p>
      <w:pPr>
        <w:spacing w:after="0" w:line="163" w:lineRule="exact"/>
        <w:rPr>
          <w:rFonts w:ascii="Courier New" w:cs="Courier New" w:eastAsia="Courier New" w:hAnsi="Courier New"/>
          <w:sz w:val="14"/>
          <w:szCs w:val="14"/>
          <w:color w:val="auto"/>
        </w:rPr>
      </w:pPr>
    </w:p>
    <w:p>
      <w:pPr>
        <w:ind w:left="700" w:right="3579" w:hanging="438"/>
        <w:spacing w:after="0" w:line="234"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Growth and Income Fund is invested in common stock of companies with current income and capital growth.</w:t>
      </w:r>
    </w:p>
    <w:p>
      <w:pPr>
        <w:spacing w:after="0" w:line="173" w:lineRule="exact"/>
        <w:rPr>
          <w:rFonts w:ascii="Courier New" w:cs="Courier New" w:eastAsia="Courier New" w:hAnsi="Courier New"/>
          <w:sz w:val="15"/>
          <w:szCs w:val="15"/>
          <w:color w:val="auto"/>
        </w:rPr>
      </w:pPr>
    </w:p>
    <w:p>
      <w:pPr>
        <w:ind w:left="700" w:right="3239" w:hanging="438"/>
        <w:spacing w:after="0" w:line="23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Asset Allocation Fund (Growth Portfolio) is invested in approximately 80% equity securities (primarily common stock) and 20% debt securities.</w:t>
      </w:r>
    </w:p>
    <w:p>
      <w:pPr>
        <w:spacing w:after="0" w:line="173" w:lineRule="exact"/>
        <w:rPr>
          <w:rFonts w:ascii="Courier New" w:cs="Courier New" w:eastAsia="Courier New" w:hAnsi="Courier New"/>
          <w:sz w:val="15"/>
          <w:szCs w:val="15"/>
          <w:color w:val="auto"/>
        </w:rPr>
      </w:pPr>
    </w:p>
    <w:p>
      <w:pPr>
        <w:jc w:val="both"/>
        <w:ind w:left="700" w:right="3239" w:hanging="438"/>
        <w:spacing w:after="0" w:line="23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Asset Allocation Fund (Balanced Portfolio) is invested in approximately 65% equity securities (primarily common stock) and 35% debt securities.</w:t>
      </w:r>
    </w:p>
    <w:p>
      <w:pPr>
        <w:spacing w:after="0" w:line="173" w:lineRule="exact"/>
        <w:rPr>
          <w:rFonts w:ascii="Courier New" w:cs="Courier New" w:eastAsia="Courier New" w:hAnsi="Courier New"/>
          <w:sz w:val="15"/>
          <w:szCs w:val="15"/>
          <w:color w:val="auto"/>
        </w:rPr>
      </w:pPr>
    </w:p>
    <w:p>
      <w:pPr>
        <w:ind w:left="700" w:right="3499" w:hanging="438"/>
        <w:spacing w:after="0" w:line="23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Asset Allocation Fund (Conservative Portfolio) is invested in approximately 35% equity securities (primarily common stock) and 65% debt securities.</w:t>
      </w:r>
    </w:p>
    <w:p>
      <w:pPr>
        <w:spacing w:after="0" w:line="173" w:lineRule="exact"/>
        <w:rPr>
          <w:rFonts w:ascii="Courier New" w:cs="Courier New" w:eastAsia="Courier New" w:hAnsi="Courier New"/>
          <w:sz w:val="15"/>
          <w:szCs w:val="15"/>
          <w:color w:val="auto"/>
        </w:rPr>
      </w:pPr>
    </w:p>
    <w:p>
      <w:pPr>
        <w:ind w:left="700" w:right="3679" w:hanging="438"/>
        <w:spacing w:after="0" w:line="234"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Overseas Growth Fund is invested primarily in equity securities of companies located outside North America.</w:t>
      </w:r>
    </w:p>
    <w:p>
      <w:pPr>
        <w:spacing w:after="0" w:line="173" w:lineRule="exact"/>
        <w:rPr>
          <w:rFonts w:ascii="Courier New" w:cs="Courier New" w:eastAsia="Courier New" w:hAnsi="Courier New"/>
          <w:sz w:val="15"/>
          <w:szCs w:val="15"/>
          <w:color w:val="auto"/>
        </w:rPr>
      </w:pPr>
    </w:p>
    <w:p>
      <w:pPr>
        <w:ind w:left="700" w:right="3499" w:hanging="438"/>
        <w:spacing w:after="0" w:line="235" w:lineRule="auto"/>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Putnam Voyager Fund is invested primarily in common stocks of small to medium sized companies that have the potential for long-term capital appreciation.</w:t>
      </w:r>
    </w:p>
    <w:p>
      <w:pPr>
        <w:spacing w:after="0" w:line="167" w:lineRule="exact"/>
        <w:rPr>
          <w:rFonts w:ascii="Courier New" w:cs="Courier New" w:eastAsia="Courier New" w:hAnsi="Courier New"/>
          <w:sz w:val="15"/>
          <w:szCs w:val="15"/>
          <w:color w:val="auto"/>
        </w:rPr>
      </w:pPr>
    </w:p>
    <w:p>
      <w:pPr>
        <w:ind w:left="700" w:hanging="438"/>
        <w:spacing w:after="0"/>
        <w:tabs>
          <w:tab w:leader="none" w:pos="7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Toro Company's common stock.</w:t>
      </w:r>
    </w:p>
    <w:p>
      <w:pPr>
        <w:spacing w:after="0" w:line="173" w:lineRule="exact"/>
        <w:rPr>
          <w:sz w:val="20"/>
          <w:szCs w:val="20"/>
          <w:color w:val="auto"/>
        </w:rPr>
      </w:pPr>
    </w:p>
    <w:p>
      <w:pPr>
        <w:ind w:left="260" w:right="3579" w:hanging="261"/>
        <w:spacing w:after="0" w:line="235" w:lineRule="auto"/>
        <w:rPr>
          <w:sz w:val="20"/>
          <w:szCs w:val="20"/>
          <w:color w:val="auto"/>
        </w:rPr>
      </w:pPr>
      <w:r>
        <w:rPr>
          <w:rFonts w:ascii="Courier New" w:cs="Courier New" w:eastAsia="Courier New" w:hAnsi="Courier New"/>
          <w:sz w:val="15"/>
          <w:szCs w:val="15"/>
          <w:color w:val="auto"/>
        </w:rPr>
        <w:t>The Plan's share of net investment income from the master trust is determined by the Trustee based on the ratio of the fair value of the Plan's equity in the investment funds to the total net assets of the investment fund at the beginning of the plan year.</w:t>
      </w:r>
    </w:p>
    <w:p>
      <w:pPr>
        <w:spacing w:after="0" w:line="175" w:lineRule="exact"/>
        <w:rPr>
          <w:sz w:val="20"/>
          <w:szCs w:val="20"/>
          <w:color w:val="auto"/>
        </w:rPr>
      </w:pPr>
    </w:p>
    <w:p>
      <w:pPr>
        <w:ind w:left="260" w:right="3399" w:hanging="261"/>
        <w:spacing w:after="0" w:line="235" w:lineRule="auto"/>
        <w:rPr>
          <w:sz w:val="20"/>
          <w:szCs w:val="20"/>
          <w:color w:val="auto"/>
        </w:rPr>
      </w:pPr>
      <w:r>
        <w:rPr>
          <w:rFonts w:ascii="Courier New" w:cs="Courier New" w:eastAsia="Courier New" w:hAnsi="Courier New"/>
          <w:sz w:val="15"/>
          <w:szCs w:val="15"/>
          <w:color w:val="auto"/>
        </w:rPr>
        <w:t>The investment securities are stated at market values based upon published quotations or, in the absence of available quotations, at fair values determined by the Trustee. Purchases and sales of securities are recorded on a trade-date basis.</w:t>
      </w:r>
    </w:p>
    <w:p>
      <w:pPr>
        <w:spacing w:after="0" w:line="175" w:lineRule="exact"/>
        <w:rPr>
          <w:sz w:val="20"/>
          <w:szCs w:val="20"/>
          <w:color w:val="auto"/>
        </w:rPr>
      </w:pPr>
    </w:p>
    <w:p>
      <w:pPr>
        <w:ind w:left="260" w:right="3319" w:hanging="261"/>
        <w:spacing w:after="0" w:line="236" w:lineRule="auto"/>
        <w:rPr>
          <w:sz w:val="20"/>
          <w:szCs w:val="20"/>
          <w:color w:val="auto"/>
        </w:rPr>
      </w:pPr>
      <w:r>
        <w:rPr>
          <w:rFonts w:ascii="Courier New" w:cs="Courier New" w:eastAsia="Courier New" w:hAnsi="Courier New"/>
          <w:sz w:val="15"/>
          <w:szCs w:val="15"/>
          <w:color w:val="auto"/>
        </w:rPr>
        <w:t>The short term securities of the Toro Stable Value Fund are stated at cost, which approximates market. The Toro Stable Value Fund includes various fully benefit responsive investment contracts. These contracts are valued in the Plan at contract value, which includes cost plus accrued interest. These contracts have stated interest rates ranging from 5.41% to 8.98% and maturities ranging from the year 1997 through the year 2001.</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617" w:right="1440" w:bottom="1440" w:gutter="0" w:footer="0" w:header="0"/>
        </w:sectPr>
      </w:pPr>
    </w:p>
    <w:bookmarkStart w:id="10" w:name="page11"/>
    <w:bookmarkEnd w:id="10"/>
    <w:p>
      <w:pPr>
        <w:ind w:left="3080"/>
        <w:spacing w:after="0"/>
        <w:rPr>
          <w:sz w:val="20"/>
          <w:szCs w:val="20"/>
          <w:color w:val="auto"/>
        </w:rPr>
      </w:pPr>
      <w:r>
        <w:rPr>
          <w:rFonts w:ascii="Courier New" w:cs="Courier New" w:eastAsia="Courier New" w:hAnsi="Courier New"/>
          <w:sz w:val="15"/>
          <w:szCs w:val="15"/>
          <w:color w:val="auto"/>
        </w:rPr>
        <w:t>THE TORO COMPANY</w:t>
      </w:r>
    </w:p>
    <w:p>
      <w:pPr>
        <w:ind w:left="254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ESTIMATES</w:t>
      </w:r>
    </w:p>
    <w:p>
      <w:pPr>
        <w:spacing w:after="0" w:line="173" w:lineRule="exact"/>
        <w:rPr>
          <w:sz w:val="20"/>
          <w:szCs w:val="20"/>
          <w:color w:val="auto"/>
        </w:rPr>
      </w:pPr>
    </w:p>
    <w:p>
      <w:pPr>
        <w:ind w:left="620" w:right="3319" w:hanging="261"/>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PLAN</w:t>
      </w:r>
    </w:p>
    <w:p>
      <w:pPr>
        <w:spacing w:after="0" w:line="172" w:lineRule="exact"/>
        <w:rPr>
          <w:rFonts w:ascii="Courier New" w:cs="Courier New" w:eastAsia="Courier New" w:hAnsi="Courier New"/>
          <w:sz w:val="15"/>
          <w:szCs w:val="15"/>
          <w:color w:val="auto"/>
        </w:rPr>
      </w:pPr>
    </w:p>
    <w:p>
      <w:pPr>
        <w:ind w:left="620" w:right="357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profit sharing plan sponsored by the Company. The Company, as administrator of the Plan, absorbs the major portion of administrative costs and trustee fees of the Plan.</w:t>
      </w:r>
    </w:p>
    <w:p>
      <w:pPr>
        <w:spacing w:after="0" w:line="173" w:lineRule="exact"/>
        <w:rPr>
          <w:rFonts w:ascii="Courier New" w:cs="Courier New" w:eastAsia="Courier New" w:hAnsi="Courier New"/>
          <w:sz w:val="15"/>
          <w:szCs w:val="15"/>
          <w:color w:val="auto"/>
        </w:rPr>
      </w:pPr>
    </w:p>
    <w:p>
      <w:pPr>
        <w:ind w:left="620" w:right="349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general description of the Plan is contained in the Plan document dated July 20, 1995. Participants should refer to the Plan document for more complete information.</w:t>
      </w:r>
    </w:p>
    <w:p>
      <w:pPr>
        <w:spacing w:after="0" w:line="173" w:lineRule="exact"/>
        <w:rPr>
          <w:rFonts w:ascii="Courier New" w:cs="Courier New" w:eastAsia="Courier New" w:hAnsi="Courier New"/>
          <w:sz w:val="15"/>
          <w:szCs w:val="15"/>
          <w:color w:val="auto"/>
        </w:rPr>
      </w:pPr>
    </w:p>
    <w:p>
      <w:pPr>
        <w:ind w:left="62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 are made under control of the plan administrator. Unallocated contributions represent contributions receivable which have not yet been allocated to the above-mentioned funds in the participants' predetermined allocation percentages. The allocation of the participants' and Company contributions to these investment funds is selected by the participants.</w:t>
      </w:r>
    </w:p>
    <w:p>
      <w:pPr>
        <w:spacing w:after="0" w:line="174" w:lineRule="exact"/>
        <w:rPr>
          <w:rFonts w:ascii="Courier New" w:cs="Courier New" w:eastAsia="Courier New" w:hAnsi="Courier New"/>
          <w:sz w:val="15"/>
          <w:szCs w:val="15"/>
          <w:color w:val="auto"/>
        </w:rPr>
      </w:pPr>
    </w:p>
    <w:p>
      <w:pPr>
        <w:ind w:left="62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payments and transfers of participants' interests are made under control of the Trustee. Company matching contributions, together with income attributable thereto, will vest at the rate of 20% after one year of vesting service, with an additional 20% being accumulated annually thereafter until the participant is 100% vested.</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CONTRIBUTIONS</w:t>
      </w:r>
    </w:p>
    <w:p>
      <w:pPr>
        <w:spacing w:after="0" w:line="172" w:lineRule="exact"/>
        <w:rPr>
          <w:rFonts w:ascii="Courier New" w:cs="Courier New" w:eastAsia="Courier New" w:hAnsi="Courier New"/>
          <w:sz w:val="15"/>
          <w:szCs w:val="15"/>
          <w:color w:val="auto"/>
        </w:rPr>
      </w:pPr>
    </w:p>
    <w:p>
      <w:pPr>
        <w:ind w:left="620" w:right="331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two percent of the participant's total compensation. The contribution formula specifies a minimum annual contribution to the Plan. The Company contribution is allocated to participants based on compensation earned during the plan year. Investment income is allocated based on participants' account balances.</w:t>
      </w:r>
    </w:p>
    <w:p>
      <w:pPr>
        <w:spacing w:after="0" w:line="164" w:lineRule="exact"/>
        <w:rPr>
          <w:rFonts w:ascii="Courier New" w:cs="Courier New" w:eastAsia="Courier New" w:hAnsi="Courier New"/>
          <w:sz w:val="15"/>
          <w:szCs w:val="15"/>
          <w:color w:val="auto"/>
        </w:rPr>
      </w:pPr>
    </w:p>
    <w:p>
      <w:pPr>
        <w:ind w:left="620" w:right="3579" w:hanging="262"/>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contributions consist of salary reduction elections under a 401(k) feature and rollover funds from other qualified plans.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11" w:name="page12"/>
    <w:bookmarkEnd w:id="11"/>
    <w:p>
      <w:pPr>
        <w:ind w:left="3080"/>
        <w:spacing w:after="0"/>
        <w:rPr>
          <w:sz w:val="20"/>
          <w:szCs w:val="20"/>
          <w:color w:val="auto"/>
        </w:rPr>
      </w:pPr>
      <w:r>
        <w:rPr>
          <w:rFonts w:ascii="Courier New" w:cs="Courier New" w:eastAsia="Courier New" w:hAnsi="Courier New"/>
          <w:sz w:val="15"/>
          <w:szCs w:val="15"/>
          <w:color w:val="auto"/>
        </w:rPr>
        <w:t>THE TORO COMPANY</w:t>
      </w:r>
    </w:p>
    <w:p>
      <w:pPr>
        <w:ind w:left="254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335"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PARTY-IN-INTEREST TRANSACTIONS</w:t>
      </w:r>
    </w:p>
    <w:p>
      <w:pPr>
        <w:spacing w:after="0" w:line="17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Putnam Fiduciary Trust Company and The Toro Company are parties-in-interest</w:t>
      </w:r>
    </w:p>
    <w:p>
      <w:pPr>
        <w:spacing w:after="0" w:line="9" w:lineRule="exact"/>
        <w:rPr>
          <w:rFonts w:ascii="Courier New" w:cs="Courier New" w:eastAsia="Courier New" w:hAnsi="Courier New"/>
          <w:sz w:val="15"/>
          <w:szCs w:val="15"/>
          <w:color w:val="auto"/>
        </w:rPr>
      </w:pPr>
    </w:p>
    <w:p>
      <w:pPr>
        <w:ind w:left="62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15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TERMINATION</w:t>
      </w:r>
    </w:p>
    <w:p>
      <w:pPr>
        <w:spacing w:after="0" w:line="172" w:lineRule="exact"/>
        <w:rPr>
          <w:rFonts w:ascii="Courier New" w:cs="Courier New" w:eastAsia="Courier New" w:hAnsi="Courier New"/>
          <w:sz w:val="15"/>
          <w:szCs w:val="15"/>
          <w:color w:val="auto"/>
        </w:rPr>
      </w:pPr>
    </w:p>
    <w:p>
      <w:pPr>
        <w:ind w:left="620" w:right="357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167"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2" w:lineRule="exact"/>
        <w:rPr>
          <w:rFonts w:ascii="Courier New" w:cs="Courier New" w:eastAsia="Courier New" w:hAnsi="Courier New"/>
          <w:sz w:val="15"/>
          <w:szCs w:val="15"/>
          <w:color w:val="auto"/>
        </w:rPr>
      </w:pPr>
    </w:p>
    <w:p>
      <w:pPr>
        <w:ind w:left="62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174" w:lineRule="exact"/>
        <w:rPr>
          <w:rFonts w:ascii="Courier New" w:cs="Courier New" w:eastAsia="Courier New" w:hAnsi="Courier New"/>
          <w:sz w:val="15"/>
          <w:szCs w:val="15"/>
          <w:color w:val="auto"/>
        </w:rPr>
      </w:pPr>
    </w:p>
    <w:p>
      <w:pPr>
        <w:ind w:left="620" w:right="3319" w:hanging="262"/>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Guaranteed investment contracts of the Toro Stable Value Fund of $2,132,761 issued by Confederation Life Insurance Company (CL) were held as of December 31, 1996. On August 12, 1994, CL was placed under court supervised rehabilitation. Beginning August 1, 1995, payments from the CL annuity contracts have been suspended pending further court action until such time as the fair market value of the CL annuity contracts can be determined. The action suspending distributions was consistent with procedures published by the Internal Revenue Service. Effective August 1, 1995, a loan agreement has been established between the Company and the Plan providing the Company to fund payments to plan participants (or their beneficiaries) for 100% of the interests of plan participants in the CL annuity contracts based on the valuation of the CL annuity contracts as of August 11, 1994.</w:t>
      </w:r>
    </w:p>
    <w:p>
      <w:pPr>
        <w:spacing w:after="0" w:line="164" w:lineRule="exact"/>
        <w:rPr>
          <w:rFonts w:ascii="Courier New" w:cs="Courier New" w:eastAsia="Courier New" w:hAnsi="Courier New"/>
          <w:sz w:val="15"/>
          <w:szCs w:val="15"/>
          <w:color w:val="auto"/>
        </w:rPr>
      </w:pPr>
    </w:p>
    <w:p>
      <w:pPr>
        <w:ind w:left="620" w:right="339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CL annuity contracts are recorded in the accompanying financial statements and schedule at cost plus accrued interest as of August 11, 1994. No earnings have been recorded in the Plan's financial statements since August 11, 1994 related to these contracts.</w:t>
      </w:r>
    </w:p>
    <w:p>
      <w:pPr>
        <w:spacing w:after="0" w:line="175" w:lineRule="exact"/>
        <w:rPr>
          <w:rFonts w:ascii="Courier New" w:cs="Courier New" w:eastAsia="Courier New" w:hAnsi="Courier New"/>
          <w:sz w:val="15"/>
          <w:szCs w:val="15"/>
          <w:color w:val="auto"/>
        </w:rPr>
      </w:pPr>
    </w:p>
    <w:p>
      <w:pPr>
        <w:ind w:left="620" w:right="3319" w:hanging="262"/>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report, the Company is not aware of any principal loss associated with these investments. Accordingly, no provision for loss on the CL annuity contracts has been recognized in the accompanying financial statements.</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2" w:name="page13"/>
    <w:bookmarkEnd w:id="12"/>
    <w:p>
      <w:pPr>
        <w:ind w:left="2720"/>
        <w:spacing w:after="0"/>
        <w:rPr>
          <w:sz w:val="20"/>
          <w:szCs w:val="20"/>
          <w:color w:val="auto"/>
        </w:rPr>
      </w:pPr>
      <w:r>
        <w:rPr>
          <w:rFonts w:ascii="Courier New" w:cs="Courier New" w:eastAsia="Courier New" w:hAnsi="Courier New"/>
          <w:sz w:val="15"/>
          <w:szCs w:val="15"/>
          <w:color w:val="auto"/>
        </w:rPr>
        <w:t>THE TORO COMPANY</w:t>
      </w:r>
    </w:p>
    <w:p>
      <w:pPr>
        <w:ind w:left="218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342" w:lineRule="exact"/>
        <w:rPr>
          <w:sz w:val="20"/>
          <w:szCs w:val="20"/>
          <w:color w:val="auto"/>
        </w:rPr>
      </w:pPr>
    </w:p>
    <w:p>
      <w:pPr>
        <w:ind w:left="260" w:right="4199" w:hanging="261"/>
        <w:spacing w:after="0" w:line="234" w:lineRule="auto"/>
        <w:rPr>
          <w:sz w:val="20"/>
          <w:szCs w:val="20"/>
          <w:color w:val="auto"/>
        </w:rPr>
      </w:pPr>
      <w:r>
        <w:rPr>
          <w:rFonts w:ascii="Courier New" w:cs="Courier New" w:eastAsia="Courier New" w:hAnsi="Courier New"/>
          <w:sz w:val="15"/>
          <w:szCs w:val="15"/>
          <w:color w:val="auto"/>
        </w:rPr>
        <w:t>The net assets available for benefits of the master trust totaled $38,396,941 at December 31,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assets available for benefits of the master trust at December 31,</w:t>
      </w:r>
    </w:p>
    <w:p>
      <w:pPr>
        <w:ind w:left="260"/>
        <w:spacing w:after="0" w:line="237" w:lineRule="auto"/>
        <w:rPr>
          <w:sz w:val="20"/>
          <w:szCs w:val="20"/>
          <w:color w:val="auto"/>
        </w:rPr>
      </w:pPr>
      <w:r>
        <w:rPr>
          <w:rFonts w:ascii="Courier New" w:cs="Courier New" w:eastAsia="Courier New" w:hAnsi="Courier New"/>
          <w:sz w:val="15"/>
          <w:szCs w:val="15"/>
          <w:color w:val="auto"/>
        </w:rPr>
        <w:t>1995 were as follows:</w:t>
      </w:r>
    </w:p>
    <w:p>
      <w:pPr>
        <w:spacing w:after="0" w:line="335"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Toro Stable</w:t>
      </w:r>
    </w:p>
    <w:p>
      <w:pPr>
        <w:jc w:val="right"/>
        <w:ind w:right="4279"/>
        <w:spacing w:after="0" w:line="237" w:lineRule="auto"/>
        <w:rPr>
          <w:sz w:val="20"/>
          <w:szCs w:val="20"/>
          <w:color w:val="auto"/>
        </w:rPr>
      </w:pPr>
      <w:r>
        <w:rPr>
          <w:rFonts w:ascii="Courier New" w:cs="Courier New" w:eastAsia="Courier New" w:hAnsi="Courier New"/>
          <w:sz w:val="15"/>
          <w:szCs w:val="15"/>
          <w:color w:val="auto"/>
        </w:rPr>
        <w:t>Value Fund</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5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580" w:type="dxa"/>
            <w:vAlign w:val="bottom"/>
          </w:tcPr>
          <w:p>
            <w:pPr>
              <w:spacing w:after="0"/>
              <w:rPr>
                <w:sz w:val="14"/>
                <w:szCs w:val="14"/>
                <w:color w:val="auto"/>
              </w:rPr>
            </w:pPr>
          </w:p>
        </w:tc>
      </w:tr>
      <w:tr>
        <w:trPr>
          <w:trHeight w:val="168"/>
        </w:trPr>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Short term investment funds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$824,163</w:t>
            </w:r>
          </w:p>
        </w:tc>
      </w:tr>
      <w:tr>
        <w:trPr>
          <w:trHeight w:val="168"/>
        </w:trPr>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Separate accounts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4,502,914</w:t>
            </w:r>
          </w:p>
        </w:tc>
      </w:tr>
      <w:tr>
        <w:trPr>
          <w:trHeight w:val="168"/>
        </w:trPr>
        <w:tc>
          <w:tcPr>
            <w:tcW w:w="3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Guaranteed investment contracts</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35,200,461</w:t>
            </w: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assets available for benefits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$40,527,538</w:t>
            </w: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260" w:right="3579" w:hanging="261"/>
        <w:spacing w:after="0" w:line="234" w:lineRule="auto"/>
        <w:rPr>
          <w:sz w:val="20"/>
          <w:szCs w:val="20"/>
          <w:color w:val="auto"/>
        </w:rPr>
      </w:pPr>
      <w:r>
        <w:rPr>
          <w:rFonts w:ascii="Courier New" w:cs="Courier New" w:eastAsia="Courier New" w:hAnsi="Courier New"/>
          <w:sz w:val="15"/>
          <w:szCs w:val="15"/>
          <w:color w:val="auto"/>
        </w:rPr>
        <w:t>The changes in net assets available for benefits of the master trust for the year ended December 31, 1996 were as follows:</w:t>
      </w:r>
    </w:p>
    <w:p>
      <w:pPr>
        <w:spacing w:after="0" w:line="167"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Toro Stable</w:t>
      </w:r>
    </w:p>
    <w:p>
      <w:pPr>
        <w:jc w:val="right"/>
        <w:ind w:right="4279"/>
        <w:spacing w:after="0" w:line="237" w:lineRule="auto"/>
        <w:rPr>
          <w:sz w:val="20"/>
          <w:szCs w:val="20"/>
          <w:color w:val="auto"/>
        </w:rPr>
      </w:pPr>
      <w:r>
        <w:rPr>
          <w:rFonts w:ascii="Courier New" w:cs="Courier New" w:eastAsia="Courier New" w:hAnsi="Courier New"/>
          <w:sz w:val="15"/>
          <w:szCs w:val="15"/>
          <w:color w:val="auto"/>
        </w:rPr>
        <w:t>Value Fund</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Investment income (interest and dividends)</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$2,379,455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by participating plans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1,085,723</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Withdrawals by participating plans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(5,595,775)</w:t>
            </w:r>
          </w:p>
        </w:tc>
      </w:tr>
      <w:tr>
        <w:trPr>
          <w:trHeight w:val="168"/>
        </w:trPr>
        <w:tc>
          <w:tcPr>
            <w:tcW w:w="5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Decrease in net assets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(2,130,597)</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300" w:type="dxa"/>
            <w:vAlign w:val="bottom"/>
          </w:tcPr>
          <w:p>
            <w:pPr>
              <w:spacing w:after="0"/>
              <w:rPr>
                <w:sz w:val="24"/>
                <w:szCs w:val="24"/>
                <w:color w:val="auto"/>
              </w:rPr>
            </w:pPr>
          </w:p>
        </w:tc>
      </w:tr>
      <w:tr>
        <w:trPr>
          <w:trHeight w:val="168"/>
        </w:trPr>
        <w:tc>
          <w:tcPr>
            <w:tcW w:w="39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40,527,538</w:t>
            </w:r>
          </w:p>
        </w:tc>
      </w:tr>
      <w:tr>
        <w:trPr>
          <w:trHeight w:val="168"/>
        </w:trPr>
        <w:tc>
          <w:tcPr>
            <w:tcW w:w="52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40" w:type="dxa"/>
            <w:vAlign w:val="bottom"/>
          </w:tcPr>
          <w:p>
            <w:pPr>
              <w:ind w:left="260"/>
              <w:spacing w:after="0"/>
              <w:rPr>
                <w:sz w:val="20"/>
                <w:szCs w:val="20"/>
                <w:color w:val="auto"/>
              </w:rPr>
            </w:pPr>
            <w:r>
              <w:rPr>
                <w:rFonts w:ascii="Courier New" w:cs="Courier New" w:eastAsia="Courier New" w:hAnsi="Courier New"/>
                <w:sz w:val="15"/>
                <w:szCs w:val="15"/>
                <w:color w:val="auto"/>
              </w:rPr>
              <w:t>End of period year</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$38,396,941</w:t>
            </w: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(Continued)</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879"/>
          </w:cols>
          <w:pgMar w:left="580" w:top="617" w:right="1440" w:bottom="1440" w:gutter="0" w:footer="0" w:header="0"/>
        </w:sectPr>
      </w:pPr>
    </w:p>
    <w:bookmarkStart w:id="13" w:name="page14"/>
    <w:bookmarkEnd w:id="13"/>
    <w:p>
      <w:pPr>
        <w:ind w:left="3080"/>
        <w:spacing w:after="0"/>
        <w:rPr>
          <w:sz w:val="20"/>
          <w:szCs w:val="20"/>
          <w:color w:val="auto"/>
        </w:rPr>
      </w:pPr>
      <w:r>
        <w:rPr>
          <w:rFonts w:ascii="Courier New" w:cs="Courier New" w:eastAsia="Courier New" w:hAnsi="Courier New"/>
          <w:sz w:val="15"/>
          <w:szCs w:val="15"/>
          <w:color w:val="auto"/>
        </w:rPr>
        <w:t>THE TORO COMPANY</w:t>
      </w:r>
    </w:p>
    <w:p>
      <w:pPr>
        <w:ind w:left="254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342" w:lineRule="exact"/>
        <w:rPr>
          <w:sz w:val="20"/>
          <w:szCs w:val="20"/>
          <w:color w:val="auto"/>
        </w:rPr>
      </w:pPr>
    </w:p>
    <w:p>
      <w:pPr>
        <w:ind w:left="620" w:right="3579" w:hanging="261"/>
        <w:spacing w:after="0" w:line="234" w:lineRule="auto"/>
        <w:rPr>
          <w:sz w:val="20"/>
          <w:szCs w:val="20"/>
          <w:color w:val="auto"/>
        </w:rPr>
      </w:pPr>
      <w:r>
        <w:rPr>
          <w:rFonts w:ascii="Courier New" w:cs="Courier New" w:eastAsia="Courier New" w:hAnsi="Courier New"/>
          <w:sz w:val="15"/>
          <w:szCs w:val="15"/>
          <w:color w:val="auto"/>
        </w:rPr>
        <w:t>The changes in net assets available for benefits of the master trust for the year ended December 31, 1995 were as follows:</w:t>
      </w:r>
    </w:p>
    <w:p>
      <w:pPr>
        <w:spacing w:after="0" w:line="200" w:lineRule="exact"/>
        <w:rPr>
          <w:sz w:val="20"/>
          <w:szCs w:val="20"/>
          <w:color w:val="auto"/>
        </w:rPr>
      </w:pPr>
    </w:p>
    <w:p>
      <w:pPr>
        <w:spacing w:after="0" w:line="303"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Toro Stable</w:t>
      </w:r>
    </w:p>
    <w:p>
      <w:pPr>
        <w:jc w:val="right"/>
        <w:ind w:right="4279"/>
        <w:spacing w:after="0" w:line="237" w:lineRule="auto"/>
        <w:rPr>
          <w:sz w:val="20"/>
          <w:szCs w:val="20"/>
          <w:color w:val="auto"/>
        </w:rPr>
      </w:pPr>
      <w:r>
        <w:rPr>
          <w:rFonts w:ascii="Courier New" w:cs="Courier New" w:eastAsia="Courier New" w:hAnsi="Courier New"/>
          <w:sz w:val="15"/>
          <w:szCs w:val="15"/>
          <w:color w:val="auto"/>
        </w:rPr>
        <w:t>Value Fund</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Investment income (interest and dividends)</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$1,251,849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Deposits by participating plans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3,288,117</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Withdrawals by participating plans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(42,581,535)</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tbl>
      <w:tblPr>
        <w:tblLayout w:type="fixed"/>
        <w:tblInd w:w="800" w:type="dxa"/>
        <w:tblCellMar>
          <w:top w:w="0" w:type="dxa"/>
          <w:left w:w="0" w:type="dxa"/>
          <w:bottom w:w="0" w:type="dxa"/>
          <w:right w:w="0" w:type="dxa"/>
        </w:tblCellMar>
      </w:tblPr>
      <w:tr>
        <w:trPr>
          <w:trHeight w:val="169"/>
        </w:trPr>
        <w:tc>
          <w:tcPr>
            <w:tcW w:w="3580" w:type="dxa"/>
            <w:vAlign w:val="bottom"/>
          </w:tcPr>
          <w:p>
            <w:pPr>
              <w:ind w:left="260"/>
              <w:spacing w:after="0" w:line="169" w:lineRule="exact"/>
              <w:rPr>
                <w:sz w:val="20"/>
                <w:szCs w:val="20"/>
                <w:color w:val="auto"/>
              </w:rPr>
            </w:pPr>
            <w:r>
              <w:rPr>
                <w:rFonts w:ascii="Courier New" w:cs="Courier New" w:eastAsia="Courier New" w:hAnsi="Courier New"/>
                <w:sz w:val="15"/>
                <w:szCs w:val="15"/>
                <w:color w:val="auto"/>
              </w:rPr>
              <w:t>Decrease in net assets</w:t>
            </w:r>
          </w:p>
        </w:tc>
        <w:tc>
          <w:tcPr>
            <w:tcW w:w="166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(38,041,569)</w:t>
            </w:r>
          </w:p>
        </w:tc>
      </w:tr>
      <w:tr>
        <w:trPr>
          <w:trHeight w:val="336"/>
        </w:trPr>
        <w:tc>
          <w:tcPr>
            <w:tcW w:w="3580" w:type="dxa"/>
            <w:vAlign w:val="bottom"/>
          </w:tcPr>
          <w:p>
            <w:pPr>
              <w:spacing w:after="0"/>
              <w:rPr>
                <w:sz w:val="20"/>
                <w:szCs w:val="20"/>
                <w:color w:val="auto"/>
              </w:rPr>
            </w:pPr>
            <w:r>
              <w:rPr>
                <w:rFonts w:ascii="Courier New" w:cs="Courier New" w:eastAsia="Courier New" w:hAnsi="Courier New"/>
                <w:sz w:val="15"/>
                <w:szCs w:val="15"/>
                <w:color w:val="auto"/>
              </w:rPr>
              <w:t>Net assets available for benefits:</w:t>
            </w:r>
          </w:p>
        </w:tc>
        <w:tc>
          <w:tcPr>
            <w:tcW w:w="1660" w:type="dxa"/>
            <w:vAlign w:val="bottom"/>
          </w:tcPr>
          <w:p>
            <w:pPr>
              <w:spacing w:after="0"/>
              <w:rPr>
                <w:sz w:val="24"/>
                <w:szCs w:val="24"/>
                <w:color w:val="auto"/>
              </w:rPr>
            </w:pPr>
          </w:p>
        </w:tc>
      </w:tr>
      <w:tr>
        <w:trPr>
          <w:trHeight w:val="168"/>
        </w:trPr>
        <w:tc>
          <w:tcPr>
            <w:tcW w:w="35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78,569,107</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End of year</w:t>
            </w:r>
          </w:p>
        </w:tc>
        <w:tc>
          <w:tcPr>
            <w:tcW w:w="2460" w:type="dxa"/>
            <w:vAlign w:val="bottom"/>
          </w:tcPr>
          <w:p>
            <w:pPr>
              <w:jc w:val="right"/>
              <w:spacing w:after="0"/>
              <w:rPr>
                <w:sz w:val="20"/>
                <w:szCs w:val="20"/>
                <w:color w:val="auto"/>
              </w:rPr>
            </w:pPr>
            <w:r>
              <w:rPr>
                <w:rFonts w:ascii="Courier New" w:cs="Courier New" w:eastAsia="Courier New" w:hAnsi="Courier New"/>
                <w:sz w:val="15"/>
                <w:szCs w:val="15"/>
                <w:color w:val="auto"/>
              </w:rPr>
              <w:t>$40,527,538</w:t>
            </w:r>
          </w:p>
        </w:tc>
      </w:tr>
    </w:tbl>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800" w:right="3499" w:hanging="436"/>
        <w:spacing w:after="0" w:line="236" w:lineRule="auto"/>
        <w:rPr>
          <w:sz w:val="20"/>
          <w:szCs w:val="20"/>
          <w:color w:val="auto"/>
        </w:rPr>
      </w:pPr>
      <w:r>
        <w:rPr>
          <w:rFonts w:ascii="Courier New" w:cs="Courier New" w:eastAsia="Courier New" w:hAnsi="Courier New"/>
          <w:sz w:val="15"/>
          <w:szCs w:val="15"/>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97% as of December 31, 1996.</w:t>
      </w:r>
    </w:p>
    <w:p>
      <w:pPr>
        <w:spacing w:after="0" w:line="174" w:lineRule="exact"/>
        <w:rPr>
          <w:sz w:val="20"/>
          <w:szCs w:val="20"/>
          <w:color w:val="auto"/>
        </w:rPr>
      </w:pPr>
    </w:p>
    <w:p>
      <w:pPr>
        <w:ind w:left="800" w:right="3679" w:hanging="436"/>
        <w:spacing w:after="0" w:line="234" w:lineRule="auto"/>
        <w:rPr>
          <w:sz w:val="20"/>
          <w:szCs w:val="20"/>
          <w:color w:val="auto"/>
        </w:rPr>
      </w:pPr>
      <w:r>
        <w:rPr>
          <w:rFonts w:ascii="Courier New" w:cs="Courier New" w:eastAsia="Courier New" w:hAnsi="Courier New"/>
          <w:sz w:val="15"/>
          <w:szCs w:val="15"/>
          <w:color w:val="auto"/>
        </w:rPr>
        <w:t>The following investments represent 5% or more of the Plan's net assets available for plan benefits as of December 31, 1996:</w:t>
      </w:r>
    </w:p>
    <w:p>
      <w:pPr>
        <w:spacing w:after="0" w:line="33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Toro Stable Value Fund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$37,129,761</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Putnam Growth and Income Fund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28,800,695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Putnam Asset Allocation Fund (Balanced Portfolio)</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8,420,008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Putnam Voyager Fund</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27,832,278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Toro Company common stock</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17,485,950</w:t>
            </w:r>
          </w:p>
        </w:tc>
      </w:tr>
    </w:tbl>
    <w:p>
      <w:pPr>
        <w:spacing w:after="0" w:line="335"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w:t>
      </w:r>
    </w:p>
    <w:p>
      <w:pPr>
        <w:spacing w:after="0" w:line="172" w:lineRule="exact"/>
        <w:rPr>
          <w:rFonts w:ascii="Courier New" w:cs="Courier New" w:eastAsia="Courier New" w:hAnsi="Courier New"/>
          <w:sz w:val="15"/>
          <w:szCs w:val="15"/>
          <w:color w:val="auto"/>
        </w:rPr>
      </w:pPr>
    </w:p>
    <w:p>
      <w:pPr>
        <w:ind w:left="620" w:right="3319" w:hanging="262"/>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33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4" w:name="page15"/>
    <w:bookmarkEnd w:id="14"/>
    <w:p>
      <w:pPr>
        <w:ind w:left="6140"/>
        <w:spacing w:after="0"/>
        <w:rPr>
          <w:sz w:val="20"/>
          <w:szCs w:val="20"/>
          <w:color w:val="auto"/>
        </w:rPr>
      </w:pPr>
      <w:r>
        <w:rPr>
          <w:rFonts w:ascii="Courier New" w:cs="Courier New" w:eastAsia="Courier New" w:hAnsi="Courier New"/>
          <w:sz w:val="15"/>
          <w:szCs w:val="15"/>
          <w:color w:val="auto"/>
        </w:rPr>
        <w:t>SCHEDULE 1</w:t>
      </w:r>
    </w:p>
    <w:p>
      <w:pPr>
        <w:spacing w:after="0" w:line="33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THE TORO COMPANY</w:t>
      </w:r>
    </w:p>
    <w:p>
      <w:pPr>
        <w:ind w:left="2380"/>
        <w:spacing w:after="0" w:line="237" w:lineRule="auto"/>
        <w:rPr>
          <w:sz w:val="20"/>
          <w:szCs w:val="20"/>
          <w:color w:val="auto"/>
        </w:rPr>
      </w:pPr>
      <w:r>
        <w:rPr>
          <w:rFonts w:ascii="Courier New" w:cs="Courier New" w:eastAsia="Courier New" w:hAnsi="Courier New"/>
          <w:sz w:val="15"/>
          <w:szCs w:val="15"/>
          <w:color w:val="auto"/>
        </w:rPr>
        <w:t>INVESTMENT AND SAVINGS PLAN</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Item 27a--Schedule of Assets Held for Investment Purposes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December 31, 1996</w:t>
      </w:r>
    </w:p>
    <w:p>
      <w:pPr>
        <w:spacing w:after="0" w:line="200" w:lineRule="exact"/>
        <w:rPr>
          <w:sz w:val="20"/>
          <w:szCs w:val="20"/>
          <w:color w:val="auto"/>
        </w:rPr>
      </w:pPr>
    </w:p>
    <w:p>
      <w:pPr>
        <w:spacing w:after="0" w:line="303" w:lineRule="exact"/>
        <w:rPr>
          <w:sz w:val="20"/>
          <w:szCs w:val="20"/>
          <w:color w:val="auto"/>
        </w:rPr>
      </w:pPr>
    </w:p>
    <w:p>
      <w:pPr>
        <w:jc w:val="right"/>
        <w:ind w:right="959"/>
        <w:spacing w:after="0"/>
        <w:tabs>
          <w:tab w:leader="none" w:pos="1020" w:val="left"/>
        </w:tabs>
        <w:rPr>
          <w:sz w:val="20"/>
          <w:szCs w:val="20"/>
          <w:color w:val="auto"/>
        </w:rPr>
      </w:pPr>
      <w:r>
        <w:rPr>
          <w:rFonts w:ascii="Courier New" w:cs="Courier New" w:eastAsia="Courier New" w:hAnsi="Courier New"/>
          <w:sz w:val="15"/>
          <w:szCs w:val="15"/>
          <w:color w:val="auto"/>
        </w:rPr>
        <w:t>Face amount</w:t>
      </w:r>
      <w:r>
        <w:rPr>
          <w:sz w:val="20"/>
          <w:szCs w:val="20"/>
          <w:color w:val="auto"/>
        </w:rPr>
        <w:tab/>
      </w:r>
      <w:r>
        <w:rPr>
          <w:rFonts w:ascii="Courier New" w:cs="Courier New" w:eastAsia="Courier New" w:hAnsi="Courier New"/>
          <w:sz w:val="14"/>
          <w:szCs w:val="14"/>
          <w:color w:val="auto"/>
        </w:rPr>
        <w:t>Market</w:t>
      </w:r>
    </w:p>
    <w:p>
      <w:pPr>
        <w:jc w:val="both"/>
        <w:spacing w:after="0"/>
        <w:tabs>
          <w:tab w:leader="none" w:pos="5320" w:val="left"/>
          <w:tab w:leader="none" w:pos="7160" w:val="left"/>
          <w:tab w:leader="none" w:pos="8820" w:val="left"/>
        </w:tabs>
        <w:rPr>
          <w:sz w:val="20"/>
          <w:szCs w:val="20"/>
          <w:color w:val="auto"/>
        </w:rPr>
      </w:pP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or shares</w:t>
      </w:r>
      <w:r>
        <w:rPr>
          <w:sz w:val="20"/>
          <w:szCs w:val="20"/>
          <w:color w:val="auto"/>
        </w:rPr>
        <w:tab/>
      </w:r>
      <w:r>
        <w:rPr>
          <w:rFonts w:ascii="Courier New" w:cs="Courier New" w:eastAsia="Courier New" w:hAnsi="Courier New"/>
          <w:sz w:val="15"/>
          <w:szCs w:val="15"/>
          <w:color w:val="auto"/>
        </w:rPr>
        <w:t>Cost</w:t>
      </w:r>
      <w:r>
        <w:rPr>
          <w:sz w:val="20"/>
          <w:szCs w:val="20"/>
          <w:color w:val="auto"/>
        </w:rPr>
        <w:tab/>
      </w:r>
      <w:r>
        <w:rPr>
          <w:rFonts w:ascii="Courier New" w:cs="Courier New" w:eastAsia="Courier New" w:hAnsi="Courier New"/>
          <w:sz w:val="14"/>
          <w:szCs w:val="14"/>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Toro Stable Value Fund*</w:t>
            </w:r>
          </w:p>
        </w:tc>
        <w:tc>
          <w:tcPr>
            <w:tcW w:w="250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36,048,312</w:t>
            </w:r>
          </w:p>
        </w:tc>
        <w:tc>
          <w:tcPr>
            <w:tcW w:w="1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36,171,281</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37,129,761</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Putnam Growth and Income Fund*</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1,598,263</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25,091,973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28,800,695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Putnam Asset Allocation Fund</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(Growth Portfolio)*</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551,833</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5,459,628</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6,197,085</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Putnam Asset Allocation Fund</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(Balanced Portfolio)*</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802,670</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7,739,733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8,420,008</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Putnam Asset Allocation Fund</w:t>
            </w:r>
          </w:p>
        </w:tc>
        <w:tc>
          <w:tcPr>
            <w:tcW w:w="2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(Conservative Portfolio)*</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442,097</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4,053,325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4,235,289</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Putnam Overseas Growth Fund*</w:t>
            </w:r>
          </w:p>
        </w:tc>
        <w:tc>
          <w:tcPr>
            <w:tcW w:w="250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283,982</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3,698,280</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4,268,244</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rPr>
              <w:t>Putnam Voyager Fund*</w:t>
            </w:r>
          </w:p>
        </w:tc>
        <w:tc>
          <w:tcPr>
            <w:tcW w:w="2500" w:type="dxa"/>
            <w:vAlign w:val="bottom"/>
          </w:tcPr>
          <w:p>
            <w:pPr>
              <w:spacing w:after="0"/>
              <w:rPr>
                <w:sz w:val="14"/>
                <w:szCs w:val="14"/>
                <w:color w:val="auto"/>
              </w:rPr>
            </w:pP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1,726,568</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26,018,927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27,832,278</w:t>
            </w: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Toro Company common stock*</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479,067</w:t>
            </w:r>
          </w:p>
        </w:tc>
        <w:tc>
          <w:tcPr>
            <w:tcW w:w="1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11,647,495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17,485,950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Total investments</w:t>
            </w:r>
          </w:p>
        </w:tc>
        <w:tc>
          <w:tcPr>
            <w:tcW w:w="39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$ 119,880,642</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134,369,310</w:t>
            </w:r>
          </w:p>
        </w:tc>
      </w:tr>
    </w:tbl>
    <w:p>
      <w:pPr>
        <w:spacing w:after="0" w:line="5" w:lineRule="exact"/>
        <w:rPr>
          <w:sz w:val="20"/>
          <w:szCs w:val="20"/>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*Party-in-interest.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15" w:name="page16"/>
    <w:bookmarkEnd w:id="15"/>
    <w:p>
      <w:pPr>
        <w:ind w:left="2460"/>
        <w:spacing w:after="0"/>
        <w:rPr>
          <w:sz w:val="20"/>
          <w:szCs w:val="20"/>
          <w:color w:val="auto"/>
        </w:rPr>
      </w:pPr>
      <w:r>
        <w:rPr>
          <w:rFonts w:ascii="Courier New" w:cs="Courier New" w:eastAsia="Courier New" w:hAnsi="Courier New"/>
          <w:sz w:val="15"/>
          <w:szCs w:val="15"/>
          <w:color w:val="auto"/>
        </w:rPr>
        <w:t>INDEPENDENT AUDITORS' CONSENT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The Toro Company:</w:t>
      </w:r>
    </w:p>
    <w:p>
      <w:pPr>
        <w:spacing w:after="0" w:line="342"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The Toro Company on Forms S-3 and S-8 (File Nos. 333-20901, 33-26268, 33-31586, 33-38308, 33-44668, 33-51563, 33-55550, 33-59563, and 333-4521) of our report dated June 24, 1997, relating to the statements of net assets available for plan benefits of The Toro Company Investment and Savings Plan as of December 31, 1996 and 1995, and the related statements of changes in net assets available for plan benefits for the year ended December 31, 1996 and the five-month period ended December 31, 1995.</w:t>
      </w:r>
    </w:p>
    <w:p>
      <w:pPr>
        <w:spacing w:after="0" w:line="33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KPMG Peat Marwick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237" w:lineRule="auto"/>
        <w:rPr>
          <w:sz w:val="20"/>
          <w:szCs w:val="20"/>
          <w:color w:val="auto"/>
        </w:rPr>
      </w:pPr>
      <w:r>
        <w:rPr>
          <w:rFonts w:ascii="Courier New" w:cs="Courier New" w:eastAsia="Courier New" w:hAnsi="Courier New"/>
          <w:sz w:val="15"/>
          <w:szCs w:val="15"/>
          <w:color w:val="auto"/>
        </w:rPr>
        <w:t>June 30, 1997</w:t>
      </w: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decimal"/>
      <w:start w:val="4"/>
    </w:lvl>
  </w:abstractNum>
  <w:abstractNum w:abstractNumId="18">
    <w:nsid w:val="257130A3"/>
    <w:multiLevelType w:val="hybridMultilevel"/>
    <w:lvl w:ilvl="0">
      <w:lvlJc w:val="left"/>
      <w:lvlText w:val="(%1)"/>
      <w:numFmt w:val="decimal"/>
      <w:start w:val="7"/>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2019-12-13T13:53:35Z</dcterms:created>
  <dcterms:modified xsi:type="dcterms:W3CDTF">2019-12-13T13:53:35Z</dcterms:modified>
</cp:coreProperties>
</file>