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0306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11,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U.S. Mail and Facsimile to (952) 887-8258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Stephen P. Wolfe</w:t>
      </w:r>
    </w:p>
    <w:p>
      <w:pPr>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rPr>
          <w:sz w:val="20"/>
          <w:szCs w:val="20"/>
          <w:color w:val="auto"/>
        </w:rPr>
      </w:pPr>
      <w:r>
        <w:rPr>
          <w:rFonts w:ascii="Courier New" w:cs="Courier New" w:eastAsia="Courier New" w:hAnsi="Courier New"/>
          <w:sz w:val="18"/>
          <w:szCs w:val="18"/>
          <w:color w:val="auto"/>
        </w:rPr>
        <w:t>Treasurer and Chief Financial Officer</w:t>
      </w:r>
    </w:p>
    <w:p>
      <w:pPr>
        <w:spacing w:after="0" w:line="237" w:lineRule="auto"/>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8111 Lyndale Avenue South</w:t>
      </w:r>
    </w:p>
    <w:p>
      <w:pPr>
        <w:spacing w:after="0"/>
        <w:rPr>
          <w:sz w:val="20"/>
          <w:szCs w:val="20"/>
          <w:color w:val="auto"/>
        </w:rPr>
      </w:pPr>
      <w:r>
        <w:rPr>
          <w:rFonts w:ascii="Courier New" w:cs="Courier New" w:eastAsia="Courier New" w:hAnsi="Courier New"/>
          <w:sz w:val="18"/>
          <w:szCs w:val="18"/>
          <w:color w:val="auto"/>
        </w:rPr>
        <w:t>Bloomington, Mn 55420-1196</w:t>
      </w:r>
    </w:p>
    <w:p>
      <w:pPr>
        <w:spacing w:after="0" w:line="200" w:lineRule="exact"/>
        <w:rPr>
          <w:sz w:val="24"/>
          <w:szCs w:val="24"/>
          <w:color w:val="auto"/>
        </w:rPr>
      </w:pPr>
    </w:p>
    <w:p>
      <w:pPr>
        <w:spacing w:after="0" w:line="203"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The Toro Company</w:t>
      </w:r>
    </w:p>
    <w:p>
      <w:pPr>
        <w:ind w:left="640"/>
        <w:spacing w:after="0" w:line="238" w:lineRule="auto"/>
        <w:rPr>
          <w:sz w:val="20"/>
          <w:szCs w:val="20"/>
          <w:color w:val="auto"/>
        </w:rPr>
      </w:pPr>
      <w:r>
        <w:rPr>
          <w:rFonts w:ascii="Courier New" w:cs="Courier New" w:eastAsia="Courier New" w:hAnsi="Courier New"/>
          <w:sz w:val="18"/>
          <w:szCs w:val="18"/>
          <w:color w:val="auto"/>
        </w:rPr>
        <w:t>Form 10-K for the fiscal year ended October 31, 2004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Wolfe,</w:t>
      </w:r>
    </w:p>
    <w:p>
      <w:pPr>
        <w:spacing w:after="0" w:line="207" w:lineRule="exact"/>
        <w:rPr>
          <w:sz w:val="24"/>
          <w:szCs w:val="24"/>
          <w:color w:val="auto"/>
        </w:rPr>
      </w:pPr>
    </w:p>
    <w:p>
      <w:pPr>
        <w:ind w:right="4099" w:firstLine="632"/>
        <w:spacing w:after="0" w:line="235" w:lineRule="auto"/>
        <w:rPr>
          <w:sz w:val="20"/>
          <w:szCs w:val="20"/>
          <w:color w:val="auto"/>
        </w:rPr>
      </w:pPr>
      <w:r>
        <w:rPr>
          <w:rFonts w:ascii="Courier New" w:cs="Courier New" w:eastAsia="Courier New" w:hAnsi="Courier New"/>
          <w:sz w:val="18"/>
          <w:szCs w:val="18"/>
          <w:color w:val="auto"/>
        </w:rPr>
        <w:t>We have reviewed your filings and have the following comments.</w:t>
      </w:r>
    </w:p>
    <w:p>
      <w:pPr>
        <w:spacing w:after="0" w:line="6"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We have limited our review to only your financial statements and related disclosures and will make no further review of your documents. Where indicated, we think you should revise your future filings in response to these comments. If you disagree, we will consider your explanation as to why our comment is inapplicable or a</w:t>
      </w:r>
    </w:p>
    <w:p>
      <w:pPr>
        <w:spacing w:after="0" w:line="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revision is unnecessary. Please be as detailed as necessary in your</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explanation. In some of our comments, we may ask you to provide us</w:t>
      </w:r>
    </w:p>
    <w:p>
      <w:pPr>
        <w:spacing w:after="0" w:line="6"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with supplemental information so we may better understand your disclosure. After reviewing this information, we may or may not raise additional comments.</w:t>
      </w: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filings.</w:t>
      </w:r>
    </w:p>
    <w:p>
      <w:pPr>
        <w:spacing w:after="0" w:line="6"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fiscal year ended October 31, 2004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 1 - Summary of Significant Accounting Policies - Page 33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Inventories - Page 33</w:t>
      </w:r>
    </w:p>
    <w:p>
      <w:pPr>
        <w:spacing w:after="0" w:line="207" w:lineRule="exact"/>
        <w:rPr>
          <w:sz w:val="24"/>
          <w:szCs w:val="24"/>
          <w:color w:val="auto"/>
        </w:rPr>
      </w:pPr>
    </w:p>
    <w:p>
      <w:pPr>
        <w:ind w:right="39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future filings to disclose your accounting policies</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valuing inventory, including a discussion of how you determine your reserves.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Revenue Recognition - Page 34</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that you record a provision when revenue is recognized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w:t>
      </w:r>
    </w:p>
    <w:p>
      <w:pPr>
        <w:spacing w:after="0" w:line="4" w:lineRule="exact"/>
        <w:rPr>
          <w:rFonts w:ascii="Courier New" w:cs="Courier New" w:eastAsia="Courier New" w:hAnsi="Courier New"/>
          <w:sz w:val="16"/>
          <w:szCs w:val="16"/>
          <w:color w:val="auto"/>
        </w:rPr>
      </w:pPr>
    </w:p>
    <w:p>
      <w:pPr>
        <w:ind w:right="38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returns and promotion expenses. In future filings include a rollforward of this account on Schedule II - Valuation and Qualifying</w:t>
      </w:r>
    </w:p>
    <w:p>
      <w:pPr>
        <w:spacing w:after="0" w:line="6" w:lineRule="exact"/>
        <w:rPr>
          <w:rFonts w:ascii="Courier New" w:cs="Courier New" w:eastAsia="Courier New" w:hAnsi="Courier New"/>
          <w:sz w:val="16"/>
          <w:szCs w:val="16"/>
          <w:color w:val="auto"/>
        </w:rPr>
      </w:pPr>
    </w:p>
    <w:p>
      <w:pPr>
        <w:ind w:right="47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Accounts as required by Rule 5-04 of Regulation S-X. Supplementally</w:t>
      </w:r>
    </w:p>
    <w:p>
      <w:pPr>
        <w:spacing w:after="0" w:line="5" w:lineRule="exact"/>
        <w:rPr>
          <w:rFonts w:ascii="Courier New" w:cs="Courier New" w:eastAsia="Courier New" w:hAnsi="Courier New"/>
          <w:sz w:val="16"/>
          <w:szCs w:val="16"/>
          <w:color w:val="auto"/>
        </w:rPr>
      </w:pPr>
    </w:p>
    <w:p>
      <w:pPr>
        <w:ind w:right="32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provide us with a rollforward of this allowance account on a gross basis showing increases, decreases, and adjustments separately, for</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periods presented.</w:t>
      </w:r>
    </w:p>
    <w:p>
      <w:pPr>
        <w:sectPr>
          <w:pgSz w:w="11900" w:h="16855" w:orient="portrait"/>
          <w:cols w:equalWidth="0" w:num="1">
            <w:col w:w="10219"/>
          </w:cols>
          <w:pgMar w:left="240" w:top="1440" w:right="1440" w:bottom="0" w:gutter="0" w:footer="0" w:header="0"/>
        </w:sectPr>
      </w:pPr>
    </w:p>
    <w:bookmarkStart w:id="1" w:name="page2"/>
    <w:bookmarkEnd w:id="1"/>
    <w:p>
      <w:pPr>
        <w:ind w:right="325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supplemental response and in future filings tell us the accounting for any special arrangements with distributors such as price protection, rights of return and other discounts, credits or special terms. Please cite the relevant accounting guidance in your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response.</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 have deferred revenue and other long term liabilities</w:t>
      </w:r>
    </w:p>
    <w:p>
      <w:pPr>
        <w:spacing w:after="0" w:line="5" w:lineRule="exact"/>
        <w:rPr>
          <w:rFonts w:ascii="Courier New" w:cs="Courier New" w:eastAsia="Courier New" w:hAnsi="Courier New"/>
          <w:sz w:val="18"/>
          <w:szCs w:val="18"/>
          <w:color w:val="auto"/>
        </w:rPr>
      </w:pPr>
    </w:p>
    <w:p>
      <w:pPr>
        <w:ind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approximately $13 million at October 31, 2004. In a supplemental</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response and in future filings tell us the significant terms and conditions of transactions for which you deferred revenue and how you</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 for such transactions.</w:t>
      </w:r>
    </w:p>
    <w:p>
      <w:pPr>
        <w:spacing w:after="0" w:line="202"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Note 13 - Commitments and Contingent Liabilities</w:t>
      </w:r>
      <w:r>
        <w:rPr>
          <w:sz w:val="20"/>
          <w:szCs w:val="20"/>
          <w:color w:val="auto"/>
        </w:rPr>
        <w:tab/>
      </w:r>
      <w:r>
        <w:rPr>
          <w:rFonts w:ascii="Courier New" w:cs="Courier New" w:eastAsia="Courier New" w:hAnsi="Courier New"/>
          <w:sz w:val="16"/>
          <w:szCs w:val="16"/>
          <w:color w:val="auto"/>
        </w:rPr>
        <w:t>- Page 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Financing - Page 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Wholesale Financing - Page 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Supplementally tell us how you account for:</w:t>
      </w:r>
    </w:p>
    <w:p>
      <w:pPr>
        <w:spacing w:after="0" w:line="207" w:lineRule="exact"/>
        <w:rPr>
          <w:sz w:val="20"/>
          <w:szCs w:val="20"/>
          <w:color w:val="auto"/>
        </w:rPr>
      </w:pPr>
    </w:p>
    <w:p>
      <w:pPr>
        <w:ind w:right="377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of inventory that are subject to inventory repurchase agreements, and</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of your receivables to third party financing companies</w:t>
      </w:r>
    </w:p>
    <w:p>
      <w:pPr>
        <w:spacing w:after="0" w:line="207"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Additionally tell us the aggregate amount of gains and loses you recorded on the sales of receivables to third parties and where they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presented in your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End-User Financing - Page 44</w:t>
      </w:r>
    </w:p>
    <w:p>
      <w:pPr>
        <w:spacing w:after="0" w:line="207" w:lineRule="exact"/>
        <w:rPr>
          <w:sz w:val="20"/>
          <w:szCs w:val="20"/>
          <w:color w:val="auto"/>
        </w:rPr>
      </w:pPr>
    </w:p>
    <w:p>
      <w:pPr>
        <w:ind w:right="3259" w:firstLine="8"/>
        <w:spacing w:after="0" w:line="236"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future filings disclose the carrying amount of the liability that you have recorded related to your credit collection and residual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value exposure under these financing agreements.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14 - Financial Instruments - Page 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 Instruments and Hedging Activities - Page 44</w:t>
      </w:r>
    </w:p>
    <w:p>
      <w:pPr>
        <w:spacing w:after="0" w:line="207" w:lineRule="exact"/>
        <w:rPr>
          <w:sz w:val="20"/>
          <w:szCs w:val="20"/>
          <w:color w:val="auto"/>
        </w:rPr>
      </w:pPr>
    </w:p>
    <w:p>
      <w:pPr>
        <w:ind w:right="335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specific line items in your balance sheet, statement of earnings, and statement of cash flows in which you report your derivative financial instruments and their related gains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losses.  Refer to Rule 4-08(n)(7) of Regulation S-X.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us and revise future filings to disclose how you account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 contracts entered into on behalf of distributors. Where do you record the unrealized gains and losses on these contracts? Are there occasions upon which these costs are not reimbursed (if the distributor exercises their right of return, for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example)?</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1680" w:val="left"/>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As appropriate, please respond to these comments within 10 business days or tell us when you will provide us with a response. Please furnish a cover letter that keys your responses to our comments and provides any requested supplemental information. Please</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file your cover letter on EDGAR. Please understand that we may have</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additional comments after reviewing your responses to our comments.</w:t>
      </w:r>
    </w:p>
    <w:p>
      <w:pPr>
        <w:spacing w:after="0" w:line="208"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reviewed by the staff to be</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certain that they have provided all information investors require. Since the company and its management are in possession of all facts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relating to a company`s disclosure, they are responsible for the</w:t>
      </w:r>
    </w:p>
    <w:p>
      <w:pPr>
        <w:sectPr>
          <w:pgSz w:w="11900" w:h="16838" w:orient="portrait"/>
          <w:cols w:equalWidth="0" w:num="1">
            <w:col w:w="10219"/>
          </w:cols>
          <w:pgMar w:left="24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accuracy and adequacy of the disclosures they have made.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206" w:lineRule="exact"/>
        <w:rPr>
          <w:sz w:val="20"/>
          <w:szCs w:val="20"/>
          <w:color w:val="auto"/>
        </w:rPr>
      </w:pPr>
    </w:p>
    <w:p>
      <w:pPr>
        <w:ind w:right="335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filings;</w:t>
      </w:r>
    </w:p>
    <w:p>
      <w:pPr>
        <w:spacing w:after="0" w:line="5" w:lineRule="exact"/>
        <w:rPr>
          <w:rFonts w:ascii="Courier New" w:cs="Courier New" w:eastAsia="Courier New" w:hAnsi="Courier New"/>
          <w:sz w:val="18"/>
          <w:szCs w:val="18"/>
          <w:color w:val="auto"/>
        </w:rPr>
      </w:pPr>
    </w:p>
    <w:p>
      <w:pPr>
        <w:ind w:right="3259" w:firstLine="8"/>
        <w:spacing w:after="0" w:line="268" w:lineRule="auto"/>
        <w:tabs>
          <w:tab w:leader="none" w:pos="21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staff comments or changes to disclosure in response to staff comments in the filings reviewed by the staff do not foreclose the Commission from taking any action with respect to the filing; and</w:t>
      </w:r>
    </w:p>
    <w:p>
      <w:pPr>
        <w:ind w:right="357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You may contact Eric Atallah, Staff Accountant at (202) 824-</w:t>
      </w:r>
    </w:p>
    <w:p>
      <w:pPr>
        <w:spacing w:after="0" w:line="238" w:lineRule="auto"/>
        <w:rPr>
          <w:sz w:val="20"/>
          <w:szCs w:val="20"/>
          <w:color w:val="auto"/>
        </w:rPr>
      </w:pPr>
      <w:r>
        <w:rPr>
          <w:rFonts w:ascii="Courier New" w:cs="Courier New" w:eastAsia="Courier New" w:hAnsi="Courier New"/>
          <w:sz w:val="18"/>
          <w:szCs w:val="18"/>
          <w:color w:val="auto"/>
        </w:rPr>
        <w:t>5266</w:t>
      </w:r>
    </w:p>
    <w:p>
      <w:pPr>
        <w:spacing w:after="0" w:line="5"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or me at (202) 942-2813 regarding comments on the financial statements and related matters. In this regard, do not hesitate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Martin James, Senior Assistant Chief Accountant at (202)</w:t>
      </w:r>
    </w:p>
    <w:p>
      <w:pPr>
        <w:spacing w:after="0" w:line="238" w:lineRule="auto"/>
        <w:rPr>
          <w:sz w:val="20"/>
          <w:szCs w:val="20"/>
          <w:color w:val="auto"/>
        </w:rPr>
      </w:pPr>
      <w:r>
        <w:rPr>
          <w:rFonts w:ascii="Courier New" w:cs="Courier New" w:eastAsia="Courier New" w:hAnsi="Courier New"/>
          <w:sz w:val="18"/>
          <w:szCs w:val="18"/>
          <w:color w:val="auto"/>
        </w:rPr>
        <w:t>942-1984.</w:t>
      </w:r>
    </w:p>
    <w:p>
      <w:pPr>
        <w:spacing w:after="0" w:line="200" w:lineRule="exact"/>
        <w:rPr>
          <w:sz w:val="20"/>
          <w:szCs w:val="20"/>
          <w:color w:val="auto"/>
        </w:rPr>
      </w:pPr>
    </w:p>
    <w:p>
      <w:pPr>
        <w:spacing w:after="0" w:line="204"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9"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Daniel Gordon</w:t>
      </w:r>
    </w:p>
    <w:p>
      <w:pPr>
        <w:spacing w:after="0" w:line="16"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Branch Chief</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Stephen P. Wolfe</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rPr>
          <w:sz w:val="20"/>
          <w:szCs w:val="20"/>
          <w:color w:val="auto"/>
        </w:rPr>
      </w:pPr>
      <w:r>
        <w:rPr>
          <w:rFonts w:ascii="Courier New" w:cs="Courier New" w:eastAsia="Courier New" w:hAnsi="Courier New"/>
          <w:sz w:val="18"/>
          <w:szCs w:val="18"/>
          <w:color w:val="auto"/>
        </w:rPr>
        <w:t>March 11, 2005</w:t>
      </w:r>
    </w:p>
    <w:p>
      <w:pPr>
        <w:spacing w:after="0" w:line="237" w:lineRule="auto"/>
        <w:rPr>
          <w:sz w:val="20"/>
          <w:szCs w:val="20"/>
          <w:color w:val="auto"/>
        </w:rPr>
      </w:pPr>
      <w:r>
        <w:rPr>
          <w:rFonts w:ascii="Courier New" w:cs="Courier New" w:eastAsia="Courier New" w:hAnsi="Courier New"/>
          <w:sz w:val="18"/>
          <w:szCs w:val="18"/>
          <w:color w:val="auto"/>
        </w:rPr>
        <w:t>Page 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1."/>
      <w:numFmt w:val="decimal"/>
      <w:start w:val="7"/>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2019-12-11T20:33:36Z</dcterms:created>
  <dcterms:modified xsi:type="dcterms:W3CDTF">2019-12-11T20:33:36Z</dcterms:modified>
</cp:coreProperties>
</file>