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436245</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394970</wp:posOffset>
            </wp:positionV>
            <wp:extent cx="68046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66" w:lineRule="exact"/>
        <w:rPr>
          <w:sz w:val="24"/>
          <w:szCs w:val="24"/>
          <w:color w:val="auto"/>
        </w:rPr>
      </w:pPr>
    </w:p>
    <w:p>
      <w:pPr>
        <w:ind w:left="2040" w:hanging="300"/>
        <w:spacing w:after="0"/>
        <w:tabs>
          <w:tab w:leader="none" w:pos="20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April 29, 2022</w:t>
      </w:r>
    </w:p>
    <w:p>
      <w:pPr>
        <w:spacing w:after="0" w:line="248" w:lineRule="exact"/>
        <w:rPr>
          <w:sz w:val="24"/>
          <w:szCs w:val="24"/>
          <w:color w:val="auto"/>
        </w:rPr>
      </w:pPr>
    </w:p>
    <w:p>
      <w:pPr>
        <w:ind w:left="2040" w:hanging="335"/>
        <w:spacing w:after="0"/>
        <w:tabs>
          <w:tab w:leader="none" w:pos="20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244" w:lineRule="exact"/>
        <w:rPr>
          <w:sz w:val="24"/>
          <w:szCs w:val="24"/>
          <w:color w:val="auto"/>
        </w:rPr>
      </w:pPr>
    </w:p>
    <w:p>
      <w:pPr>
        <w:jc w:val="right"/>
        <w:ind w:right="4400"/>
        <w:spacing w:after="0"/>
        <w:tabs>
          <w:tab w:leader="none" w:pos="31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2" w:lineRule="exact"/>
        <w:rPr>
          <w:sz w:val="24"/>
          <w:szCs w:val="24"/>
          <w:color w:val="auto"/>
        </w:rPr>
      </w:pPr>
    </w:p>
    <w:p>
      <w:pPr>
        <w:jc w:val="right"/>
        <w:ind w:right="4460"/>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b w:val="1"/>
          <w:bCs w:val="1"/>
          <w:color w:val="auto"/>
        </w:rPr>
        <w:t>1-8649</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THE TORO COMPANY</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ectPr>
          <w:pgSz w:w="11900" w:h="16838" w:orient="portrait"/>
          <w:cols w:equalWidth="0" w:num="1">
            <w:col w:w="11260"/>
          </w:cols>
          <w:pgMar w:left="320" w:top="226" w:right="319" w:bottom="1440" w:gutter="0" w:footer="0" w:header="0"/>
        </w:sectPr>
      </w:pPr>
    </w:p>
    <w:p>
      <w:pPr>
        <w:spacing w:after="0" w:line="11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41-0580470</w:t>
      </w:r>
    </w:p>
    <w:p>
      <w:pPr>
        <w:spacing w:after="0" w:line="33" w:lineRule="exact"/>
        <w:rPr>
          <w:sz w:val="24"/>
          <w:szCs w:val="24"/>
          <w:color w:val="auto"/>
        </w:rPr>
      </w:pPr>
    </w:p>
    <w:p>
      <w:pPr>
        <w:sectPr>
          <w:pgSz w:w="11900" w:h="16838" w:orient="portrait"/>
          <w:cols w:equalWidth="0" w:num="2">
            <w:col w:w="8080" w:space="720"/>
            <w:col w:w="2460"/>
          </w:cols>
          <w:pgMar w:left="320" w:top="226" w:right="31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4"/>
          <w:szCs w:val="14"/>
          <w:color w:val="auto"/>
        </w:rPr>
        <w:t>State or Other Jurisdiction of</w:t>
      </w:r>
    </w:p>
    <w:p>
      <w:pPr>
        <w:spacing w:after="0" w:line="10"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371" w:lineRule="exact"/>
        <w:rPr>
          <w:sz w:val="24"/>
          <w:szCs w:val="24"/>
          <w:color w:val="auto"/>
        </w:rPr>
      </w:pPr>
    </w:p>
    <w:p>
      <w:pPr>
        <w:sectPr>
          <w:pgSz w:w="11900" w:h="16838" w:orient="portrait"/>
          <w:cols w:equalWidth="0" w:num="2">
            <w:col w:w="7420" w:space="720"/>
            <w:col w:w="3120"/>
          </w:cols>
          <w:pgMar w:left="320" w:top="226" w:right="319" w:bottom="1440" w:gutter="0" w:footer="0" w:header="0"/>
          <w:type w:val="continuous"/>
        </w:sectPr>
      </w:pPr>
    </w:p>
    <w:p>
      <w:pPr>
        <w:spacing w:after="0" w:line="1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7"/>
          <w:szCs w:val="17"/>
          <w:b w:val="1"/>
          <w:bCs w:val="1"/>
          <w:color w:val="auto"/>
        </w:rPr>
        <w:t>8111 Lyndale Avenue South</w:t>
      </w:r>
    </w:p>
    <w:p>
      <w:pPr>
        <w:spacing w:after="0" w:line="32"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Bloomington, Minnesota 55420-1196</w:t>
      </w:r>
    </w:p>
    <w:p>
      <w:pPr>
        <w:spacing w:after="0" w:line="1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7"/>
          <w:szCs w:val="17"/>
          <w:b w:val="1"/>
          <w:bCs w:val="1"/>
          <w:color w:val="auto"/>
        </w:rPr>
        <w:t>Telephone Number: (952) 888-8801</w:t>
      </w:r>
    </w:p>
    <w:p>
      <w:pPr>
        <w:spacing w:after="0" w:line="1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94"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Name of each exchange on which registered</w:t>
            </w:r>
          </w:p>
        </w:tc>
      </w:tr>
      <w:tr>
        <w:trPr>
          <w:trHeight w:val="215"/>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$1.00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TTC</w:t>
            </w:r>
          </w:p>
        </w:tc>
        <w:tc>
          <w:tcPr>
            <w:tcW w:w="4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New York Stock Exchange</w:t>
            </w:r>
          </w:p>
        </w:tc>
      </w:tr>
    </w:tbl>
    <w:p>
      <w:pPr>
        <w:spacing w:after="0" w:line="307"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ind w:right="20"/>
        <w:spacing w:after="0" w:line="20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8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75" w:lineRule="exact"/>
        <w:rPr>
          <w:sz w:val="24"/>
          <w:szCs w:val="24"/>
          <w:color w:val="auto"/>
        </w:rPr>
      </w:pPr>
    </w:p>
    <w:p>
      <w:pPr>
        <w:ind w:right="20"/>
        <w:spacing w:after="0" w:line="212"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2360"/>
        <w:spacing w:after="0" w:line="20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The number of shares of the registrant’s common stock outstanding as of May 26, 2022 was 104,571,316.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709930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99060</wp:posOffset>
            </wp:positionV>
            <wp:extent cx="712152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74930</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20" w:type="dxa"/>
            <w:vAlign w:val="bottom"/>
            <w:gridSpan w:val="11"/>
          </w:tcPr>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THE TORO COMPANY</w:t>
            </w: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20" w:type="dxa"/>
            <w:vAlign w:val="bottom"/>
            <w:gridSpan w:val="11"/>
          </w:tcPr>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FORM 10-Q</w:t>
            </w: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20" w:type="dxa"/>
            <w:vAlign w:val="bottom"/>
            <w:gridSpan w:val="11"/>
          </w:tcPr>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Page Number</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8760" w:type="dxa"/>
            <w:vAlign w:val="bottom"/>
            <w:gridSpan w:val="31"/>
          </w:tcPr>
          <w:p>
            <w:pPr>
              <w:spacing w:after="0"/>
              <w:rPr>
                <w:sz w:val="20"/>
                <w:szCs w:val="20"/>
                <w:color w:val="auto"/>
              </w:rPr>
            </w:pPr>
            <w:r>
              <w:rPr>
                <w:rFonts w:ascii="Times New Roman" w:cs="Times New Roman" w:eastAsia="Times New Roman" w:hAnsi="Times New Roman"/>
                <w:sz w:val="17"/>
                <w:szCs w:val="17"/>
                <w:b w:val="1"/>
                <w:bCs w:val="1"/>
                <w:color w:val="0000FF"/>
              </w:rPr>
              <w:t>CAUTIONARY NOTE REGARDING FORWARD-LOOKING STATEMENTS</w:t>
            </w:r>
          </w:p>
        </w:tc>
        <w:tc>
          <w:tcPr>
            <w:tcW w:w="24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12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w:t>
            </w:r>
          </w:p>
        </w:tc>
        <w:tc>
          <w:tcPr>
            <w:tcW w:w="180" w:type="dxa"/>
            <w:vAlign w:val="bottom"/>
            <w:tcBorders>
              <w:top w:val="single" w:sz="8" w:color="0000FF"/>
            </w:tcBorders>
          </w:tcPr>
          <w:p>
            <w:pPr>
              <w:spacing w:after="0"/>
              <w:rPr>
                <w:sz w:val="24"/>
                <w:szCs w:val="24"/>
                <w:color w:val="auto"/>
              </w:rPr>
            </w:pPr>
          </w:p>
        </w:tc>
        <w:tc>
          <w:tcPr>
            <w:tcW w:w="446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7"/>
                <w:szCs w:val="17"/>
                <w:b w:val="1"/>
                <w:bCs w:val="1"/>
                <w:color w:val="0000FF"/>
              </w:rPr>
              <w:t>FINANCIAL INFORMATION:</w:t>
            </w:r>
          </w:p>
        </w:tc>
        <w:tc>
          <w:tcPr>
            <w:tcW w:w="2920" w:type="dxa"/>
            <w:vAlign w:val="bottom"/>
            <w:gridSpan w:val="7"/>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w w:val="97"/>
              </w:rPr>
              <w:t>Item 1.</w:t>
            </w:r>
          </w:p>
        </w:tc>
        <w:tc>
          <w:tcPr>
            <w:tcW w:w="80" w:type="dxa"/>
            <w:vAlign w:val="bottom"/>
            <w:tcBorders>
              <w:top w:val="single" w:sz="8" w:color="0000FF"/>
            </w:tcBorders>
          </w:tcPr>
          <w:p>
            <w:pPr>
              <w:spacing w:after="0"/>
              <w:rPr>
                <w:sz w:val="24"/>
                <w:szCs w:val="24"/>
                <w:color w:val="auto"/>
              </w:rPr>
            </w:pPr>
          </w:p>
        </w:tc>
        <w:tc>
          <w:tcPr>
            <w:tcW w:w="6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5040" w:type="dxa"/>
            <w:vAlign w:val="bottom"/>
            <w:gridSpan w:val="13"/>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2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Earnings (Unaudited)</w:t>
            </w:r>
          </w:p>
        </w:tc>
        <w:tc>
          <w:tcPr>
            <w:tcW w:w="2640" w:type="dxa"/>
            <w:vAlign w:val="bottom"/>
            <w:gridSpan w:val="5"/>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6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(Unaudited)</w:t>
            </w:r>
          </w:p>
        </w:tc>
        <w:tc>
          <w:tcPr>
            <w:tcW w:w="120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Balance Sheets (Unaudited)</w:t>
            </w:r>
          </w:p>
        </w:tc>
        <w:tc>
          <w:tcPr>
            <w:tcW w:w="2060" w:type="dxa"/>
            <w:vAlign w:val="bottom"/>
            <w:gridSpan w:val="8"/>
          </w:tcPr>
          <w:p>
            <w:pPr>
              <w:spacing w:after="0"/>
              <w:rPr>
                <w:sz w:val="24"/>
                <w:szCs w:val="24"/>
                <w:color w:val="auto"/>
              </w:rPr>
            </w:pPr>
          </w:p>
        </w:tc>
        <w:tc>
          <w:tcPr>
            <w:tcW w:w="120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24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(Unaudited)</w:t>
            </w:r>
          </w:p>
        </w:tc>
        <w:tc>
          <w:tcPr>
            <w:tcW w:w="24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340" w:type="dxa"/>
            <w:vAlign w:val="bottom"/>
          </w:tcPr>
          <w:p>
            <w:pPr>
              <w:spacing w:after="0"/>
              <w:rPr>
                <w:sz w:val="24"/>
                <w:szCs w:val="24"/>
                <w:color w:val="auto"/>
              </w:rPr>
            </w:pPr>
          </w:p>
        </w:tc>
        <w:tc>
          <w:tcPr>
            <w:tcW w:w="2020" w:type="dxa"/>
            <w:vAlign w:val="bottom"/>
            <w:gridSpan w:val="3"/>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7"/>
              </w:rPr>
              <w:t>Item 2.</w:t>
            </w:r>
          </w:p>
        </w:tc>
        <w:tc>
          <w:tcPr>
            <w:tcW w:w="680" w:type="dxa"/>
            <w:vAlign w:val="bottom"/>
            <w:gridSpan w:val="4"/>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6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7"/>
              </w:rPr>
              <w:t>Company Overview</w:t>
            </w:r>
          </w:p>
        </w:tc>
        <w:tc>
          <w:tcPr>
            <w:tcW w:w="4480" w:type="dxa"/>
            <w:vAlign w:val="bottom"/>
            <w:gridSpan w:val="15"/>
          </w:tcPr>
          <w:p>
            <w:pPr>
              <w:spacing w:after="0"/>
              <w:rPr>
                <w:sz w:val="24"/>
                <w:szCs w:val="24"/>
                <w:color w:val="auto"/>
              </w:rPr>
            </w:pPr>
          </w:p>
        </w:tc>
        <w:tc>
          <w:tcPr>
            <w:tcW w:w="1200" w:type="dxa"/>
            <w:vAlign w:val="bottom"/>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Results of Operations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w w:val="99"/>
              </w:rPr>
              <w:t>Business Segments</w:t>
            </w:r>
          </w:p>
        </w:tc>
        <w:tc>
          <w:tcPr>
            <w:tcW w:w="160" w:type="dxa"/>
            <w:vAlign w:val="bottom"/>
            <w:gridSpan w:val="2"/>
          </w:tcPr>
          <w:p>
            <w:pPr>
              <w:spacing w:after="0"/>
              <w:rPr>
                <w:sz w:val="24"/>
                <w:szCs w:val="24"/>
                <w:color w:val="auto"/>
              </w:rPr>
            </w:pPr>
          </w:p>
        </w:tc>
        <w:tc>
          <w:tcPr>
            <w:tcW w:w="5580" w:type="dxa"/>
            <w:vAlign w:val="bottom"/>
            <w:gridSpan w:val="15"/>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Financial Position</w:t>
            </w:r>
          </w:p>
        </w:tc>
        <w:tc>
          <w:tcPr>
            <w:tcW w:w="5740" w:type="dxa"/>
            <w:vAlign w:val="bottom"/>
            <w:gridSpan w:val="17"/>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Non-GAAP Financial Measures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Critical Accounting Policies and Estimates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0000FF"/>
                <w:w w:val="97"/>
              </w:rPr>
              <w:t>Item 3.</w:t>
            </w:r>
          </w:p>
        </w:tc>
        <w:tc>
          <w:tcPr>
            <w:tcW w:w="680" w:type="dxa"/>
            <w:vAlign w:val="bottom"/>
            <w:gridSpan w:val="4"/>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6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12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7"/>
              </w:rPr>
              <w:t>Item 4.</w:t>
            </w:r>
          </w:p>
        </w:tc>
        <w:tc>
          <w:tcPr>
            <w:tcW w:w="6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w w:val="99"/>
              </w:rPr>
              <w:t>Controls and Procedures</w:t>
            </w:r>
          </w:p>
        </w:tc>
        <w:tc>
          <w:tcPr>
            <w:tcW w:w="2420" w:type="dxa"/>
            <w:vAlign w:val="bottom"/>
            <w:gridSpan w:val="7"/>
          </w:tcPr>
          <w:p>
            <w:pPr>
              <w:spacing w:after="0"/>
              <w:rPr>
                <w:sz w:val="24"/>
                <w:szCs w:val="24"/>
                <w:color w:val="auto"/>
              </w:rPr>
            </w:pPr>
          </w:p>
        </w:tc>
        <w:tc>
          <w:tcPr>
            <w:tcW w:w="3260" w:type="dxa"/>
            <w:vAlign w:val="bottom"/>
            <w:gridSpan w:val="9"/>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II.</w:t>
            </w:r>
          </w:p>
        </w:tc>
        <w:tc>
          <w:tcPr>
            <w:tcW w:w="180" w:type="dxa"/>
            <w:vAlign w:val="bottom"/>
          </w:tcPr>
          <w:p>
            <w:pPr>
              <w:spacing w:after="0"/>
              <w:rPr>
                <w:sz w:val="24"/>
                <w:szCs w:val="24"/>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7"/>
                <w:szCs w:val="17"/>
                <w:b w:val="1"/>
                <w:bCs w:val="1"/>
                <w:color w:val="0000FF"/>
              </w:rPr>
              <w:t>OTHER INFORMATION:</w:t>
            </w: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w w:val="97"/>
              </w:rPr>
              <w:t>Item 1.</w:t>
            </w:r>
          </w:p>
        </w:tc>
        <w:tc>
          <w:tcPr>
            <w:tcW w:w="140" w:type="dxa"/>
            <w:vAlign w:val="bottom"/>
            <w:tcBorders>
              <w:top w:val="single" w:sz="8" w:color="0000FF"/>
            </w:tcBorders>
            <w:gridSpan w:val="3"/>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Legal Proceedings</w:t>
            </w:r>
          </w:p>
        </w:tc>
        <w:tc>
          <w:tcPr>
            <w:tcW w:w="720" w:type="dxa"/>
            <w:vAlign w:val="bottom"/>
            <w:tcBorders>
              <w:top w:val="single" w:sz="8" w:color="0000FF"/>
            </w:tcBorders>
            <w:gridSpan w:val="6"/>
          </w:tcPr>
          <w:p>
            <w:pPr>
              <w:spacing w:after="0"/>
              <w:rPr>
                <w:sz w:val="24"/>
                <w:szCs w:val="24"/>
                <w:color w:val="auto"/>
              </w:rPr>
            </w:pPr>
          </w:p>
        </w:tc>
        <w:tc>
          <w:tcPr>
            <w:tcW w:w="5380" w:type="dxa"/>
            <w:vAlign w:val="bottom"/>
            <w:gridSpan w:val="14"/>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80" w:type="dxa"/>
            <w:vAlign w:val="bottom"/>
            <w:gridSpan w:val="12"/>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Item 1A.</w:t>
            </w:r>
          </w:p>
        </w:tc>
        <w:tc>
          <w:tcPr>
            <w:tcW w:w="180" w:type="dxa"/>
            <w:vAlign w:val="bottom"/>
          </w:tcPr>
          <w:p>
            <w:pPr>
              <w:spacing w:after="0"/>
              <w:rPr>
                <w:sz w:val="24"/>
                <w:szCs w:val="24"/>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300" w:type="dxa"/>
            <w:vAlign w:val="bottom"/>
            <w:gridSpan w:val="13"/>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7"/>
              </w:rPr>
              <w:t>Item 2.</w:t>
            </w:r>
          </w:p>
        </w:tc>
        <w:tc>
          <w:tcPr>
            <w:tcW w:w="1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20" w:type="dxa"/>
            <w:vAlign w:val="bottom"/>
            <w:gridSpan w:val="14"/>
            <w:shd w:val="clear" w:color="auto" w:fill="0000FF"/>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b w:val="1"/>
                <w:bCs w:val="1"/>
                <w:color w:val="0000FF"/>
                <w:w w:val="97"/>
              </w:rPr>
              <w:t>Item 6.</w:t>
            </w:r>
          </w:p>
        </w:tc>
        <w:tc>
          <w:tcPr>
            <w:tcW w:w="6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8"/>
              </w:rPr>
              <w:t>Exhibits</w:t>
            </w:r>
          </w:p>
        </w:tc>
        <w:tc>
          <w:tcPr>
            <w:tcW w:w="3580" w:type="dxa"/>
            <w:vAlign w:val="bottom"/>
            <w:gridSpan w:val="15"/>
          </w:tcPr>
          <w:p>
            <w:pPr>
              <w:spacing w:after="0"/>
              <w:rPr>
                <w:sz w:val="24"/>
                <w:szCs w:val="24"/>
                <w:color w:val="auto"/>
              </w:rPr>
            </w:pPr>
          </w:p>
        </w:tc>
        <w:tc>
          <w:tcPr>
            <w:tcW w:w="3220" w:type="dxa"/>
            <w:vAlign w:val="bottom"/>
            <w:gridSpan w:val="8"/>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40" w:type="dxa"/>
            <w:vAlign w:val="bottom"/>
            <w:gridSpan w:val="2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6640" w:type="dxa"/>
            <w:vAlign w:val="bottom"/>
            <w:gridSpan w:val="22"/>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Quarterly Report on Form 10-Q contains not only historical information, but also forward-looking statements within the meaning of the Private Securities Litigation Reform Act of 1995.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that we believe to be reasonable. Forward-looking statements are based on our current expectations of future events, and often can be identified in this report and elsewhere by using words such as "expect," "strive," "looking ahead," "outlook," "guidance," "forecast," "goal," "optimistic," "encourage," "anticipate," "continue," "plan," "estimate," "project," "target," "improve," "believe," "become," "should," "could," "will," "would," "possible," "promise," "may," "likely," "intend," "can," "seek," "pursue," "potential," "pro forma," variations of such words or the negative thereof, and similar expressions or future dates. Our forward-looking statements generally relate to our future performance, including our anticipated operating results, liquidity requirements and financial condition; the anticipated impacts of the novel coronavirus ("COVID-19" or "virus"), current global supply chain disruptions, Russia's invasion of Ukraine and the related sanctions and geopolitical tensions, the inflationary environment, tight labor market and other macroeconomic factors; our business strategies, priorities, goals, and commitments; recent acquisitions and business initiatives; and the effect of laws, rules, policies, regulations, tax reform, new accounting pronouncements, and outstanding litigation on our business and future performance.</w:t>
      </w:r>
    </w:p>
    <w:p>
      <w:pPr>
        <w:spacing w:after="0" w:line="8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Forward-looking statements are only projections and involve risks and uncertainties that could cause actual results to differ materially from those projected or implied in the forward-looking statements. The following are some of the factors known to us that could cause our actual results to differ materially from what we have anticipated in our forward-looking statements:</w:t>
      </w:r>
    </w:p>
    <w:p>
      <w:pPr>
        <w:spacing w:after="0" w:line="64" w:lineRule="exact"/>
        <w:rPr>
          <w:sz w:val="20"/>
          <w:szCs w:val="20"/>
          <w:color w:val="auto"/>
        </w:rPr>
      </w:pPr>
    </w:p>
    <w:p>
      <w:pPr>
        <w:jc w:val="both"/>
        <w:ind w:left="620" w:hanging="307"/>
        <w:spacing w:after="0" w:line="255"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economic conditions and outlook in the United States and in other countries in which we conduct business, including as a result of COVID-19 or Russia's invasion of Ukraine and the related sanctions and geopolitical tensions, such as but not limited to business closures, slowdowns, suspensions or delays of production and commercial activity; slow or negative economic growth rates or recessionary conditions; reduced or negative consumer confidence; reduced consumer spending levels; increased or prolonged high or low unemployment rates; tight labor market, higher costs, longer lead times and reduced availability of commodities, components, parts, and accessories, including as a result of transportation-related costs, inflation, changing prices, foreign currency fluctuations, tariffs, and/or duties; inflationary or deflationary pressures; slowdowns or reductions in levels of interest in the game of golf or golf course activity, development, renovation or improvement; golf course closures; reduced governmental or municipal spending; reduced infrastructure spending; reduced levels of home ownership, construction or sales; home foreclosures; the impact of U.S. federal debt, state debt and sovereign debt defaults; reduced credit availability or unfavorable credit terms for us or our distributors, dealers, or end-user customers; higher short-term, mortgage, and other interest rates; and general economic and political conditions and expectations;</w:t>
      </w:r>
    </w:p>
    <w:p>
      <w:pPr>
        <w:spacing w:after="0" w:line="7"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effects associated with COVID-19, including its variants, and the macroeconomic effects resulting therefrom, on (i) our business, financial condition, and operating results; (ii) our dealers, distributors, mass retailers, and other channel partners and customers; (iii) our suppliers and companies throughout our supply chain and any such supplier's ability to meet supply commitments, requirements, and/or demands; (iv) our ability to continue to obtain commodities, components, parts, and accessories on a timely basis through our supply chain and at anticipated costs; (v) the financial and credit markets and economic activity generally; (vi) our ability to access lending, capital markets, and other sources of liquidity when needed on reasonable terms or at all; and (v) other risks described herein and in our U.S. Securities and Exchange Commission ("SEC") reports, which have been and could continue to be heightened as a result of COVID-19;</w:t>
      </w:r>
    </w:p>
    <w:p>
      <w:pPr>
        <w:spacing w:after="0" w:line="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disruption and/or shortages in the availability of and the cost of commodities, components, parts, or accessories used in our products;</w:t>
      </w:r>
    </w:p>
    <w:p>
      <w:pPr>
        <w:spacing w:after="0" w:line="1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enhance existing products and develop and market new products that respond to customer needs and preferences and achieve market acceptance;</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that weather conditions or climate change have on demand for our products and operations, including our supply chain;</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product mix;</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 of competition;</w:t>
      </w:r>
    </w:p>
    <w:p>
      <w:pPr>
        <w:spacing w:after="0" w:line="11" w:lineRule="exact"/>
        <w:rPr>
          <w:rFonts w:ascii="Times New Roman" w:cs="Times New Roman" w:eastAsia="Times New Roman" w:hAnsi="Times New Roman"/>
          <w:sz w:val="17"/>
          <w:szCs w:val="17"/>
          <w:color w:val="auto"/>
        </w:rPr>
      </w:pPr>
    </w:p>
    <w:p>
      <w:pPr>
        <w:jc w:val="both"/>
        <w:ind w:left="620" w:hanging="307"/>
        <w:spacing w:after="0" w:line="253"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cost-effectively expand and renovate existing facilities, open and manage new or acquired facilities, move production between manufacturing facilities, and/or any disruption at or near any of our facilities or other operations or those of our suppliers, distribution channel customers, mass retailers, or home centers where our products are sold;</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our executive officers or other key employees, attract and retain other qualified employees or successfully implement executive officer, key employee or other leadership or employee transitions and any failure by us, or our suppliers or distribution channel partners, to hire and/or retain a labor force to enhance existing products and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ind w:left="620"/>
        <w:spacing w:after="0" w:line="264" w:lineRule="auto"/>
        <w:rPr>
          <w:sz w:val="20"/>
          <w:szCs w:val="20"/>
          <w:color w:val="auto"/>
        </w:rPr>
      </w:pPr>
      <w:r>
        <w:rPr>
          <w:rFonts w:ascii="Times New Roman" w:cs="Times New Roman" w:eastAsia="Times New Roman" w:hAnsi="Times New Roman"/>
          <w:sz w:val="17"/>
          <w:szCs w:val="17"/>
          <w:color w:val="auto"/>
        </w:rPr>
        <w:t>develop and market new products, adequately staff manufacturing operations, perform service or warranty work or other necessary activities, or allow employees to adequately and safely perform their jobs;</w:t>
      </w: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maintain appropriate inventory levels, including as a result of global supply chain disruptions, and if we underestimate or overestimate demand for our products, and the effect of inventory management decisions of our distribution channel customers;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composition of, financial viability of, and the relationships with, our distribution channel customers;</w:t>
      </w:r>
    </w:p>
    <w:p>
      <w:pPr>
        <w:spacing w:after="0" w:line="1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credit arrangements and ratings and any material change in the availability or terms of, or termination or disruption of, credit offered to our customers, distributors, and dealers;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international operations, including but not limited to the effect of foreign currency exchange rate fluctuations and compliance with foreign legal and regulatory requirements, and Russia's invasion of Ukraine and the related sanctions and geopolitical tensions;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comply with all applicable legal and regulatory requirements and the effect of product quality issues, product liability claims, and other litigation to which we are or may be subject;</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our recent and any future acquisitions and alliances, joint ventures, investments or partnerships and our failure to successfully complete divestitures or other restructuring activities;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protect our intellectual property and other proprietary rights or operate our business without infringing upon the intellectual property or other proprietary rights of others;</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information systems or information security practices or those of our business partners or third-party service providers to adequately perform and/or protect sensitive or confidential information;</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our financial projections or other business initiatives in the time periods that we anticipate or at all;</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or tax standards and policies and/or assumptions utilized in determining accounting tax estimates;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of increased scrutiny on our environmental, social and governance practices (“ESG”) and SEC rule making on ESG disclosures.</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Part II, Item 1A, "Risk Factors" of this report; and our subsequent filings with the SEC.</w:t>
      </w:r>
    </w:p>
    <w:p>
      <w:pPr>
        <w:spacing w:after="0" w:line="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Part II, Item 1A, "Risk Factors" of this report, and our subsequent SEC filings, as well as others that we may consider immaterial or do not anticipate at this time. These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Earnings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and shares in thousands, except per share data)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3"/>
          </w:tcPr>
          <w:p>
            <w:pPr>
              <w:jc w:val="right"/>
              <w:ind w:right="69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jc w:val="right"/>
              <w:ind w:right="73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9"/>
        </w:trPr>
        <w:tc>
          <w:tcPr>
            <w:tcW w:w="5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April 30, 2021</w:t>
            </w:r>
          </w:p>
        </w:tc>
      </w:tr>
      <w:tr>
        <w:trPr>
          <w:trHeight w:val="214"/>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1,249,478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1,149,107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2,182,128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2,022,093</w:t>
            </w:r>
          </w:p>
        </w:tc>
      </w:tr>
      <w:tr>
        <w:trPr>
          <w:trHeight w:val="217"/>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844,109</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746,154</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1,476,283</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1,304,104</w:t>
            </w:r>
          </w:p>
        </w:tc>
      </w:tr>
      <w:tr>
        <w:trPr>
          <w:trHeight w:val="216"/>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405,369</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402,953</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705,845</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717,989</w:t>
            </w:r>
          </w:p>
        </w:tc>
      </w:tr>
      <w:tr>
        <w:trPr>
          <w:trHeight w:val="217"/>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234,792</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222,237</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443,642</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395,808</w:t>
            </w:r>
          </w:p>
        </w:tc>
      </w:tr>
      <w:tr>
        <w:trPr>
          <w:trHeight w:val="216"/>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earnings</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170,577</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180,716</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262,203</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322,181</w:t>
            </w:r>
          </w:p>
        </w:tc>
      </w:tr>
      <w:tr>
        <w:trPr>
          <w:trHeight w:val="21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(8,024)</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(7,124)</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(15,037)</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(14,646)</w:t>
            </w:r>
          </w:p>
        </w:tc>
      </w:tr>
      <w:tr>
        <w:trPr>
          <w:trHeight w:val="22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2,503</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3,651</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5,037</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5,534</w:t>
            </w:r>
          </w:p>
        </w:tc>
      </w:tr>
      <w:tr>
        <w:trPr>
          <w:trHeight w:val="213"/>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20" w:type="dxa"/>
            <w:vAlign w:val="bottom"/>
          </w:tcPr>
          <w:p>
            <w:pPr>
              <w:spacing w:after="0"/>
              <w:rPr>
                <w:sz w:val="18"/>
                <w:szCs w:val="18"/>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165,056</w:t>
            </w:r>
          </w:p>
        </w:tc>
        <w:tc>
          <w:tcPr>
            <w:tcW w:w="200" w:type="dxa"/>
            <w:vAlign w:val="bottom"/>
          </w:tcPr>
          <w:p>
            <w:pPr>
              <w:spacing w:after="0"/>
              <w:rPr>
                <w:sz w:val="18"/>
                <w:szCs w:val="18"/>
                <w:color w:val="auto"/>
              </w:rPr>
            </w:pPr>
          </w:p>
        </w:tc>
        <w:tc>
          <w:tcPr>
            <w:tcW w:w="132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177,243</w:t>
            </w:r>
          </w:p>
        </w:tc>
        <w:tc>
          <w:tcPr>
            <w:tcW w:w="2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252,203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313,069</w:t>
            </w:r>
          </w:p>
        </w:tc>
      </w:tr>
      <w:tr>
        <w:trPr>
          <w:trHeight w:val="22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33,931</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35,072</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51,568</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59,617</w:t>
            </w:r>
          </w:p>
        </w:tc>
      </w:tr>
      <w:tr>
        <w:trPr>
          <w:trHeight w:val="213"/>
        </w:trPr>
        <w:tc>
          <w:tcPr>
            <w:tcW w:w="5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131,125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142,171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200,635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253,452</w:t>
            </w:r>
          </w:p>
        </w:tc>
      </w:tr>
      <w:tr>
        <w:trPr>
          <w:trHeight w:val="22"/>
        </w:trPr>
        <w:tc>
          <w:tcPr>
            <w:tcW w:w="5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70"/>
        </w:trPr>
        <w:tc>
          <w:tcPr>
            <w:tcW w:w="51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r>
      <w:tr>
        <w:trPr>
          <w:trHeight w:val="220"/>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earnings per share of common stock</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1.91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83"/>
        </w:trPr>
        <w:tc>
          <w:tcPr>
            <w:tcW w:w="5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r>
      <w:tr>
        <w:trPr>
          <w:trHeight w:val="217"/>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earnings per share of common stock</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86"/>
        </w:trPr>
        <w:tc>
          <w:tcPr>
            <w:tcW w:w="5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r>
      <w:tr>
        <w:trPr>
          <w:trHeight w:val="22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104,928</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107,753</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104,982</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107,937</w:t>
            </w:r>
          </w:p>
        </w:tc>
      </w:tr>
      <w:tr>
        <w:trPr>
          <w:trHeight w:val="103"/>
        </w:trPr>
        <w:tc>
          <w:tcPr>
            <w:tcW w:w="5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217"/>
        </w:trPr>
        <w:tc>
          <w:tcPr>
            <w:tcW w:w="5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105,746</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108,898</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105,894</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109,052</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Comprehensive Income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65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jc w:val="right"/>
              <w:ind w:right="738"/>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9"/>
        </w:trPr>
        <w:tc>
          <w:tcPr>
            <w:tcW w:w="5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131,125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142,171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200,635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253,452</w:t>
            </w:r>
          </w:p>
        </w:tc>
        <w:tc>
          <w:tcPr>
            <w:tcW w:w="0" w:type="dxa"/>
            <w:vAlign w:val="bottom"/>
          </w:tcPr>
          <w:p>
            <w:pPr>
              <w:spacing w:after="0"/>
              <w:rPr>
                <w:sz w:val="1"/>
                <w:szCs w:val="1"/>
                <w:color w:val="auto"/>
              </w:rPr>
            </w:pPr>
          </w:p>
        </w:tc>
      </w:tr>
      <w:tr>
        <w:trPr>
          <w:trHeight w:val="217"/>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(9,408)</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(15,398)</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11,999</w:t>
            </w:r>
          </w:p>
        </w:tc>
        <w:tc>
          <w:tcPr>
            <w:tcW w:w="0" w:type="dxa"/>
            <w:vAlign w:val="bottom"/>
          </w:tcPr>
          <w:p>
            <w:pPr>
              <w:spacing w:after="0"/>
              <w:rPr>
                <w:sz w:val="1"/>
                <w:szCs w:val="1"/>
                <w:color w:val="auto"/>
              </w:rPr>
            </w:pPr>
          </w:p>
        </w:tc>
      </w:tr>
      <w:tr>
        <w:trPr>
          <w:trHeight w:val="155"/>
        </w:trPr>
        <w:tc>
          <w:tcPr>
            <w:tcW w:w="5100" w:type="dxa"/>
            <w:vAlign w:val="bottom"/>
          </w:tcPr>
          <w:p>
            <w:pPr>
              <w:ind w:left="140"/>
              <w:spacing w:after="0" w:line="155" w:lineRule="exact"/>
              <w:rPr>
                <w:sz w:val="20"/>
                <w:szCs w:val="20"/>
                <w:color w:val="auto"/>
              </w:rPr>
            </w:pPr>
            <w:r>
              <w:rPr>
                <w:rFonts w:ascii="Times New Roman" w:cs="Times New Roman" w:eastAsia="Times New Roman" w:hAnsi="Times New Roman"/>
                <w:sz w:val="16"/>
                <w:szCs w:val="16"/>
                <w:color w:val="auto"/>
              </w:rPr>
              <w:t>Derivative instruments, net of tax of $2,001; $291; $4,032; and $(2,500),</w:t>
            </w:r>
          </w:p>
        </w:tc>
        <w:tc>
          <w:tcPr>
            <w:tcW w:w="340" w:type="dxa"/>
            <w:vAlign w:val="bottom"/>
          </w:tcPr>
          <w:p>
            <w:pPr>
              <w:spacing w:after="0"/>
              <w:rPr>
                <w:sz w:val="13"/>
                <w:szCs w:val="13"/>
                <w:color w:val="auto"/>
              </w:rPr>
            </w:pPr>
          </w:p>
        </w:tc>
        <w:tc>
          <w:tcPr>
            <w:tcW w:w="130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7,199</w:t>
            </w:r>
          </w:p>
        </w:tc>
        <w:tc>
          <w:tcPr>
            <w:tcW w:w="20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240" w:type="dxa"/>
            <w:vAlign w:val="bottom"/>
          </w:tcPr>
          <w:p>
            <w:pPr>
              <w:spacing w:after="0"/>
              <w:rPr>
                <w:sz w:val="13"/>
                <w:szCs w:val="13"/>
                <w:color w:val="auto"/>
              </w:rPr>
            </w:pPr>
          </w:p>
        </w:tc>
        <w:tc>
          <w:tcPr>
            <w:tcW w:w="130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13,571</w:t>
            </w:r>
          </w:p>
        </w:tc>
        <w:tc>
          <w:tcPr>
            <w:tcW w:w="2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(7,149)</w:t>
            </w:r>
          </w:p>
        </w:tc>
        <w:tc>
          <w:tcPr>
            <w:tcW w:w="0" w:type="dxa"/>
            <w:vAlign w:val="bottom"/>
          </w:tcPr>
          <w:p>
            <w:pPr>
              <w:spacing w:after="0"/>
              <w:rPr>
                <w:sz w:val="1"/>
                <w:szCs w:val="1"/>
                <w:color w:val="auto"/>
              </w:rPr>
            </w:pPr>
          </w:p>
        </w:tc>
      </w:tr>
      <w:tr>
        <w:trPr>
          <w:trHeight w:val="217"/>
        </w:trPr>
        <w:tc>
          <w:tcPr>
            <w:tcW w:w="5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3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0" w:type="dxa"/>
            <w:vAlign w:val="bottom"/>
          </w:tcPr>
          <w:p>
            <w:pPr>
              <w:spacing w:after="0"/>
              <w:rPr>
                <w:sz w:val="1"/>
                <w:szCs w:val="1"/>
                <w:color w:val="auto"/>
              </w:rPr>
            </w:pPr>
          </w:p>
        </w:tc>
      </w:tr>
      <w:tr>
        <w:trPr>
          <w:trHeight w:val="213"/>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128,916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144,935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198,808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258,302</w:t>
            </w:r>
          </w:p>
        </w:tc>
        <w:tc>
          <w:tcPr>
            <w:tcW w:w="0" w:type="dxa"/>
            <w:vAlign w:val="bottom"/>
          </w:tcPr>
          <w:p>
            <w:pPr>
              <w:spacing w:after="0"/>
              <w:rPr>
                <w:sz w:val="1"/>
                <w:szCs w:val="1"/>
                <w:color w:val="auto"/>
              </w:rPr>
            </w:pPr>
          </w:p>
        </w:tc>
      </w:tr>
      <w:tr>
        <w:trPr>
          <w:trHeight w:val="22"/>
        </w:trPr>
        <w:tc>
          <w:tcPr>
            <w:tcW w:w="5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thousands,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2760" w:type="dxa"/>
            <w:vAlign w:val="bottom"/>
            <w:tcBorders>
              <w:top w:val="single" w:sz="8" w:color="auto"/>
              <w:bottom w:val="single" w:sz="8" w:color="auto"/>
            </w:tcBorders>
          </w:tcPr>
          <w:p>
            <w:pPr>
              <w:spacing w:after="0"/>
              <w:rPr>
                <w:sz w:val="20"/>
                <w:szCs w:val="20"/>
                <w:color w:val="auto"/>
              </w:rPr>
            </w:pPr>
          </w:p>
        </w:tc>
        <w:tc>
          <w:tcPr>
            <w:tcW w:w="26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2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October 31, 2021</w:t>
            </w:r>
          </w:p>
        </w:tc>
        <w:tc>
          <w:tcPr>
            <w:tcW w:w="0" w:type="dxa"/>
            <w:vAlign w:val="bottom"/>
          </w:tcPr>
          <w:p>
            <w:pPr>
              <w:spacing w:after="0"/>
              <w:rPr>
                <w:sz w:val="1"/>
                <w:szCs w:val="1"/>
                <w:color w:val="auto"/>
              </w:rPr>
            </w:pP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ASSETS</w:t>
            </w:r>
          </w:p>
        </w:tc>
        <w:tc>
          <w:tcPr>
            <w:tcW w:w="544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263,233</w:t>
            </w:r>
          </w:p>
        </w:tc>
        <w:tc>
          <w:tcPr>
            <w:tcW w:w="26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497,635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405,612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439,333</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391,236</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310,279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891,676</w:t>
            </w:r>
          </w:p>
        </w:tc>
        <w:tc>
          <w:tcPr>
            <w:tcW w:w="26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628,811</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738,170</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69,434</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41,809</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35,124</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1,663,676</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1,559,491</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1,489,185</w:t>
            </w:r>
          </w:p>
        </w:tc>
        <w:tc>
          <w:tcPr>
            <w:tcW w:w="0" w:type="dxa"/>
            <w:vAlign w:val="bottom"/>
          </w:tcPr>
          <w:p>
            <w:pPr>
              <w:spacing w:after="0"/>
              <w:rPr>
                <w:sz w:val="1"/>
                <w:szCs w:val="1"/>
                <w:color w:val="auto"/>
              </w:rPr>
            </w:pPr>
          </w:p>
        </w:tc>
      </w:tr>
      <w:tr>
        <w:trPr>
          <w:trHeight w:val="86"/>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26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512,430</w:t>
            </w:r>
          </w:p>
        </w:tc>
        <w:tc>
          <w:tcPr>
            <w:tcW w:w="26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453,548</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487,731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581,318</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422,250</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589,608</w:t>
            </w:r>
          </w:p>
        </w:tc>
        <w:tc>
          <w:tcPr>
            <w:tcW w:w="26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432,929</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420,041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75,533</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73,774</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Investment in finance affiliate</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30,853</w:t>
            </w:r>
          </w:p>
        </w:tc>
        <w:tc>
          <w:tcPr>
            <w:tcW w:w="26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25,295</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20,671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1,908</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9,183</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23,980</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19,639</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24,042</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3,479,306</w:t>
            </w: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2,996,109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2,936,140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6040" w:type="dxa"/>
            <w:vAlign w:val="bottom"/>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tcPr>
          <w:p>
            <w:pPr>
              <w:spacing w:after="0"/>
              <w:rPr>
                <w:sz w:val="18"/>
                <w:szCs w:val="18"/>
                <w:color w:val="auto"/>
              </w:rPr>
            </w:pPr>
          </w:p>
        </w:tc>
        <w:tc>
          <w:tcPr>
            <w:tcW w:w="3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CCEEFF"/>
            </w:tcBorders>
          </w:tcPr>
          <w:p>
            <w:pPr>
              <w:jc w:val="right"/>
              <w:ind w:right="38"/>
              <w:spacing w:after="0"/>
              <w:rPr>
                <w:sz w:val="20"/>
                <w:szCs w:val="20"/>
                <w:color w:val="auto"/>
              </w:rPr>
            </w:pPr>
            <w:r>
              <w:rPr>
                <w:rFonts w:ascii="Times New Roman" w:cs="Times New Roman" w:eastAsia="Times New Roman" w:hAnsi="Times New Roman"/>
                <w:sz w:val="16"/>
                <w:szCs w:val="16"/>
                <w:color w:val="auto"/>
              </w:rPr>
              <w:t>100,000</w:t>
            </w:r>
          </w:p>
        </w:tc>
        <w:tc>
          <w:tcPr>
            <w:tcW w:w="260" w:type="dxa"/>
            <w:vAlign w:val="bottom"/>
            <w:tcBorders>
              <w:top w:val="single" w:sz="8" w:color="CCEEFF"/>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CCEEFF"/>
            </w:tcBorders>
          </w:tcPr>
          <w:p>
            <w:pPr>
              <w:jc w:val="right"/>
              <w:ind w:right="18"/>
              <w:spacing w:after="0"/>
              <w:rPr>
                <w:sz w:val="20"/>
                <w:szCs w:val="20"/>
                <w:color w:val="auto"/>
              </w:rPr>
            </w:pPr>
            <w:r>
              <w:rPr>
                <w:rFonts w:ascii="Times New Roman" w:cs="Times New Roman" w:eastAsia="Times New Roman" w:hAnsi="Times New Roman"/>
                <w:sz w:val="16"/>
                <w:szCs w:val="16"/>
                <w:color w:val="auto"/>
              </w:rPr>
              <w:t>99,959</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566,769</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421,738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Accrued liabilities</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428,230</w:t>
            </w:r>
          </w:p>
        </w:tc>
        <w:tc>
          <w:tcPr>
            <w:tcW w:w="26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451,585</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419,620</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15,729</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15,622</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14,283</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1,110,728</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988,904</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937,019</w:t>
            </w:r>
          </w:p>
        </w:tc>
        <w:tc>
          <w:tcPr>
            <w:tcW w:w="0" w:type="dxa"/>
            <w:vAlign w:val="bottom"/>
          </w:tcPr>
          <w:p>
            <w:pPr>
              <w:spacing w:after="0"/>
              <w:rPr>
                <w:sz w:val="1"/>
                <w:szCs w:val="1"/>
                <w:color w:val="auto"/>
              </w:rPr>
            </w:pPr>
          </w:p>
        </w:tc>
      </w:tr>
      <w:tr>
        <w:trPr>
          <w:trHeight w:val="86"/>
        </w:trPr>
        <w:tc>
          <w:tcPr>
            <w:tcW w:w="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26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990,970</w:t>
            </w:r>
          </w:p>
        </w:tc>
        <w:tc>
          <w:tcPr>
            <w:tcW w:w="26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591,496</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691,242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63,066</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61,314</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50,349</w:t>
            </w:r>
          </w:p>
        </w:tc>
        <w:tc>
          <w:tcPr>
            <w:tcW w:w="26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74,440</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50,397</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40,677</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50,538</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50,598</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76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40" w:type="dxa"/>
            <w:vAlign w:val="bottom"/>
            <w:gridSpan w:val="3"/>
          </w:tcPr>
          <w:p>
            <w:pPr>
              <w:ind w:left="120"/>
              <w:spacing w:after="0" w:line="155" w:lineRule="exact"/>
              <w:rPr>
                <w:sz w:val="20"/>
                <w:szCs w:val="20"/>
                <w:color w:val="auto"/>
              </w:rPr>
            </w:pPr>
            <w:r>
              <w:rPr>
                <w:rFonts w:ascii="Times New Roman" w:cs="Times New Roman" w:eastAsia="Times New Roman" w:hAnsi="Times New Roman"/>
                <w:sz w:val="16"/>
                <w:szCs w:val="16"/>
                <w:color w:val="auto"/>
              </w:rPr>
              <w:t>Preferred stock, par value $1.00 per share, authorized 1,000,000 voting and 850,000 non-</w:t>
            </w:r>
          </w:p>
        </w:tc>
        <w:tc>
          <w:tcPr>
            <w:tcW w:w="260" w:type="dxa"/>
            <w:vAlign w:val="bottom"/>
          </w:tcPr>
          <w:p>
            <w:pPr>
              <w:spacing w:after="0"/>
              <w:rPr>
                <w:sz w:val="13"/>
                <w:szCs w:val="13"/>
                <w:color w:val="auto"/>
              </w:rPr>
            </w:pPr>
          </w:p>
        </w:tc>
        <w:tc>
          <w:tcPr>
            <w:tcW w:w="1480" w:type="dxa"/>
            <w:vAlign w:val="bottom"/>
            <w:vMerge w:val="restart"/>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3"/>
                <w:szCs w:val="13"/>
                <w:color w:val="auto"/>
              </w:rPr>
            </w:pPr>
          </w:p>
        </w:tc>
        <w:tc>
          <w:tcPr>
            <w:tcW w:w="1460" w:type="dxa"/>
            <w:vAlign w:val="bottom"/>
            <w:vMerge w:val="restart"/>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voting shares, none issued and outstanding</w:t>
            </w:r>
          </w:p>
        </w:tc>
        <w:tc>
          <w:tcPr>
            <w:tcW w:w="2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ind w:left="120"/>
              <w:spacing w:after="0" w:line="158" w:lineRule="exact"/>
              <w:rPr>
                <w:sz w:val="20"/>
                <w:szCs w:val="20"/>
                <w:color w:val="auto"/>
              </w:rPr>
            </w:pPr>
            <w:r>
              <w:rPr>
                <w:rFonts w:ascii="Times New Roman" w:cs="Times New Roman" w:eastAsia="Times New Roman" w:hAnsi="Times New Roman"/>
                <w:sz w:val="16"/>
                <w:szCs w:val="16"/>
                <w:color w:val="auto"/>
              </w:rPr>
              <w:t>Common stock, par value $1.00 per share, authorized 175,000,000 shares; issued and</w:t>
            </w:r>
          </w:p>
        </w:tc>
        <w:tc>
          <w:tcPr>
            <w:tcW w:w="2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040" w:type="dxa"/>
            <w:vAlign w:val="bottom"/>
            <w:gridSpan w:val="3"/>
            <w:shd w:val="clear" w:color="auto" w:fill="CCEEFF"/>
          </w:tcPr>
          <w:p>
            <w:pPr>
              <w:ind w:left="120"/>
              <w:spacing w:after="0" w:line="159" w:lineRule="exact"/>
              <w:rPr>
                <w:sz w:val="20"/>
                <w:szCs w:val="20"/>
                <w:color w:val="auto"/>
              </w:rPr>
            </w:pPr>
            <w:r>
              <w:rPr>
                <w:rFonts w:ascii="Times New Roman" w:cs="Times New Roman" w:eastAsia="Times New Roman" w:hAnsi="Times New Roman"/>
                <w:sz w:val="16"/>
                <w:szCs w:val="16"/>
                <w:color w:val="auto"/>
              </w:rPr>
              <w:t>outstanding 104,568,002 shares as of April 29, 2022, 107,042,925 shares as of April 30,</w:t>
            </w:r>
          </w:p>
        </w:tc>
        <w:tc>
          <w:tcPr>
            <w:tcW w:w="26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104,568</w:t>
            </w:r>
          </w:p>
        </w:tc>
        <w:tc>
          <w:tcPr>
            <w:tcW w:w="26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107,043</w:t>
            </w:r>
          </w:p>
        </w:tc>
        <w:tc>
          <w:tcPr>
            <w:tcW w:w="220" w:type="dxa"/>
            <w:vAlign w:val="bottom"/>
            <w:shd w:val="clear" w:color="auto" w:fill="CCEEFF"/>
          </w:tcPr>
          <w:p>
            <w:pPr>
              <w:spacing w:after="0"/>
              <w:rPr>
                <w:sz w:val="13"/>
                <w:szCs w:val="13"/>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105,206</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0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2021, and 105,205,734 shares as of October 31, 2021</w:t>
            </w:r>
          </w:p>
        </w:tc>
        <w:tc>
          <w:tcPr>
            <w:tcW w:w="26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8"/>
                <w:szCs w:val="18"/>
                <w:color w:val="auto"/>
              </w:rPr>
            </w:pPr>
          </w:p>
        </w:tc>
        <w:tc>
          <w:tcPr>
            <w:tcW w:w="1480" w:type="dxa"/>
            <w:vAlign w:val="bottom"/>
          </w:tcPr>
          <w:p>
            <w:pPr>
              <w:jc w:val="right"/>
              <w:ind w:right="38"/>
              <w:spacing w:after="0"/>
              <w:rPr>
                <w:sz w:val="20"/>
                <w:szCs w:val="20"/>
                <w:color w:val="auto"/>
              </w:rPr>
            </w:pPr>
            <w:r>
              <w:rPr>
                <w:rFonts w:ascii="Times New Roman" w:cs="Times New Roman" w:eastAsia="Times New Roman" w:hAnsi="Times New Roman"/>
                <w:sz w:val="16"/>
                <w:szCs w:val="16"/>
                <w:color w:val="auto"/>
              </w:rPr>
              <w:t>1,146,771</w:t>
            </w:r>
          </w:p>
        </w:tc>
        <w:tc>
          <w:tcPr>
            <w:tcW w:w="260" w:type="dxa"/>
            <w:vAlign w:val="bottom"/>
          </w:tcPr>
          <w:p>
            <w:pPr>
              <w:spacing w:after="0"/>
              <w:rPr>
                <w:sz w:val="18"/>
                <w:szCs w:val="18"/>
                <w:color w:val="auto"/>
              </w:rPr>
            </w:pPr>
          </w:p>
        </w:tc>
        <w:tc>
          <w:tcPr>
            <w:tcW w:w="14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1,151,786</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1,071,922</w:t>
            </w:r>
          </w:p>
        </w:tc>
        <w:tc>
          <w:tcPr>
            <w:tcW w:w="0" w:type="dxa"/>
            <w:vAlign w:val="bottom"/>
          </w:tcPr>
          <w:p>
            <w:pPr>
              <w:spacing w:after="0"/>
              <w:rPr>
                <w:sz w:val="1"/>
                <w:szCs w:val="1"/>
                <w:color w:val="auto"/>
              </w:rPr>
            </w:pPr>
          </w:p>
        </w:tc>
      </w:tr>
      <w:tr>
        <w:trPr>
          <w:trHeight w:val="220"/>
        </w:trPr>
        <w:tc>
          <w:tcPr>
            <w:tcW w:w="20" w:type="dxa"/>
            <w:vAlign w:val="bottom"/>
            <w:tcBorders>
              <w:bottom w:val="single" w:sz="8" w:color="auto"/>
            </w:tcBorders>
            <w:shd w:val="clear" w:color="auto" w:fill="CCEEFF"/>
          </w:tcPr>
          <w:p>
            <w:pPr>
              <w:spacing w:after="0"/>
              <w:rPr>
                <w:sz w:val="19"/>
                <w:szCs w:val="19"/>
                <w:color w:val="auto"/>
              </w:rPr>
            </w:pPr>
          </w:p>
        </w:tc>
        <w:tc>
          <w:tcPr>
            <w:tcW w:w="6040" w:type="dxa"/>
            <w:vAlign w:val="bottom"/>
            <w:tcBorders>
              <w:bottom w:val="single" w:sz="8" w:color="auto"/>
            </w:tcBorders>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(27,823)</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(29,412)</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(25,996)</w:t>
            </w:r>
          </w:p>
        </w:tc>
        <w:tc>
          <w:tcPr>
            <w:tcW w:w="0" w:type="dxa"/>
            <w:vAlign w:val="bottom"/>
          </w:tcPr>
          <w:p>
            <w:pPr>
              <w:spacing w:after="0"/>
              <w:rPr>
                <w:sz w:val="1"/>
                <w:szCs w:val="1"/>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1,223,516</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1,229,417</w:t>
            </w: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1,151,132</w:t>
            </w:r>
          </w:p>
        </w:tc>
        <w:tc>
          <w:tcPr>
            <w:tcW w:w="0" w:type="dxa"/>
            <w:vAlign w:val="bottom"/>
          </w:tcPr>
          <w:p>
            <w:pPr>
              <w:spacing w:after="0"/>
              <w:rPr>
                <w:sz w:val="1"/>
                <w:szCs w:val="1"/>
                <w:color w:val="auto"/>
              </w:rPr>
            </w:pPr>
          </w:p>
        </w:tc>
      </w:tr>
      <w:tr>
        <w:trPr>
          <w:trHeight w:val="238"/>
        </w:trPr>
        <w:tc>
          <w:tcPr>
            <w:tcW w:w="20" w:type="dxa"/>
            <w:vAlign w:val="bottom"/>
            <w:tcBorders>
              <w:bottom w:val="single" w:sz="8" w:color="auto"/>
            </w:tcBorders>
            <w:shd w:val="clear" w:color="auto" w:fill="CCEEFF"/>
          </w:tcPr>
          <w:p>
            <w:pPr>
              <w:spacing w:after="0"/>
              <w:rPr>
                <w:sz w:val="20"/>
                <w:szCs w:val="20"/>
                <w:color w:val="auto"/>
              </w:rPr>
            </w:pPr>
          </w:p>
        </w:tc>
        <w:tc>
          <w:tcPr>
            <w:tcW w:w="604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3,479,306</w:t>
            </w:r>
          </w:p>
        </w:tc>
        <w:tc>
          <w:tcPr>
            <w:tcW w:w="26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2,996,109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2,936,140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Cash Flows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thousands)</w:t>
      </w:r>
    </w:p>
    <w:p>
      <w:pPr>
        <w:spacing w:after="0" w:line="115"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8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April 30, 2021</w:t>
            </w:r>
          </w:p>
        </w:tc>
      </w:tr>
      <w:tr>
        <w:trPr>
          <w:trHeight w:val="214"/>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6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200,635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253,452</w:t>
            </w: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income from finance affiliate</w:t>
            </w:r>
          </w:p>
        </w:tc>
        <w:tc>
          <w:tcPr>
            <w:tcW w:w="1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(3,329)</w:t>
            </w: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Contributions to finance affiliate, net</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16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37,318</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38,045</w:t>
            </w: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other intangible assets</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15,632</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11,134</w:t>
            </w: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Fair value step-up adjustment to acquired inventory</w:t>
            </w:r>
          </w:p>
        </w:tc>
        <w:tc>
          <w:tcPr>
            <w:tcW w:w="16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535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 cost for stock-based compensation awards</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11,133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10,345</w:t>
            </w: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6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313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the effect of acquisitions:</w:t>
            </w:r>
          </w:p>
        </w:tc>
        <w:tc>
          <w:tcPr>
            <w:tcW w:w="1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net</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(126,413)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(130,032)</w:t>
            </w: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(122,731)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18,652</w:t>
            </w: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17"/>
        </w:trPr>
        <w:tc>
          <w:tcPr>
            <w:tcW w:w="6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Accounts payable, accrued liabilities, and other liabilities</w:t>
            </w:r>
          </w:p>
        </w:tc>
        <w:tc>
          <w:tcPr>
            <w:tcW w:w="16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56,774</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122,251</w:t>
            </w:r>
          </w:p>
        </w:tc>
      </w:tr>
      <w:tr>
        <w:trPr>
          <w:trHeight w:val="213"/>
        </w:trPr>
        <w:tc>
          <w:tcPr>
            <w:tcW w:w="6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6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42,864</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318,619</w:t>
            </w:r>
          </w:p>
        </w:tc>
      </w:tr>
      <w:tr>
        <w:trPr>
          <w:trHeight w:val="86"/>
        </w:trPr>
        <w:tc>
          <w:tcPr>
            <w:tcW w:w="68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r>
      <w:tr>
        <w:trPr>
          <w:trHeight w:val="22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1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(35,969)</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(26,198)</w:t>
            </w: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(403,120)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(14,874)</w:t>
            </w: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 acquisition, net of cash acquired</w:t>
            </w:r>
          </w:p>
        </w:tc>
        <w:tc>
          <w:tcPr>
            <w:tcW w:w="16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(26,976)</w:t>
            </w: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asset disposals</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17"/>
        </w:trPr>
        <w:tc>
          <w:tcPr>
            <w:tcW w:w="6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Proceeds from sale of a business</w:t>
            </w:r>
          </w:p>
        </w:tc>
        <w:tc>
          <w:tcPr>
            <w:tcW w:w="16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18,432</w:t>
            </w:r>
          </w:p>
        </w:tc>
      </w:tr>
      <w:tr>
        <w:trPr>
          <w:trHeight w:val="213"/>
        </w:trPr>
        <w:tc>
          <w:tcPr>
            <w:tcW w:w="6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6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(438,926)</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(49,525)</w:t>
            </w:r>
          </w:p>
        </w:tc>
      </w:tr>
      <w:tr>
        <w:trPr>
          <w:trHeight w:val="73"/>
        </w:trPr>
        <w:tc>
          <w:tcPr>
            <w:tcW w:w="68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60" w:type="dxa"/>
            <w:vAlign w:val="bottom"/>
          </w:tcPr>
          <w:p>
            <w:pPr>
              <w:spacing w:after="0"/>
              <w:rPr>
                <w:sz w:val="6"/>
                <w:szCs w:val="6"/>
                <w:color w:val="auto"/>
              </w:rPr>
            </w:pPr>
          </w:p>
        </w:tc>
      </w:tr>
      <w:tr>
        <w:trPr>
          <w:trHeight w:val="22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under debt arrangements</w:t>
            </w:r>
          </w:p>
        </w:tc>
        <w:tc>
          <w:tcPr>
            <w:tcW w:w="16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600,000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under debt arrangements</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600" w:type="dxa"/>
            <w:vAlign w:val="bottom"/>
          </w:tcPr>
          <w:p>
            <w:pPr>
              <w:spacing w:after="0"/>
              <w:rPr>
                <w:sz w:val="18"/>
                <w:szCs w:val="18"/>
                <w:color w:val="auto"/>
              </w:rPr>
            </w:pPr>
          </w:p>
        </w:tc>
        <w:tc>
          <w:tcPr>
            <w:tcW w:w="132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2,247</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10,865</w:t>
            </w:r>
          </w:p>
        </w:tc>
      </w:tr>
      <w:tr>
        <w:trPr>
          <w:trHeight w:val="223"/>
        </w:trPr>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withholding taxes for stock awards</w:t>
            </w:r>
          </w:p>
        </w:tc>
        <w:tc>
          <w:tcPr>
            <w:tcW w:w="16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r>
      <w:tr>
        <w:trPr>
          <w:trHeight w:val="217"/>
        </w:trPr>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TTC common stock</w:t>
            </w:r>
          </w:p>
        </w:tc>
        <w:tc>
          <w:tcPr>
            <w:tcW w:w="16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(107,152)</w:t>
            </w:r>
          </w:p>
        </w:tc>
      </w:tr>
      <w:tr>
        <w:trPr>
          <w:trHeight w:val="220"/>
        </w:trPr>
        <w:tc>
          <w:tcPr>
            <w:tcW w:w="68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 on TTC common stock</w:t>
            </w:r>
          </w:p>
        </w:tc>
        <w:tc>
          <w:tcPr>
            <w:tcW w:w="16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(62,954)</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(56,602)</w:t>
            </w:r>
          </w:p>
        </w:tc>
      </w:tr>
      <w:tr>
        <w:trPr>
          <w:trHeight w:val="213"/>
        </w:trPr>
        <w:tc>
          <w:tcPr>
            <w:tcW w:w="6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6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262,443</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(254,058)</w:t>
            </w:r>
          </w:p>
        </w:tc>
      </w:tr>
      <w:tr>
        <w:trPr>
          <w:trHeight w:val="86"/>
        </w:trPr>
        <w:tc>
          <w:tcPr>
            <w:tcW w:w="684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r>
      <w:tr>
        <w:trPr>
          <w:trHeight w:val="217"/>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and cash equivalents</w:t>
            </w:r>
          </w:p>
        </w:tc>
        <w:tc>
          <w:tcPr>
            <w:tcW w:w="16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(8,760)</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2,707</w:t>
            </w:r>
          </w:p>
        </w:tc>
      </w:tr>
      <w:tr>
        <w:trPr>
          <w:trHeight w:val="86"/>
        </w:trPr>
        <w:tc>
          <w:tcPr>
            <w:tcW w:w="684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r>
      <w:tr>
        <w:trPr>
          <w:trHeight w:val="217"/>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6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(142,379)</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17,743</w:t>
            </w:r>
          </w:p>
        </w:tc>
      </w:tr>
      <w:tr>
        <w:trPr>
          <w:trHeight w:val="213"/>
        </w:trPr>
        <w:tc>
          <w:tcPr>
            <w:tcW w:w="6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beginning of the fiscal period</w:t>
            </w:r>
          </w:p>
        </w:tc>
        <w:tc>
          <w:tcPr>
            <w:tcW w:w="16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405,612</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479,892</w:t>
            </w:r>
          </w:p>
        </w:tc>
      </w:tr>
      <w:tr>
        <w:trPr>
          <w:trHeight w:val="213"/>
        </w:trPr>
        <w:tc>
          <w:tcPr>
            <w:tcW w:w="6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as of the end of the fiscal period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263,233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497,635</w:t>
            </w:r>
          </w:p>
        </w:tc>
      </w:tr>
      <w:tr>
        <w:trPr>
          <w:trHeight w:val="22"/>
        </w:trPr>
        <w:tc>
          <w:tcPr>
            <w:tcW w:w="6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(Dollars in thousands,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98"/>
              <w:spacing w:after="0" w:line="168" w:lineRule="exact"/>
              <w:rPr>
                <w:sz w:val="20"/>
                <w:szCs w:val="20"/>
                <w:color w:val="auto"/>
              </w:rPr>
            </w:pPr>
            <w:r>
              <w:rPr>
                <w:rFonts w:ascii="Times New Roman" w:cs="Times New Roman" w:eastAsia="Times New Roman" w:hAnsi="Times New Roman"/>
                <w:sz w:val="16"/>
                <w:szCs w:val="16"/>
                <w:b w:val="1"/>
                <w:bCs w:val="1"/>
                <w:color w:val="auto"/>
              </w:rPr>
              <w:t>Common</w:t>
            </w: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318"/>
              <w:spacing w:after="0" w:line="168"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8"/>
              <w:spacing w:after="0" w:line="16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80" w:type="dxa"/>
            <w:vAlign w:val="bottom"/>
            <w:tcBorders>
              <w:top w:val="single" w:sz="8" w:color="auto"/>
            </w:tcBorders>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Total Stockholders'</w:t>
            </w:r>
          </w:p>
        </w:tc>
        <w:tc>
          <w:tcPr>
            <w:tcW w:w="0" w:type="dxa"/>
            <w:vAlign w:val="bottom"/>
          </w:tcPr>
          <w:p>
            <w:pPr>
              <w:spacing w:after="0"/>
              <w:rPr>
                <w:sz w:val="1"/>
                <w:szCs w:val="1"/>
                <w:color w:val="auto"/>
              </w:rPr>
            </w:pPr>
          </w:p>
        </w:tc>
      </w:tr>
      <w:tr>
        <w:trPr>
          <w:trHeight w:val="219"/>
        </w:trPr>
        <w:tc>
          <w:tcPr>
            <w:tcW w:w="5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720" w:type="dxa"/>
            <w:vAlign w:val="bottom"/>
            <w:tcBorders>
              <w:bottom w:val="single" w:sz="8" w:color="auto"/>
            </w:tcBorders>
            <w:gridSpan w:val="2"/>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28, 2022</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104,529</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1,040,634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(25,614)</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1,119,549</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$0.30 per share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(31,485)</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(31,485)</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43,681 shares of common stock under stock-based compensation</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44</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1,053</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5,908</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5,389 shares of common stock</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0" w:type="dxa"/>
            <w:vAlign w:val="bottom"/>
          </w:tcPr>
          <w:p>
            <w:pPr>
              <w:spacing w:after="0"/>
              <w:rPr>
                <w:sz w:val="1"/>
                <w:szCs w:val="1"/>
                <w:color w:val="auto"/>
              </w:rPr>
            </w:pPr>
          </w:p>
        </w:tc>
      </w:tr>
      <w:tr>
        <w:trPr>
          <w:trHeight w:val="22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131,125</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131,125</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April 29, 2022</w:t>
            </w:r>
          </w:p>
        </w:tc>
        <w:tc>
          <w:tcPr>
            <w:tcW w:w="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104,568</w:t>
            </w:r>
          </w:p>
        </w:tc>
        <w:tc>
          <w:tcPr>
            <w:tcW w:w="2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1,146,771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(27,823)</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1,223,516</w:t>
            </w:r>
          </w:p>
        </w:tc>
        <w:tc>
          <w:tcPr>
            <w:tcW w:w="0" w:type="dxa"/>
            <w:vAlign w:val="bottom"/>
          </w:tcPr>
          <w:p>
            <w:pPr>
              <w:spacing w:after="0"/>
              <w:rPr>
                <w:sz w:val="1"/>
                <w:szCs w:val="1"/>
                <w:color w:val="auto"/>
              </w:rPr>
            </w:pPr>
          </w:p>
        </w:tc>
      </w:tr>
      <w:tr>
        <w:trPr>
          <w:trHeight w:val="22"/>
        </w:trPr>
        <w:tc>
          <w:tcPr>
            <w:tcW w:w="5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
        </w:trPr>
        <w:tc>
          <w:tcPr>
            <w:tcW w:w="5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2021</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105,206</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1,071,922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(25,996)</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1,151,132</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$0.60 per share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(62,954)</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(62,954)</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153,339 shares of common stock under stock-based compensation</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153</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2,127</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plans</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11,133</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11,133</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Contribution of 33,162 shares of common stock to a deferred compensation</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trust</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757,908 shares of common stock</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(76,092)</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(76,850)</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0" w:type="dxa"/>
            <w:vAlign w:val="bottom"/>
          </w:tcPr>
          <w:p>
            <w:pPr>
              <w:spacing w:after="0"/>
              <w:rPr>
                <w:sz w:val="1"/>
                <w:szCs w:val="1"/>
                <w:color w:val="auto"/>
              </w:rPr>
            </w:pPr>
          </w:p>
        </w:tc>
      </w:tr>
      <w:tr>
        <w:trPr>
          <w:trHeight w:val="217"/>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200,635</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200,635</w:t>
            </w:r>
          </w:p>
        </w:tc>
        <w:tc>
          <w:tcPr>
            <w:tcW w:w="0" w:type="dxa"/>
            <w:vAlign w:val="bottom"/>
          </w:tcPr>
          <w:p>
            <w:pPr>
              <w:spacing w:after="0"/>
              <w:rPr>
                <w:sz w:val="1"/>
                <w:szCs w:val="1"/>
                <w:color w:val="auto"/>
              </w:rPr>
            </w:pPr>
          </w:p>
        </w:tc>
      </w:tr>
      <w:tr>
        <w:trPr>
          <w:trHeight w:val="238"/>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April 29, 2022</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104,568</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1,146,771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(27,823)</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1,223,516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5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29, 2021</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107,613</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1,104,285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(32,176)</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1,179,722</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$0.2625 per share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(28,191)</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(28,191)</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172,284 shares of common stock for exercised stock options and</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173</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2,978</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3,151</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restricted stock units</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5,829</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742,790 shares of common stock</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(75,286)</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(76,029)</w:t>
            </w: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2,764</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0" w:type="dxa"/>
            <w:vAlign w:val="bottom"/>
          </w:tcPr>
          <w:p>
            <w:pPr>
              <w:spacing w:after="0"/>
              <w:rPr>
                <w:sz w:val="1"/>
                <w:szCs w:val="1"/>
                <w:color w:val="auto"/>
              </w:rPr>
            </w:pPr>
          </w:p>
        </w:tc>
      </w:tr>
      <w:tr>
        <w:trPr>
          <w:trHeight w:val="22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142,171</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142,171</w:t>
            </w:r>
          </w:p>
        </w:tc>
        <w:tc>
          <w:tcPr>
            <w:tcW w:w="0" w:type="dxa"/>
            <w:vAlign w:val="bottom"/>
          </w:tcPr>
          <w:p>
            <w:pPr>
              <w:spacing w:after="0"/>
              <w:rPr>
                <w:sz w:val="1"/>
                <w:szCs w:val="1"/>
                <w:color w:val="auto"/>
              </w:rPr>
            </w:pPr>
          </w:p>
        </w:tc>
      </w:tr>
      <w:tr>
        <w:trPr>
          <w:trHeight w:val="213"/>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April 30, 2021</w:t>
            </w:r>
          </w:p>
        </w:tc>
        <w:tc>
          <w:tcPr>
            <w:tcW w:w="2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107,043</w:t>
            </w:r>
          </w:p>
        </w:tc>
        <w:tc>
          <w:tcPr>
            <w:tcW w:w="2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1,151,786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(29,412)</w:t>
            </w:r>
          </w:p>
        </w:tc>
        <w:tc>
          <w:tcPr>
            <w:tcW w:w="3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1,229,417</w:t>
            </w:r>
          </w:p>
        </w:tc>
        <w:tc>
          <w:tcPr>
            <w:tcW w:w="0" w:type="dxa"/>
            <w:vAlign w:val="bottom"/>
          </w:tcPr>
          <w:p>
            <w:pPr>
              <w:spacing w:after="0"/>
              <w:rPr>
                <w:sz w:val="1"/>
                <w:szCs w:val="1"/>
                <w:color w:val="auto"/>
              </w:rPr>
            </w:pPr>
          </w:p>
        </w:tc>
      </w:tr>
      <w:tr>
        <w:trPr>
          <w:trHeight w:val="22"/>
        </w:trPr>
        <w:tc>
          <w:tcPr>
            <w:tcW w:w="5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0"/>
        </w:trPr>
        <w:tc>
          <w:tcPr>
            <w:tcW w:w="52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2020</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107,583</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1,041,507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(34,262)</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1,114,828</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 on common stock - $0.525 per share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(56,602)</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(56,602)</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523,463 shares of common stock for exercised stock options and</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523</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8,857</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9,380</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restricted stock units and performance share awards</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10,345</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10,345</w:t>
            </w:r>
          </w:p>
        </w:tc>
        <w:tc>
          <w:tcPr>
            <w:tcW w:w="0" w:type="dxa"/>
            <w:vAlign w:val="bottom"/>
          </w:tcPr>
          <w:p>
            <w:pPr>
              <w:spacing w:after="0"/>
              <w:rPr>
                <w:sz w:val="1"/>
                <w:szCs w:val="1"/>
                <w:color w:val="auto"/>
              </w:rPr>
            </w:pPr>
          </w:p>
        </w:tc>
      </w:tr>
      <w:tr>
        <w:trPr>
          <w:trHeight w:val="158"/>
        </w:trPr>
        <w:tc>
          <w:tcPr>
            <w:tcW w:w="52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Contribution of 22,700 shares of common stock to a deferred compensation</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1,462</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0" w:type="dxa"/>
            <w:vAlign w:val="bottom"/>
          </w:tcPr>
          <w:p>
            <w:pPr>
              <w:spacing w:after="0"/>
              <w:rPr>
                <w:sz w:val="1"/>
                <w:szCs w:val="1"/>
                <w:color w:val="auto"/>
              </w:rPr>
            </w:pPr>
          </w:p>
        </w:tc>
      </w:tr>
      <w:tr>
        <w:trPr>
          <w:trHeight w:val="22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trust</w:t>
            </w: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1,085,907 shares of common stock</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(107,235)</w:t>
            </w:r>
          </w:p>
        </w:tc>
        <w:tc>
          <w:tcPr>
            <w:tcW w:w="160" w:type="dxa"/>
            <w:vAlign w:val="bottom"/>
          </w:tcPr>
          <w:p>
            <w:pPr>
              <w:spacing w:after="0"/>
              <w:rPr>
                <w:sz w:val="18"/>
                <w:szCs w:val="18"/>
                <w:color w:val="auto"/>
              </w:rPr>
            </w:pPr>
          </w:p>
        </w:tc>
        <w:tc>
          <w:tcPr>
            <w:tcW w:w="156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(108,321)</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4,850</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0" w:type="dxa"/>
            <w:vAlign w:val="bottom"/>
          </w:tcPr>
          <w:p>
            <w:pPr>
              <w:spacing w:after="0"/>
              <w:rPr>
                <w:sz w:val="1"/>
                <w:szCs w:val="1"/>
                <w:color w:val="auto"/>
              </w:rPr>
            </w:pPr>
          </w:p>
        </w:tc>
      </w:tr>
      <w:tr>
        <w:trPr>
          <w:trHeight w:val="217"/>
        </w:trPr>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253,452</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253,452</w:t>
            </w:r>
          </w:p>
        </w:tc>
        <w:tc>
          <w:tcPr>
            <w:tcW w:w="0" w:type="dxa"/>
            <w:vAlign w:val="bottom"/>
          </w:tcPr>
          <w:p>
            <w:pPr>
              <w:spacing w:after="0"/>
              <w:rPr>
                <w:sz w:val="1"/>
                <w:szCs w:val="1"/>
                <w:color w:val="auto"/>
              </w:rPr>
            </w:pPr>
          </w:p>
        </w:tc>
      </w:tr>
      <w:tr>
        <w:trPr>
          <w:trHeight w:val="238"/>
        </w:trPr>
        <w:tc>
          <w:tcPr>
            <w:tcW w:w="5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April 30, 2021</w:t>
            </w:r>
          </w:p>
        </w:tc>
        <w:tc>
          <w:tcPr>
            <w:tcW w:w="28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107,043</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1,151,786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(29,412)</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1,229,417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TORO COMPANY AND SUBSIDIARIES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Condensed Consolidated Financial Statements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29, 2022</w:t>
      </w:r>
    </w:p>
    <w:p>
      <w:pPr>
        <w:spacing w:after="0" w:line="332" w:lineRule="exact"/>
        <w:rPr>
          <w:sz w:val="20"/>
          <w:szCs w:val="20"/>
          <w:color w:val="auto"/>
        </w:rPr>
      </w:pPr>
    </w:p>
    <w:p>
      <w:pPr>
        <w:ind w:left="600" w:hanging="579"/>
        <w:spacing w:after="0"/>
        <w:tabs>
          <w:tab w:leader="none" w:pos="600" w:val="left"/>
        </w:tabs>
        <w:numPr>
          <w:ilvl w:val="0"/>
          <w:numId w:val="5"/>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Basis of Presentation</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Due to seasonality within the industries in which the company's businesses operate, the effect of COVID-19 and the macroeconomic effects resulting therefrom on the Company's business and operating results, among other factors, operating results for the six months ended April 29, 2022 cannot be annualized to determine the expected results for the fiscal year ending October 31, 2022.</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fiscal year ends on October 31 and quarterly results are reported based on three-month periods that generally end on the Friday closest to the calendar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For further information regarding the company's basis of presentation, refer to the Consolidated Financial Statements and Notes to Consolidated Financial Statements included in the company’s Annual Report on Form 10-K for the fiscal year ended October 31, 2021. The policies described in that report are used for preparing the company's quarterly reports on Form 10-Q.</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Russia's Invasion of Ukraine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During the second quarter of fiscal 2022, in response to Russia's Invasion of Ukraine, the company discontinued sales into the Russian and Belarus markets. Sales in those markets do not represent a significant share of our overall international business, and the company does not expect this decision to have a material impact on financial results.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Continuing Impact of COVID-19</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COVID-19 is having lingering effects on public health and portions of the global economy. The company continues to see significant pressure on global supply chains rooted mainly in disruptions created by these effects. The continuing implications of COVID-19, including its variants, and the macroeconomic effects resulting therefrom, on the company remain uncertain and will depend on future developments, including any adverse impact due to additional variants of the virus; its impact on market demand for the company's products; its impact on the company's employees, customers, and suppliers; the range of government mandated restrictions and other measures; and the success of the COVID-19 vaccines and their effectiveness against the virus and related variants. This uncertainty could have a material impact on accounting estimates and assumptions utilized to prepare the Condensed Consolidated Financial Statements as of and for the six months ended April 29, 2022 and in future reporting periods, which could result in a material adverse impact on the company's consolidated financial position, results of operations, and cash flows.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Policies and Estimates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allowances for current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or an asset acquisition,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circumstances, including the economic environment. Management adjusts such estimates and assumptions when facts and circumstances dictate. As future events and their effects cannot be determined with certainty, including those impacted by COVID-19 and Russia's invasion of Ukraine and the related sanctions and geopolitical tensions, actual amounts could differ significantly from those estimated at the time the Condensed Consolidated Financial Statements are prepared.</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Pronouncements Adopted</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In December 2019, the Financial Accounting Standards Board ("FASB") issued Accounting Standards Update ("ASU") No. 2019-12, </w:t>
      </w:r>
      <w:r>
        <w:rPr>
          <w:rFonts w:ascii="Times New Roman" w:cs="Times New Roman" w:eastAsia="Times New Roman" w:hAnsi="Times New Roman"/>
          <w:sz w:val="17"/>
          <w:szCs w:val="17"/>
          <w:i w:val="1"/>
          <w:iCs w:val="1"/>
          <w:color w:val="auto"/>
        </w:rPr>
        <w:t>Income Taxes (Topic 740):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Simplifying the Accounting for Income Taxes</w:t>
      </w:r>
      <w:r>
        <w:rPr>
          <w:rFonts w:ascii="Times New Roman" w:cs="Times New Roman" w:eastAsia="Times New Roman" w:hAnsi="Times New Roman"/>
          <w:sz w:val="17"/>
          <w:szCs w:val="17"/>
          <w:color w:val="auto"/>
        </w:rPr>
        <w:t>, which eliminates certain exceptions related to the approach for intraperiod tax allocation, the methodology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calculating income taxes in an interim period, and the recognition of deferred tax liabilities for outside basis differences. The amended guidance also clarifies and simplifies other aspects of the accounting for income taxes under accounting standards codification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The amended guidance was adopted in the first quarter of fiscal 2022 and did not have a material impact on the company's Condensed Consolidated Financial Statements.</w:t>
      </w:r>
    </w:p>
    <w:p>
      <w:pPr>
        <w:spacing w:after="0" w:line="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In January 2020, the FASB issued ASU No. 2020-01, </w:t>
      </w:r>
      <w:r>
        <w:rPr>
          <w:rFonts w:ascii="Times New Roman" w:cs="Times New Roman" w:eastAsia="Times New Roman" w:hAnsi="Times New Roman"/>
          <w:sz w:val="17"/>
          <w:szCs w:val="17"/>
          <w:i w:val="1"/>
          <w:iCs w:val="1"/>
          <w:color w:val="auto"/>
        </w:rPr>
        <w:t>Investments - Equity Securities (Topic 321), Investments - Equity Method and Joint Ventures (Topic 323),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Derivatives and Hedging (Topic 815)</w:t>
      </w:r>
      <w:r>
        <w:rPr>
          <w:rFonts w:ascii="Times New Roman" w:cs="Times New Roman" w:eastAsia="Times New Roman" w:hAnsi="Times New Roman"/>
          <w:sz w:val="17"/>
          <w:szCs w:val="17"/>
          <w:color w:val="auto"/>
        </w:rPr>
        <w:t>, which clarified that before applying or upon discontinuing the equity method of accounting for an investment in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an entity should consider observable transactions that require it to apply or discontinue the equity method of accounting for the purposes of applying the fair value measurement alternative. The amended guidance was adopted in the first quarter of fiscal 2022 and did not have a material impact on the company's Condensed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New Accounting Pronouncements Not Yet Adopted</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In March 2020, the FASB issued ASU No. 2020-04, </w:t>
      </w:r>
      <w:r>
        <w:rPr>
          <w:rFonts w:ascii="Times New Roman" w:cs="Times New Roman" w:eastAsia="Times New Roman" w:hAnsi="Times New Roman"/>
          <w:sz w:val="17"/>
          <w:szCs w:val="17"/>
          <w:i w:val="1"/>
          <w:iCs w:val="1"/>
          <w:color w:val="auto"/>
        </w:rPr>
        <w:t>Reference Rate Reform (Topic 848): Facilitation of the Effects of Reference Rate Reform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w:t>
      </w:r>
      <w:r>
        <w:rPr>
          <w:rFonts w:ascii="Times New Roman" w:cs="Times New Roman" w:eastAsia="Times New Roman" w:hAnsi="Times New Roman"/>
          <w:sz w:val="17"/>
          <w:szCs w:val="17"/>
          <w:color w:val="auto"/>
        </w:rPr>
        <w:t>, which provides temporary optional guidance to ease the potential burden of accounting for reference rate reform due to the cessation of the London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Interbank Offered Rate, commonly referred to as "LIBOR." The temporary guidance provides optional expedients and exceptions for applying U.S. GAAP to contracts, relationships, and transactions affected by reference rate reform if certain criteria are met. The guidance was effective upon issuance on March 12, 2020 and the provisions of the temporary optional guidance provided by the ASU may be elected on a prospective basis from the beginning of an interim period that includes the issuance date of the ASU through December 31, 2022, when the reference rate reform activity is expected to be substantially complete. In January 2021, the FASB issued ASU 2021-01, Reference Rate Reform (Topic 848): Scope, to provide supplemental guidance and to further clarify the scope of the amended guidance. At this time, the company does not have receivables, hedging relationships, or operating lease agreements that reference LIBOR or another reference rate expected to be discontinued; and therefore, the company has not applied the optional practical expedients under this ASU to these classes of assets. On October 5, 2021, the company entered into an amended and restated credit agreement and at such time, the company concluded that the optional practical expedients provided by the ASU would not be elected as the required criteria were not met. The amended and restated credit agreement includes a transition clause in the event LIBOR is discontinued and the company's other fixed-rate financing agreements do not reference LIBOR or another reference rate expected to be discontinued. On April 27, 2022, the company amended its October 5, 2021 amended and restated revolving credit agreement to transition the reference rate from LIBOR to Secured Overnight Financing Rate ("SOFR"). The SOFR reference rate will apply to draws and continuations that take place subsequent to the April 27, 2022 effective date of the amendment. For the outstanding borrowings as of April 29, 2022, the LIBOR reference rate was still in effect. The company does not expect the transition of LIBOR to have a material impact on the company's Condensed Consolidated Financial Statements; however, a review of other contracts and agreements is underway and is expected to be completed prior to December 31, 2022.</w:t>
      </w:r>
    </w:p>
    <w:p>
      <w:pPr>
        <w:spacing w:after="0" w:line="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believes that all other recently issued accounting pronouncements from the FASB that the company has not noted above, will not have a material impact on its Condensed Consolidated Financial Statements or do not apply to its operations.</w:t>
      </w:r>
    </w:p>
    <w:p>
      <w:pPr>
        <w:spacing w:after="0" w:line="75" w:lineRule="exact"/>
        <w:rPr>
          <w:sz w:val="20"/>
          <w:szCs w:val="20"/>
          <w:color w:val="auto"/>
        </w:rPr>
      </w:pPr>
    </w:p>
    <w:p>
      <w:pPr>
        <w:ind w:left="600" w:hanging="579"/>
        <w:spacing w:after="0"/>
        <w:tabs>
          <w:tab w:leader="none" w:pos="600" w:val="left"/>
        </w:tabs>
        <w:numPr>
          <w:ilvl w:val="0"/>
          <w:numId w:val="6"/>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Business Combination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Intimidator Group</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January 13, 2022 ("closing date"), pursuant to an equity interest purchase agreement ("equity agreement"), the company acquired the privately-held Intimidator Group ("Intimidator"). Intimidator primarily designs, manufactures, markets, and sells a commercial-grade line of zero-turn mowers under the Spartan Mowers brand, which are intended to provide innovative turf management solutions to landscape contractors and other customers who require a commercial-grade solution. The acquisition of Intimidator broadened the company's Professional reportable segment and expanded its manufacturing footprint and dealer network.</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 xml:space="preserve">The Intimidator acquisition was structured as an equity purchase, pursuant to which the company acquired 100 percent of the equity interests of the legal entities that comprised Intimidator, with the legal entities continuing as surviving entities and wholly-owned subsidiaries of the company. As part of the acquisition, the company also acquired the real property used by Intimidator that was owned by an affiliate of Intimidator. The aggregate preliminary cash consideration was $400.5 million ("purchase price") and remains subject to certain customary adjustments based on, among other things, the amount of actual cash, debt, and working capital in the business of Intimidator at the closing date. Such customary adjustments are expected to be completed during fiscal 2022. Additionally, the aggregate preliminary cash consideration remains subject to contingent consideration through the end of calendar year 2022, in the event of certain qualifying tax changes. As a result, the company could be subject to additional cash purchase consideration for an amount not to exceed $15.0 million and remittance of such contingent consideration, if required, is due by March 15, 2023. As of April 29, 2022, no liability was recorded within the Condensed Consolidated Balance Sheets for the contingent consideration as the contingency is not probable or estimable. If amounts were recorded for the contingent consideration during the 12 month provisional measurement period allowed under the accounting standards codification guidance for business combinations as a result of a qualifying tax change, the aggregate preliminary cash consideration would be increased by the amount of the contingent consideration with a corresponding increase in the goodwill recognized for the acquisition. The company funded the preliminary purchase price with borrowings under its existing unsecured senior revolving credit facility and cash provided by operating activities. For additional information regarding the company's unsecured senior revolving credit facility utilized to fund the purchase price, refer to Note 6, </w:t>
      </w:r>
      <w:r>
        <w:rPr>
          <w:rFonts w:ascii="Times New Roman" w:cs="Times New Roman" w:eastAsia="Times New Roman" w:hAnsi="Times New Roman"/>
          <w:sz w:val="17"/>
          <w:szCs w:val="17"/>
          <w:i w:val="1"/>
          <w:iCs w:val="1"/>
          <w:color w:val="auto"/>
        </w:rPr>
        <w:t>Indebtedness</w:t>
      </w:r>
      <w:r>
        <w:rPr>
          <w:rFonts w:ascii="Times New Roman" w:cs="Times New Roman" w:eastAsia="Times New Roman" w:hAnsi="Times New Roman"/>
          <w:sz w:val="17"/>
          <w:szCs w:val="17"/>
          <w:color w:val="auto"/>
        </w:rPr>
        <w: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Preliminary Purchase Price Allocation</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accounted for the acquisition in accordance with the accounting standards codification guidance for business combinations, whereby the aggregate preliminary purchase price was allocated to the acquired net tangible and intangible assets of Intimidator based on their fair values as of the closing date. The company believes that the information available as of the closing date provides a reasonable basis for estimating fair values of the assets acquired and liabilities assumed; however, the company is continuing to finalize these amounts. Thus, the preliminary measurements of the fair values of the assets acquired and liabilities assumed within the preliminary purchase price allocation are subject to change as additional information becomes available and as additional analysis is performed. The company expects to finalize its preliminary valuation and complete the allocation of the preliminary purchase price as soon as practicable, but no later than one year from the closing date of the acquisition, as required.</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summarizes the allocation of the preliminary purchase price to the fair values assigned to the assets acquired and liabilities assumed. These preliminary fair values are based on internal company and independent external third-party valuations and are subject to change as certain asset and liability valuations are finalized: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6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January 13, 2022</w:t>
            </w:r>
          </w:p>
        </w:tc>
      </w:tr>
      <w:tr>
        <w:trPr>
          <w:trHeight w:val="20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6,954</w:t>
            </w: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34,608</w:t>
            </w: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27,619</w:t>
            </w: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160,829</w:t>
            </w: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intangible assets:</w:t>
            </w:r>
          </w:p>
        </w:tc>
        <w:tc>
          <w:tcPr>
            <w:tcW w:w="36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7"/>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Indefinite-lived trade name</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99,100</w:t>
            </w:r>
          </w:p>
        </w:tc>
      </w:tr>
      <w:tr>
        <w:trPr>
          <w:trHeight w:val="207"/>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Finite-lived trade names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3,260</w:t>
            </w:r>
          </w:p>
        </w:tc>
      </w:tr>
      <w:tr>
        <w:trPr>
          <w:trHeight w:val="207"/>
        </w:trPr>
        <w:tc>
          <w:tcPr>
            <w:tcW w:w="6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Finite-lived customer-related</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80,500</w:t>
            </w:r>
          </w:p>
        </w:tc>
      </w:tr>
      <w:tr>
        <w:trPr>
          <w:trHeight w:val="207"/>
        </w:trPr>
        <w:tc>
          <w:tcPr>
            <w:tcW w:w="6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Finite-lived backlog</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(8,535)</w:t>
            </w:r>
          </w:p>
        </w:tc>
      </w:tr>
      <w:tr>
        <w:trPr>
          <w:trHeight w:val="207"/>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liabilities</w:t>
            </w:r>
          </w:p>
        </w:tc>
        <w:tc>
          <w:tcPr>
            <w:tcW w:w="36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(5,687)</w:t>
            </w:r>
          </w:p>
        </w:tc>
      </w:tr>
      <w:tr>
        <w:trPr>
          <w:trHeight w:val="207"/>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lease liabilities</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07"/>
        </w:trPr>
        <w:tc>
          <w:tcPr>
            <w:tcW w:w="6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36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r>
      <w:tr>
        <w:trPr>
          <w:trHeight w:val="200"/>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fair value of net assets acquired</w:t>
            </w:r>
          </w:p>
        </w:tc>
        <w:tc>
          <w:tcPr>
            <w:tcW w:w="36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401,475</w:t>
            </w:r>
          </w:p>
        </w:tc>
      </w:tr>
      <w:tr>
        <w:trPr>
          <w:trHeight w:val="207"/>
        </w:trPr>
        <w:tc>
          <w:tcPr>
            <w:tcW w:w="6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cash and cash equivalents acquired</w:t>
            </w:r>
          </w:p>
        </w:tc>
        <w:tc>
          <w:tcPr>
            <w:tcW w:w="36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(975)</w:t>
            </w:r>
          </w:p>
        </w:tc>
      </w:tr>
      <w:tr>
        <w:trPr>
          <w:trHeight w:val="225"/>
        </w:trPr>
        <w:tc>
          <w:tcPr>
            <w:tcW w:w="6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preliminary purchase price</w:t>
            </w:r>
          </w:p>
        </w:tc>
        <w:tc>
          <w:tcPr>
            <w:tcW w:w="3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400,500</w:t>
            </w:r>
          </w:p>
        </w:tc>
      </w:tr>
      <w:tr>
        <w:trPr>
          <w:trHeight w:val="20"/>
        </w:trPr>
        <w:tc>
          <w:tcPr>
            <w:tcW w:w="6180" w:type="dxa"/>
            <w:vAlign w:val="bottom"/>
            <w:tcBorders>
              <w:top w:val="single" w:sz="8" w:color="CCEEFF"/>
              <w:bottom w:val="single" w:sz="8" w:color="auto"/>
            </w:tcBorders>
          </w:tcPr>
          <w:p>
            <w:pPr>
              <w:spacing w:after="0" w:line="20" w:lineRule="exact"/>
              <w:rPr>
                <w:sz w:val="1"/>
                <w:szCs w:val="1"/>
                <w:color w:val="auto"/>
              </w:rPr>
            </w:pPr>
          </w:p>
        </w:tc>
        <w:tc>
          <w:tcPr>
            <w:tcW w:w="36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goodwill recognized is primarily attributable to the expected future cash flows, the value of the workforce, and expected synergies, including customer and dealer growth opportunities, expanding existing product lines, and cost reduction initiatives. Key areas of expected cost synergies include increased purchasing power for commodities, components, parts, and accessories, and supply chain consolidation. The goodwill resulting from the acquisition of Intimidator was recognized within the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company's Professional segment and is the primary driver for the increase in the company's Professional segment goodwill to $570.9 million as of April 29, 2022 as compared to $411.1 million as of October 31, 2021. The acquisition was considered an asset acquisition for income tax purposes and as a result, the goodwill arising from the transaction is deductible. As permitted under the accounting standards codification guidance for business combinations, the company recorded a $5.2 million increase to the carrying value of goodwill as of April 29, 2022 as a result of revising the Intimidator purchase price for certain customary adjustments. Such purchase accounting adjustment did not impact the company's Consolidated Statements of Earnings for the three and six month periods ended April 29, 2022.</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Intangible Assets Acquired</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allocation of the preliminary purchase price to the net assets acquired resulted in the recognition of $184.2 million of preliminary value for other intangible assets as of the closing date. The preliminary fair values of the acquired trade names, customer-related, and backlog intangible assets were determined using the income approach whereby an intangible asset's fair value is equal to the present value of future economic benefits to be derived from ownership of the asset. The useful lives of the other intangible assets were determined based on the period of expected cash flows used to measure the fair value of the intangible assets adjusted as appropriate for entity-specific factors including legal, regulatory, contractual, competitive, economic, and/or other factors that may limit the useful life of the respective intangible asset. As of the closing date, the acquired finite-lived intangible assets had a weighted average useful life of 9.5 years. The preliminary fair values of the trade names were determined using the relief from royalty method, which is based on the hypothetical royalty stream that would be received if the company were to license the respective trade name and were based on expected future revenues from the respective trade name. The weighted-average useful life of the finite-lived trade name intangible assets was determined to be 9.8 years as of the closing date. The preliminary fair values of the customer-related and backlog intangible assets were determined using the excess earnings method and were based on the expected operating cash flows attributable to the respective intangible asset, which were determined by deducting expected economic costs, including operating expenses and contributory asset charges, from the revenue expected to be generated from the respective intangible asset. As of the closing date of the acquisition, the weighted-average useful life of the customer-related and backlog intangible assets were determined to be 9.6 years and 9 months,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Results of Operations</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Intimidator's results of operations are included within the company's Professional reportable segment in the company's Condensed Consolidated Financial Statements from the closing date. For the three and six months ended April 29, 2022, the company recognized $60.5 million of net sales from Intimidator's operations. Intimidator's operations had an immaterial impact on Professional segment earnings for the three and six month periods ended April 29, 2022. Unaudited pro forma financial information is not disclosed as the Intimidator acquisition was not considered material to the company's consolidated results of operations.</w:t>
      </w:r>
    </w:p>
    <w:p>
      <w:pPr>
        <w:spacing w:after="0" w:line="308" w:lineRule="exact"/>
        <w:rPr>
          <w:sz w:val="20"/>
          <w:szCs w:val="20"/>
          <w:color w:val="auto"/>
        </w:rPr>
      </w:pPr>
    </w:p>
    <w:p>
      <w:pPr>
        <w:ind w:left="600" w:hanging="579"/>
        <w:spacing w:after="0"/>
        <w:tabs>
          <w:tab w:leader="none" w:pos="600" w:val="left"/>
        </w:tabs>
        <w:numPr>
          <w:ilvl w:val="0"/>
          <w:numId w:val="7"/>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Segment Data</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company's businesses are organized, managed, and internally grouped into segments based on similarities in products and services. Segment selection is based on the manner in which the company's chief operating decision maker organizes segments for making operating and investment decisions and assessing performance. The company has identified twelve operating segments and has aggregated certain of those operating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 The company's Other activities consist of the company's wholly-owned domestic distribution company, the company's corporate activities, and the elimination of intersegment revenues and expenses.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summarized financial information concerning the company’s reportable business segments and Other activities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April 29, 2022</w:t>
            </w:r>
          </w:p>
        </w:tc>
        <w:tc>
          <w:tcPr>
            <w:tcW w:w="15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925,810</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319,675</w:t>
            </w:r>
          </w:p>
        </w:tc>
        <w:tc>
          <w:tcPr>
            <w:tcW w:w="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3,993</w:t>
            </w:r>
          </w:p>
        </w:tc>
        <w:tc>
          <w:tcPr>
            <w:tcW w:w="3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1,249,478</w:t>
            </w:r>
          </w:p>
        </w:tc>
      </w:tr>
      <w:tr>
        <w:trPr>
          <w:trHeight w:val="20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5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7,348</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(7,368)</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5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165,370</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37,095</w:t>
            </w:r>
          </w:p>
        </w:tc>
        <w:tc>
          <w:tcPr>
            <w:tcW w:w="3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(37,409)</w:t>
            </w:r>
          </w:p>
        </w:tc>
        <w:tc>
          <w:tcPr>
            <w:tcW w:w="38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165,056</w:t>
            </w:r>
          </w:p>
        </w:tc>
      </w:tr>
      <w:tr>
        <w:trPr>
          <w:trHeight w:val="83"/>
        </w:trPr>
        <w:tc>
          <w:tcPr>
            <w:tcW w:w="38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April 29, 2022</w:t>
            </w:r>
          </w:p>
        </w:tc>
        <w:tc>
          <w:tcPr>
            <w:tcW w:w="1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1,598,695</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575,077</w:t>
            </w:r>
          </w:p>
        </w:tc>
        <w:tc>
          <w:tcPr>
            <w:tcW w:w="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8,356</w:t>
            </w:r>
          </w:p>
        </w:tc>
        <w:tc>
          <w:tcPr>
            <w:tcW w:w="3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2,182,128</w:t>
            </w:r>
          </w:p>
        </w:tc>
      </w:tr>
      <w:tr>
        <w:trPr>
          <w:trHeight w:val="20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5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12,765</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(12,800)</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5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258,642</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68,855</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(75,294)</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252,203</w:t>
            </w:r>
          </w:p>
        </w:tc>
      </w:tr>
      <w:tr>
        <w:trPr>
          <w:trHeight w:val="207"/>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2,589,796</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477,926</w:t>
            </w:r>
          </w:p>
        </w:tc>
        <w:tc>
          <w:tcPr>
            <w:tcW w:w="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411,584</w:t>
            </w:r>
          </w:p>
        </w:tc>
        <w:tc>
          <w:tcPr>
            <w:tcW w:w="3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3,479,306</w:t>
            </w:r>
          </w:p>
        </w:tc>
      </w:tr>
    </w:tbl>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April 30, 2021</w:t>
            </w:r>
          </w:p>
        </w:tc>
        <w:tc>
          <w:tcPr>
            <w:tcW w:w="15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828,358</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315,035</w:t>
            </w:r>
          </w:p>
        </w:tc>
        <w:tc>
          <w:tcPr>
            <w:tcW w:w="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5,714</w:t>
            </w:r>
          </w:p>
        </w:tc>
        <w:tc>
          <w:tcPr>
            <w:tcW w:w="3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1,149,107</w:t>
            </w:r>
          </w:p>
        </w:tc>
      </w:tr>
      <w:tr>
        <w:trPr>
          <w:trHeight w:val="20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5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9,151</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(9,161)</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5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167,132</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45,986</w:t>
            </w:r>
          </w:p>
        </w:tc>
        <w:tc>
          <w:tcPr>
            <w:tcW w:w="38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(35,875)</w:t>
            </w:r>
          </w:p>
        </w:tc>
        <w:tc>
          <w:tcPr>
            <w:tcW w:w="38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177,243</w:t>
            </w:r>
          </w:p>
        </w:tc>
      </w:tr>
      <w:tr>
        <w:trPr>
          <w:trHeight w:val="83"/>
        </w:trPr>
        <w:tc>
          <w:tcPr>
            <w:tcW w:w="38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April 30, 2021</w:t>
            </w:r>
          </w:p>
        </w:tc>
        <w:tc>
          <w:tcPr>
            <w:tcW w:w="1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5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1,478,581</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532,735</w:t>
            </w:r>
          </w:p>
        </w:tc>
        <w:tc>
          <w:tcPr>
            <w:tcW w:w="3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10,777</w:t>
            </w:r>
          </w:p>
        </w:tc>
        <w:tc>
          <w:tcPr>
            <w:tcW w:w="3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2,022,093</w:t>
            </w:r>
          </w:p>
        </w:tc>
      </w:tr>
      <w:tr>
        <w:trPr>
          <w:trHeight w:val="207"/>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Intersegment gross sales (eliminations)</w:t>
            </w:r>
          </w:p>
        </w:tc>
        <w:tc>
          <w:tcPr>
            <w:tcW w:w="15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15,793</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(15,819)</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(loss) before income taxes</w:t>
            </w:r>
          </w:p>
        </w:tc>
        <w:tc>
          <w:tcPr>
            <w:tcW w:w="15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283,948</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78,094</w:t>
            </w: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(48,973)</w:t>
            </w: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313,069</w:t>
            </w:r>
          </w:p>
        </w:tc>
      </w:tr>
      <w:tr>
        <w:trPr>
          <w:trHeight w:val="207"/>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5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1,980,708</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365,040</w:t>
            </w:r>
          </w:p>
        </w:tc>
        <w:tc>
          <w:tcPr>
            <w:tcW w:w="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650,361</w:t>
            </w:r>
          </w:p>
        </w:tc>
        <w:tc>
          <w:tcPr>
            <w:tcW w:w="3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2,996,109</w:t>
            </w: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details of operating loss before income taxes for the company's Other activities: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1"/>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4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April 30, 2021</w:t>
            </w:r>
          </w:p>
        </w:tc>
      </w:tr>
      <w:tr>
        <w:trPr>
          <w:trHeight w:val="20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expenses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(63,543)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center"/>
              <w:ind w:left="580"/>
              <w:spacing w:after="0"/>
              <w:rPr>
                <w:sz w:val="20"/>
                <w:szCs w:val="20"/>
                <w:color w:val="auto"/>
              </w:rPr>
            </w:pPr>
            <w:r>
              <w:rPr>
                <w:rFonts w:ascii="Times New Roman" w:cs="Times New Roman" w:eastAsia="Times New Roman" w:hAnsi="Times New Roman"/>
                <w:sz w:val="16"/>
                <w:szCs w:val="16"/>
                <w:color w:val="auto"/>
                <w:w w:val="98"/>
              </w:rPr>
              <w:t>(45,017)</w:t>
            </w:r>
          </w:p>
        </w:tc>
      </w:tr>
      <w:tr>
        <w:trPr>
          <w:trHeight w:val="207"/>
        </w:trPr>
        <w:tc>
          <w:tcPr>
            <w:tcW w:w="4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4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(8,024)</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(7,124)</w:t>
            </w:r>
          </w:p>
        </w:tc>
        <w:tc>
          <w:tcPr>
            <w:tcW w:w="220" w:type="dxa"/>
            <w:vAlign w:val="bottom"/>
          </w:tcPr>
          <w:p>
            <w:pPr>
              <w:spacing w:after="0"/>
              <w:rPr>
                <w:sz w:val="17"/>
                <w:szCs w:val="17"/>
                <w:color w:val="auto"/>
              </w:rPr>
            </w:pPr>
          </w:p>
        </w:tc>
        <w:tc>
          <w:tcPr>
            <w:tcW w:w="13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(15,037)</w:t>
            </w:r>
          </w:p>
        </w:tc>
        <w:tc>
          <w:tcPr>
            <w:tcW w:w="220" w:type="dxa"/>
            <w:vAlign w:val="bottom"/>
          </w:tcPr>
          <w:p>
            <w:pPr>
              <w:spacing w:after="0"/>
              <w:rPr>
                <w:sz w:val="17"/>
                <w:szCs w:val="17"/>
                <w:color w:val="auto"/>
              </w:rPr>
            </w:pPr>
          </w:p>
        </w:tc>
        <w:tc>
          <w:tcPr>
            <w:tcW w:w="1240" w:type="dxa"/>
            <w:vAlign w:val="bottom"/>
          </w:tcPr>
          <w:p>
            <w:pPr>
              <w:jc w:val="center"/>
              <w:ind w:left="580"/>
              <w:spacing w:after="0"/>
              <w:rPr>
                <w:sz w:val="20"/>
                <w:szCs w:val="20"/>
                <w:color w:val="auto"/>
              </w:rPr>
            </w:pPr>
            <w:r>
              <w:rPr>
                <w:rFonts w:ascii="Times New Roman" w:cs="Times New Roman" w:eastAsia="Times New Roman" w:hAnsi="Times New Roman"/>
                <w:sz w:val="16"/>
                <w:szCs w:val="16"/>
                <w:color w:val="auto"/>
                <w:w w:val="98"/>
              </w:rPr>
              <w:t>(14,646)</w:t>
            </w:r>
          </w:p>
        </w:tc>
      </w:tr>
      <w:tr>
        <w:trPr>
          <w:trHeight w:val="155"/>
        </w:trPr>
        <w:tc>
          <w:tcPr>
            <w:tcW w:w="496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Earnings from wholly-owned domestic distribution companies and other</w:t>
            </w:r>
          </w:p>
        </w:tc>
        <w:tc>
          <w:tcPr>
            <w:tcW w:w="4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218"/>
        </w:trPr>
        <w:tc>
          <w:tcPr>
            <w:tcW w:w="4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net</w:t>
            </w:r>
          </w:p>
        </w:tc>
        <w:tc>
          <w:tcPr>
            <w:tcW w:w="4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1,330</w:t>
            </w: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4,963</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3,286</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center"/>
              <w:ind w:left="600"/>
              <w:spacing w:after="0"/>
              <w:rPr>
                <w:sz w:val="20"/>
                <w:szCs w:val="20"/>
                <w:color w:val="auto"/>
              </w:rPr>
            </w:pPr>
            <w:r>
              <w:rPr>
                <w:rFonts w:ascii="Times New Roman" w:cs="Times New Roman" w:eastAsia="Times New Roman" w:hAnsi="Times New Roman"/>
                <w:sz w:val="16"/>
                <w:szCs w:val="16"/>
                <w:color w:val="auto"/>
                <w:w w:val="99"/>
              </w:rPr>
              <w:t>10,690</w:t>
            </w:r>
          </w:p>
        </w:tc>
      </w:tr>
      <w:tr>
        <w:trPr>
          <w:trHeight w:val="201"/>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operating loss</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(37,409)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(35,875)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6"/>
                <w:szCs w:val="16"/>
                <w:color w:val="auto"/>
              </w:rPr>
              <w:t>(75,294)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center"/>
              <w:ind w:left="580"/>
              <w:spacing w:after="0"/>
              <w:rPr>
                <w:sz w:val="20"/>
                <w:szCs w:val="20"/>
                <w:color w:val="auto"/>
              </w:rPr>
            </w:pPr>
            <w:r>
              <w:rPr>
                <w:rFonts w:ascii="Times New Roman" w:cs="Times New Roman" w:eastAsia="Times New Roman" w:hAnsi="Times New Roman"/>
                <w:sz w:val="16"/>
                <w:szCs w:val="16"/>
                <w:color w:val="auto"/>
                <w:w w:val="98"/>
              </w:rPr>
              <w:t>(48,973)</w:t>
            </w: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600" w:hanging="579"/>
        <w:spacing w:after="0"/>
        <w:tabs>
          <w:tab w:leader="none" w:pos="600" w:val="left"/>
        </w:tabs>
        <w:numPr>
          <w:ilvl w:val="0"/>
          <w:numId w:val="8"/>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Revenue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disaggregate the company's reportable segment net sales by major product type and geographic market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April 29, 2022</w:t>
            </w:r>
          </w:p>
        </w:tc>
        <w:tc>
          <w:tcPr>
            <w:tcW w:w="15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5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797,940</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313,478</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1,113,376</w:t>
            </w:r>
          </w:p>
        </w:tc>
      </w:tr>
      <w:tr>
        <w:trPr>
          <w:trHeight w:val="207"/>
        </w:trPr>
        <w:tc>
          <w:tcPr>
            <w:tcW w:w="3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5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127,870</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136,102</w:t>
            </w:r>
          </w:p>
        </w:tc>
      </w:tr>
      <w:tr>
        <w:trPr>
          <w:trHeight w:val="20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925,810</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319,675</w:t>
            </w:r>
          </w:p>
        </w:tc>
        <w:tc>
          <w:tcPr>
            <w:tcW w:w="10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3,993</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1,249,478</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9"/>
        </w:trPr>
        <w:tc>
          <w:tcPr>
            <w:tcW w:w="38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5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728,813</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271,001</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3,993</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1,003,807</w:t>
            </w:r>
          </w:p>
        </w:tc>
      </w:tr>
      <w:tr>
        <w:trPr>
          <w:trHeight w:val="207"/>
        </w:trPr>
        <w:tc>
          <w:tcPr>
            <w:tcW w:w="3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5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196,997</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48,674</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245,671</w:t>
            </w:r>
          </w:p>
        </w:tc>
      </w:tr>
      <w:tr>
        <w:trPr>
          <w:trHeight w:val="20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925,810</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319,675</w:t>
            </w:r>
          </w:p>
        </w:tc>
        <w:tc>
          <w:tcPr>
            <w:tcW w:w="10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3,993</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1,249,478</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April 29, 2022</w:t>
            </w:r>
          </w:p>
        </w:tc>
        <w:tc>
          <w:tcPr>
            <w:tcW w:w="16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1,368,811</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558,067</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1,931,983</w:t>
            </w:r>
          </w:p>
        </w:tc>
      </w:tr>
      <w:tr>
        <w:trPr>
          <w:trHeight w:val="207"/>
        </w:trPr>
        <w:tc>
          <w:tcPr>
            <w:tcW w:w="3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6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229,884</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17,010</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250,145</w:t>
            </w:r>
          </w:p>
        </w:tc>
      </w:tr>
      <w:tr>
        <w:trPr>
          <w:trHeight w:val="20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1,598,695</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575,077</w:t>
            </w:r>
          </w:p>
        </w:tc>
        <w:tc>
          <w:tcPr>
            <w:tcW w:w="10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8,356</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2,182,128</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9"/>
        </w:trPr>
        <w:tc>
          <w:tcPr>
            <w:tcW w:w="37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1,259,547</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473,568</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8,356</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1,741,471</w:t>
            </w:r>
          </w:p>
        </w:tc>
      </w:tr>
      <w:tr>
        <w:trPr>
          <w:trHeight w:val="207"/>
        </w:trPr>
        <w:tc>
          <w:tcPr>
            <w:tcW w:w="3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6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339,148</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101,509</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440,657</w:t>
            </w:r>
          </w:p>
        </w:tc>
      </w:tr>
      <w:tr>
        <w:trPr>
          <w:trHeight w:val="20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1,598,695</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575,077</w:t>
            </w:r>
          </w:p>
        </w:tc>
        <w:tc>
          <w:tcPr>
            <w:tcW w:w="10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8,356</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2,182,128</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April 30, 2021</w:t>
            </w:r>
          </w:p>
        </w:tc>
        <w:tc>
          <w:tcPr>
            <w:tcW w:w="15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5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706,341</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308,649</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1,019,320</w:t>
            </w:r>
          </w:p>
        </w:tc>
      </w:tr>
      <w:tr>
        <w:trPr>
          <w:trHeight w:val="207"/>
        </w:trPr>
        <w:tc>
          <w:tcPr>
            <w:tcW w:w="3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5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122,017</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129,787</w:t>
            </w:r>
          </w:p>
        </w:tc>
      </w:tr>
      <w:tr>
        <w:trPr>
          <w:trHeight w:val="20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828,358</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315,035</w:t>
            </w:r>
          </w:p>
        </w:tc>
        <w:tc>
          <w:tcPr>
            <w:tcW w:w="10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1,149,107</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9"/>
        </w:trPr>
        <w:tc>
          <w:tcPr>
            <w:tcW w:w="38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5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5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620,205</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267,613</w:t>
            </w:r>
          </w:p>
        </w:tc>
        <w:tc>
          <w:tcPr>
            <w:tcW w:w="1040" w:type="dxa"/>
            <w:vAlign w:val="bottom"/>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893,532</w:t>
            </w:r>
          </w:p>
        </w:tc>
      </w:tr>
      <w:tr>
        <w:trPr>
          <w:trHeight w:val="207"/>
        </w:trPr>
        <w:tc>
          <w:tcPr>
            <w:tcW w:w="3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5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208,153</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47,422</w:t>
            </w:r>
          </w:p>
        </w:tc>
        <w:tc>
          <w:tcPr>
            <w:tcW w:w="10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255,575</w:t>
            </w:r>
          </w:p>
        </w:tc>
      </w:tr>
      <w:tr>
        <w:trPr>
          <w:trHeight w:val="20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828,358</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315,035</w:t>
            </w:r>
          </w:p>
        </w:tc>
        <w:tc>
          <w:tcPr>
            <w:tcW w:w="104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5,714</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1,149,107</w:t>
            </w: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April 30, 2021</w:t>
            </w:r>
          </w:p>
        </w:tc>
        <w:tc>
          <w:tcPr>
            <w:tcW w:w="16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5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product type:</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Equipment</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1,282,116</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514,572</w:t>
            </w:r>
          </w:p>
        </w:tc>
        <w:tc>
          <w:tcPr>
            <w:tcW w:w="100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8,272</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1,804,960</w:t>
            </w:r>
          </w:p>
        </w:tc>
      </w:tr>
      <w:tr>
        <w:trPr>
          <w:trHeight w:val="207"/>
        </w:trPr>
        <w:tc>
          <w:tcPr>
            <w:tcW w:w="3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Irrigation</w:t>
            </w:r>
          </w:p>
        </w:tc>
        <w:tc>
          <w:tcPr>
            <w:tcW w:w="16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196,465</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18,163</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217,133</w:t>
            </w:r>
          </w:p>
        </w:tc>
      </w:tr>
      <w:tr>
        <w:trPr>
          <w:trHeight w:val="20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1,478,581</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532,735</w:t>
            </w:r>
          </w:p>
        </w:tc>
        <w:tc>
          <w:tcPr>
            <w:tcW w:w="10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10,777</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2,022,093</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9"/>
        </w:trPr>
        <w:tc>
          <w:tcPr>
            <w:tcW w:w="37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by geographic market:</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7"/>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United States</w:t>
            </w:r>
          </w:p>
        </w:tc>
        <w:tc>
          <w:tcPr>
            <w:tcW w:w="16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1,122,065</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441,995</w:t>
            </w:r>
          </w:p>
        </w:tc>
        <w:tc>
          <w:tcPr>
            <w:tcW w:w="1000" w:type="dxa"/>
            <w:vAlign w:val="bottom"/>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10,777</w:t>
            </w:r>
          </w:p>
        </w:tc>
        <w:tc>
          <w:tcPr>
            <w:tcW w:w="4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1,574,837</w:t>
            </w:r>
          </w:p>
        </w:tc>
      </w:tr>
      <w:tr>
        <w:trPr>
          <w:trHeight w:val="207"/>
        </w:trPr>
        <w:tc>
          <w:tcPr>
            <w:tcW w:w="3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International countries</w:t>
            </w:r>
          </w:p>
        </w:tc>
        <w:tc>
          <w:tcPr>
            <w:tcW w:w="16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356,516</w:t>
            </w:r>
          </w:p>
        </w:tc>
        <w:tc>
          <w:tcPr>
            <w:tcW w:w="3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90,740</w:t>
            </w:r>
          </w:p>
        </w:tc>
        <w:tc>
          <w:tcPr>
            <w:tcW w:w="10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447,256</w:t>
            </w:r>
          </w:p>
        </w:tc>
      </w:tr>
      <w:tr>
        <w:trPr>
          <w:trHeight w:val="20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16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1,478,581</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532,735</w:t>
            </w:r>
          </w:p>
        </w:tc>
        <w:tc>
          <w:tcPr>
            <w:tcW w:w="1000" w:type="dxa"/>
            <w:vAlign w:val="bottom"/>
            <w:tcBorders>
              <w:bottom w:val="single" w:sz="8" w:color="auto"/>
            </w:tcBorders>
          </w:tcPr>
          <w:p>
            <w:pPr>
              <w:jc w:val="right"/>
              <w:ind w:right="7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10,777</w:t>
            </w:r>
          </w:p>
        </w:tc>
        <w:tc>
          <w:tcPr>
            <w:tcW w:w="4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2,022,093</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April 29, 2022 and October 31, 2021, $24.4 million and $24.1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and six months ended April 29, 2022, the company recognized $3.0 million and $5.5 million, respectively, of the October 31, 2021 deferred revenue balance within net sales in the Condensed Consolidated Statements of Earnings. The company expects to recognize approximately $5.5 million of the October 31, 2021 deferred revenue amount within net sales throughout the remainder of fiscal 2022, $7.7 million in fiscal 2023, and $5.4 million thereafter.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0" w:hanging="579"/>
        <w:spacing w:after="0"/>
        <w:tabs>
          <w:tab w:leader="none" w:pos="600" w:val="left"/>
        </w:tabs>
        <w:numPr>
          <w:ilvl w:val="0"/>
          <w:numId w:val="9"/>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Goodwill and Other Intangible Assets, Net</w:t>
      </w:r>
    </w:p>
    <w:p>
      <w:pPr>
        <w:spacing w:after="0" w:line="96"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 xml:space="preserve">The company's acquisition of Intimidator on January 13, 2022 resulted in the recognition of $160.8 million and $184.2 million of goodwill and other intangible assets, respectively. For additional information on the company's acquisition of Intimidator, refer to Note 2,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the carrying amount of goodwill by reportable segment for the first six months of fiscal 2022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8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Professional</w:t>
            </w: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Residential</w:t>
            </w:r>
          </w:p>
        </w:tc>
        <w:tc>
          <w:tcPr>
            <w:tcW w:w="11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2021</w:t>
            </w:r>
          </w:p>
        </w:tc>
        <w:tc>
          <w:tcPr>
            <w:tcW w:w="18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411,079</w:t>
            </w:r>
          </w:p>
        </w:tc>
        <w:tc>
          <w:tcPr>
            <w:tcW w:w="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10,601</w:t>
            </w:r>
          </w:p>
        </w:tc>
        <w:tc>
          <w:tcPr>
            <w:tcW w:w="110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421,680</w:t>
            </w:r>
          </w:p>
        </w:tc>
      </w:tr>
      <w:tr>
        <w:trPr>
          <w:trHeight w:val="207"/>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acquired</w:t>
            </w:r>
          </w:p>
        </w:tc>
        <w:tc>
          <w:tcPr>
            <w:tcW w:w="180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160,829</w:t>
            </w:r>
          </w:p>
        </w:tc>
        <w:tc>
          <w:tcPr>
            <w:tcW w:w="26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7"/>
                <w:szCs w:val="17"/>
                <w:color w:val="auto"/>
              </w:rPr>
            </w:pPr>
          </w:p>
        </w:tc>
        <w:tc>
          <w:tcPr>
            <w:tcW w:w="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160,829</w:t>
            </w:r>
          </w:p>
        </w:tc>
      </w:tr>
      <w:tr>
        <w:trPr>
          <w:trHeight w:val="207"/>
        </w:trPr>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Translation adjustments</w:t>
            </w:r>
          </w:p>
        </w:tc>
        <w:tc>
          <w:tcPr>
            <w:tcW w:w="18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1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w:t>
            </w:r>
          </w:p>
        </w:tc>
      </w:tr>
      <w:tr>
        <w:trPr>
          <w:trHeight w:val="200"/>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Balance as of April 29, 2022</w:t>
            </w:r>
          </w:p>
        </w:tc>
        <w:tc>
          <w:tcPr>
            <w:tcW w:w="18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570,875</w:t>
            </w:r>
          </w:p>
        </w:tc>
        <w:tc>
          <w:tcPr>
            <w:tcW w:w="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10,443</w:t>
            </w:r>
          </w:p>
        </w:tc>
        <w:tc>
          <w:tcPr>
            <w:tcW w:w="110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581,318</w:t>
            </w: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other intangible assets, net as of April 29, 2022, April 30, 2021, and October 31, 2021 were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Borders>
              <w:top w:val="single" w:sz="8" w:color="auto"/>
            </w:tcBorders>
          </w:tcPr>
          <w:p>
            <w:pPr>
              <w:spacing w:after="0"/>
              <w:rPr>
                <w:sz w:val="14"/>
                <w:szCs w:val="14"/>
                <w:color w:val="auto"/>
              </w:rPr>
            </w:pPr>
          </w:p>
        </w:tc>
        <w:tc>
          <w:tcPr>
            <w:tcW w:w="3040" w:type="dxa"/>
            <w:vAlign w:val="bottom"/>
            <w:tcBorders>
              <w:top w:val="single" w:sz="8" w:color="auto"/>
            </w:tcBorders>
          </w:tcPr>
          <w:p>
            <w:pPr>
              <w:jc w:val="right"/>
              <w:ind w:right="35"/>
              <w:spacing w:after="0" w:line="168" w:lineRule="exact"/>
              <w:rPr>
                <w:sz w:val="20"/>
                <w:szCs w:val="20"/>
                <w:color w:val="auto"/>
              </w:rPr>
            </w:pPr>
            <w:r>
              <w:rPr>
                <w:rFonts w:ascii="Times New Roman" w:cs="Times New Roman" w:eastAsia="Times New Roman" w:hAnsi="Times New Roman"/>
                <w:sz w:val="16"/>
                <w:szCs w:val="16"/>
                <w:b w:val="1"/>
                <w:bCs w:val="1"/>
                <w:color w:val="auto"/>
              </w:rPr>
              <w:t>Weighted-Average</w:t>
            </w: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120"/>
              <w:spacing w:after="0" w:line="16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20"/>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21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1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18,269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(15,015)</w:t>
            </w:r>
          </w:p>
        </w:tc>
        <w:tc>
          <w:tcPr>
            <w:tcW w:w="4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3,254</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6,902</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(6,870)</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321,242</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249,045</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87,286</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(47,975)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39,311</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10,714</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7,573</w:t>
            </w:r>
          </w:p>
        </w:tc>
      </w:tr>
      <w:tr>
        <w:trPr>
          <w:trHeight w:val="22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5,730</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(4,879)</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w:t>
            </w:r>
          </w:p>
        </w:tc>
      </w:tr>
      <w:tr>
        <w:trPr>
          <w:trHeight w:val="21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450,143</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(150,077)</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300,066</w:t>
            </w:r>
          </w:p>
        </w:tc>
      </w:tr>
      <w:tr>
        <w:trPr>
          <w:trHeight w:val="20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289,542</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289,542</w:t>
            </w:r>
          </w:p>
        </w:tc>
      </w:tr>
      <w:tr>
        <w:trPr>
          <w:trHeight w:val="225"/>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739,685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(150,077)</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589,608</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902"/>
        </w:trPr>
        <w:tc>
          <w:tcPr>
            <w:tcW w:w="3680" w:type="dxa"/>
            <w:vAlign w:val="bottom"/>
          </w:tcPr>
          <w:p>
            <w:pPr>
              <w:spacing w:after="0"/>
              <w:rPr>
                <w:sz w:val="24"/>
                <w:szCs w:val="24"/>
                <w:color w:val="auto"/>
              </w:rPr>
            </w:pPr>
          </w:p>
        </w:tc>
        <w:tc>
          <w:tcPr>
            <w:tcW w:w="3040" w:type="dxa"/>
            <w:vAlign w:val="bottom"/>
          </w:tcPr>
          <w:p>
            <w:pPr>
              <w:jc w:val="right"/>
              <w:ind w:right="915"/>
              <w:spacing w:after="0"/>
              <w:rPr>
                <w:sz w:val="20"/>
                <w:szCs w:val="20"/>
                <w:color w:val="auto"/>
              </w:rPr>
            </w:pPr>
            <w:r>
              <w:rPr>
                <w:rFonts w:ascii="Times New Roman" w:cs="Times New Roman" w:eastAsia="Times New Roman" w:hAnsi="Times New Roman"/>
                <w:sz w:val="17"/>
                <w:szCs w:val="17"/>
                <w:color w:val="auto"/>
              </w:rPr>
              <w:t>15</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9"/>
        </w:trPr>
        <w:tc>
          <w:tcPr>
            <w:tcW w:w="368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80" w:type="dxa"/>
            <w:vAlign w:val="bottom"/>
            <w:tcBorders>
              <w:top w:val="single" w:sz="8" w:color="auto"/>
            </w:tcBorders>
          </w:tcPr>
          <w:p>
            <w:pPr>
              <w:spacing w:after="0"/>
              <w:rPr>
                <w:sz w:val="14"/>
                <w:szCs w:val="14"/>
                <w:color w:val="auto"/>
              </w:rPr>
            </w:pPr>
          </w:p>
        </w:tc>
        <w:tc>
          <w:tcPr>
            <w:tcW w:w="3040" w:type="dxa"/>
            <w:vAlign w:val="bottom"/>
            <w:tcBorders>
              <w:top w:val="single" w:sz="8" w:color="auto"/>
            </w:tcBorders>
          </w:tcPr>
          <w:p>
            <w:pPr>
              <w:jc w:val="center"/>
              <w:ind w:left="1455"/>
              <w:spacing w:after="0" w:line="16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80"/>
              <w:spacing w:after="0" w:line="168" w:lineRule="exact"/>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20"/>
              <w:spacing w:after="0" w:line="16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r>
      <w:tr>
        <w:trPr>
          <w:trHeight w:val="21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3040" w:type="dxa"/>
            <w:vAlign w:val="bottom"/>
            <w:tcBorders>
              <w:bottom w:val="single" w:sz="8" w:color="auto"/>
            </w:tcBorders>
          </w:tcPr>
          <w:p>
            <w:pPr>
              <w:jc w:val="center"/>
              <w:ind w:left="1455"/>
              <w:spacing w:after="0"/>
              <w:rPr>
                <w:sz w:val="20"/>
                <w:szCs w:val="20"/>
                <w:color w:val="auto"/>
              </w:rPr>
            </w:pPr>
            <w:r>
              <w:rPr>
                <w:rFonts w:ascii="Times New Roman" w:cs="Times New Roman" w:eastAsia="Times New Roman" w:hAnsi="Times New Roman"/>
                <w:sz w:val="16"/>
                <w:szCs w:val="16"/>
                <w:b w:val="1"/>
                <w:bCs w:val="1"/>
                <w:color w:val="auto"/>
                <w:w w:val="98"/>
              </w:rPr>
              <w:t>Useful Life in Years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1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18,276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(14,304)</w:t>
            </w:r>
          </w:p>
        </w:tc>
        <w:tc>
          <w:tcPr>
            <w:tcW w:w="4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6,908</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(6,856)</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239,838</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(55,407)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184,431</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87,551</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(38,535)</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49,016</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7,563</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4,771</w:t>
            </w:r>
          </w:p>
        </w:tc>
      </w:tr>
      <w:tr>
        <w:trPr>
          <w:trHeight w:val="22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4,390</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364,526</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(122,284)</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242,242</w:t>
            </w:r>
          </w:p>
        </w:tc>
      </w:tr>
      <w:tr>
        <w:trPr>
          <w:trHeight w:val="20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190,687</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190,687</w:t>
            </w:r>
          </w:p>
        </w:tc>
      </w:tr>
      <w:tr>
        <w:trPr>
          <w:trHeight w:val="225"/>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555,213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(122,284)</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432,929</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69"/>
        </w:trPr>
        <w:tc>
          <w:tcPr>
            <w:tcW w:w="3680" w:type="dxa"/>
            <w:vAlign w:val="bottom"/>
            <w:tcBorders>
              <w:bottom w:val="single" w:sz="8" w:color="auto"/>
            </w:tcBorders>
          </w:tcPr>
          <w:p>
            <w:pPr>
              <w:spacing w:after="0"/>
              <w:rPr>
                <w:sz w:val="23"/>
                <w:szCs w:val="23"/>
                <w:color w:val="auto"/>
              </w:rPr>
            </w:pPr>
          </w:p>
        </w:tc>
        <w:tc>
          <w:tcPr>
            <w:tcW w:w="30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r>
      <w:tr>
        <w:trPr>
          <w:trHeight w:val="148"/>
        </w:trPr>
        <w:tc>
          <w:tcPr>
            <w:tcW w:w="3680" w:type="dxa"/>
            <w:vAlign w:val="bottom"/>
          </w:tcPr>
          <w:p>
            <w:pPr>
              <w:spacing w:after="0"/>
              <w:rPr>
                <w:sz w:val="12"/>
                <w:szCs w:val="12"/>
                <w:color w:val="auto"/>
              </w:rPr>
            </w:pPr>
          </w:p>
        </w:tc>
        <w:tc>
          <w:tcPr>
            <w:tcW w:w="3040" w:type="dxa"/>
            <w:vAlign w:val="bottom"/>
          </w:tcPr>
          <w:p>
            <w:pPr>
              <w:jc w:val="center"/>
              <w:ind w:left="1455"/>
              <w:spacing w:after="0" w:line="148" w:lineRule="exact"/>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00" w:type="dxa"/>
            <w:vAlign w:val="bottom"/>
          </w:tcPr>
          <w:p>
            <w:pPr>
              <w:spacing w:after="0"/>
              <w:rPr>
                <w:sz w:val="12"/>
                <w:szCs w:val="12"/>
                <w:color w:val="auto"/>
              </w:rPr>
            </w:pPr>
          </w:p>
        </w:tc>
        <w:tc>
          <w:tcPr>
            <w:tcW w:w="1300" w:type="dxa"/>
            <w:vAlign w:val="bottom"/>
          </w:tcPr>
          <w:p>
            <w:pPr>
              <w:jc w:val="center"/>
              <w:ind w:right="80"/>
              <w:spacing w:after="0" w:line="148" w:lineRule="exact"/>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240" w:type="dxa"/>
            <w:vAlign w:val="bottom"/>
          </w:tcPr>
          <w:p>
            <w:pPr>
              <w:spacing w:after="0"/>
              <w:rPr>
                <w:sz w:val="12"/>
                <w:szCs w:val="12"/>
                <w:color w:val="auto"/>
              </w:rPr>
            </w:pPr>
          </w:p>
        </w:tc>
        <w:tc>
          <w:tcPr>
            <w:tcW w:w="1300" w:type="dxa"/>
            <w:vAlign w:val="bottom"/>
          </w:tcPr>
          <w:p>
            <w:pPr>
              <w:jc w:val="right"/>
              <w:ind w:right="220"/>
              <w:spacing w:after="0" w:line="14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18"/>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2021</w:t>
            </w:r>
          </w:p>
        </w:tc>
        <w:tc>
          <w:tcPr>
            <w:tcW w:w="3040" w:type="dxa"/>
            <w:vAlign w:val="bottom"/>
            <w:tcBorders>
              <w:bottom w:val="single" w:sz="8" w:color="auto"/>
            </w:tcBorders>
          </w:tcPr>
          <w:p>
            <w:pPr>
              <w:jc w:val="center"/>
              <w:ind w:left="1455"/>
              <w:spacing w:after="0"/>
              <w:rPr>
                <w:sz w:val="20"/>
                <w:szCs w:val="20"/>
                <w:color w:val="auto"/>
              </w:rPr>
            </w:pPr>
            <w:r>
              <w:rPr>
                <w:rFonts w:ascii="Times New Roman" w:cs="Times New Roman" w:eastAsia="Times New Roman" w:hAnsi="Times New Roman"/>
                <w:sz w:val="16"/>
                <w:szCs w:val="16"/>
                <w:b w:val="1"/>
                <w:bCs w:val="1"/>
                <w:color w:val="auto"/>
                <w:w w:val="98"/>
              </w:rPr>
              <w:t>Useful Life in Years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Net</w:t>
            </w:r>
          </w:p>
        </w:tc>
      </w:tr>
      <w:tr>
        <w:trPr>
          <w:trHeight w:val="214"/>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Patents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18,283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(14,670)</w:t>
            </w:r>
          </w:p>
        </w:tc>
        <w:tc>
          <w:tcPr>
            <w:tcW w:w="4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agreements</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6,914</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(6,872)</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239,679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(62,617)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177,062</w:t>
            </w:r>
          </w:p>
        </w:tc>
      </w:tr>
      <w:tr>
        <w:trPr>
          <w:trHeight w:val="220"/>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Developed technology</w:t>
            </w:r>
          </w:p>
        </w:tc>
        <w:tc>
          <w:tcPr>
            <w:tcW w:w="3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200" w:type="dxa"/>
            <w:vAlign w:val="bottom"/>
          </w:tcPr>
          <w:p>
            <w:pPr>
              <w:spacing w:after="0"/>
              <w:rPr>
                <w:sz w:val="19"/>
                <w:szCs w:val="19"/>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87,473</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(43,348)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44,125</w:t>
            </w:r>
          </w:p>
        </w:tc>
      </w:tr>
      <w:tr>
        <w:trPr>
          <w:trHeight w:val="22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7,524</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4,555</w:t>
            </w:r>
          </w:p>
        </w:tc>
      </w:tr>
      <w:tr>
        <w:trPr>
          <w:trHeight w:val="22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4,390</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364,263</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(134,866)</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229,397</w:t>
            </w:r>
          </w:p>
        </w:tc>
      </w:tr>
      <w:tr>
        <w:trPr>
          <w:trHeight w:val="207"/>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190,644</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190,644</w:t>
            </w:r>
          </w:p>
        </w:tc>
      </w:tr>
      <w:tr>
        <w:trPr>
          <w:trHeight w:val="225"/>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554,907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(134,866)</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420,041</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Amortization expense for finite-lived intangible assets for the three and six months ended April 29, 2022 was $9.2 million and $15.6 million, respectively. Amortization expense for finite-lived intangible assets for the three and six months ended April 30, 2021 was $6.2 million and $11.1 million, respectively. Estimated amortization expense for the remainder of fiscal 2022 and succeeding fiscal years is as follows: fiscal 2022 (remainder), $17.4 million; fiscal 2023, $32.7 million; fiscal 2024, $30.8 million; fiscal 2025, $28.0 million; fiscal 2026, $26.9 million; fiscal 2027, $22.5 million; and after fiscal 2027, $141.8 million.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548"/>
        </w:trPr>
        <w:tc>
          <w:tcPr>
            <w:tcW w:w="420" w:type="dxa"/>
            <w:vAlign w:val="bottom"/>
            <w:gridSpan w:val="2"/>
          </w:tcPr>
          <w:p>
            <w:pPr>
              <w:ind w:left="20"/>
              <w:spacing w:after="0"/>
              <w:rPr>
                <w:sz w:val="20"/>
                <w:szCs w:val="20"/>
                <w:color w:val="auto"/>
              </w:rPr>
            </w:pPr>
            <w:r>
              <w:rPr>
                <w:rFonts w:ascii="Times New Roman" w:cs="Times New Roman" w:eastAsia="Times New Roman" w:hAnsi="Times New Roman"/>
                <w:sz w:val="41"/>
                <w:szCs w:val="41"/>
                <w:b w:val="1"/>
                <w:bCs w:val="1"/>
                <w:color w:val="auto"/>
              </w:rPr>
              <w:t>6</w:t>
            </w:r>
          </w:p>
        </w:tc>
        <w:tc>
          <w:tcPr>
            <w:tcW w:w="4920" w:type="dxa"/>
            <w:vAlign w:val="bottom"/>
          </w:tcPr>
          <w:p>
            <w:pPr>
              <w:ind w:left="180"/>
              <w:spacing w:after="0"/>
              <w:rPr>
                <w:sz w:val="20"/>
                <w:szCs w:val="20"/>
                <w:color w:val="auto"/>
              </w:rPr>
            </w:pPr>
            <w:r>
              <w:rPr>
                <w:rFonts w:ascii="Times New Roman" w:cs="Times New Roman" w:eastAsia="Times New Roman" w:hAnsi="Times New Roman"/>
                <w:sz w:val="19"/>
                <w:szCs w:val="19"/>
                <w:b w:val="1"/>
                <w:bCs w:val="1"/>
                <w:color w:val="auto"/>
              </w:rPr>
              <w:t>Indebtedness</w:t>
            </w:r>
          </w:p>
        </w:tc>
        <w:tc>
          <w:tcPr>
            <w:tcW w:w="10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75"/>
        </w:trPr>
        <w:tc>
          <w:tcPr>
            <w:tcW w:w="5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The following is a summary of the company's indebtedness:</w:t>
            </w:r>
          </w:p>
        </w:tc>
        <w:tc>
          <w:tcPr>
            <w:tcW w:w="10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129"/>
        </w:trPr>
        <w:tc>
          <w:tcPr>
            <w:tcW w:w="20" w:type="dxa"/>
            <w:vAlign w:val="bottom"/>
          </w:tcPr>
          <w:p>
            <w:pPr>
              <w:spacing w:after="0"/>
              <w:rPr>
                <w:sz w:val="11"/>
                <w:szCs w:val="11"/>
                <w:color w:val="auto"/>
              </w:rPr>
            </w:pPr>
          </w:p>
        </w:tc>
        <w:tc>
          <w:tcPr>
            <w:tcW w:w="5320" w:type="dxa"/>
            <w:vAlign w:val="bottom"/>
            <w:tcBorders>
              <w:bottom w:val="single" w:sz="8" w:color="auto"/>
            </w:tcBorders>
            <w:gridSpan w:val="2"/>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r>
        <w:trPr>
          <w:trHeight w:val="200"/>
        </w:trPr>
        <w:tc>
          <w:tcPr>
            <w:tcW w:w="20" w:type="dxa"/>
            <w:vAlign w:val="bottom"/>
          </w:tcPr>
          <w:p>
            <w:pPr>
              <w:spacing w:after="0"/>
              <w:rPr>
                <w:sz w:val="17"/>
                <w:szCs w:val="17"/>
                <w:color w:val="auto"/>
              </w:rPr>
            </w:pPr>
          </w:p>
        </w:tc>
        <w:tc>
          <w:tcPr>
            <w:tcW w:w="5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0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00"/>
        </w:trPr>
        <w:tc>
          <w:tcPr>
            <w:tcW w:w="20" w:type="dxa"/>
            <w:vAlign w:val="bottom"/>
          </w:tcPr>
          <w:p>
            <w:pPr>
              <w:spacing w:after="0"/>
              <w:rPr>
                <w:sz w:val="17"/>
                <w:szCs w:val="17"/>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$600 million revolving credit facility, due October 2026</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0" w:type="dxa"/>
            <w:vAlign w:val="bottom"/>
          </w:tcPr>
          <w:p>
            <w:pPr>
              <w:spacing w:after="0"/>
              <w:rPr>
                <w:sz w:val="17"/>
                <w:szCs w:val="17"/>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million term loan, due April 2027</w:t>
            </w:r>
          </w:p>
        </w:tc>
        <w:tc>
          <w:tcPr>
            <w:tcW w:w="10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0" w:type="dxa"/>
            <w:vAlign w:val="bottom"/>
          </w:tcPr>
          <w:p>
            <w:pPr>
              <w:spacing w:after="0"/>
              <w:rPr>
                <w:sz w:val="17"/>
                <w:szCs w:val="17"/>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$270 million term loan, due October 2026</w:t>
            </w:r>
          </w:p>
        </w:tc>
        <w:tc>
          <w:tcPr>
            <w:tcW w:w="10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270,000</w:t>
            </w:r>
          </w:p>
        </w:tc>
      </w:tr>
      <w:tr>
        <w:trPr>
          <w:trHeight w:val="207"/>
        </w:trPr>
        <w:tc>
          <w:tcPr>
            <w:tcW w:w="20" w:type="dxa"/>
            <w:vAlign w:val="bottom"/>
          </w:tcPr>
          <w:p>
            <w:pPr>
              <w:spacing w:after="0"/>
              <w:rPr>
                <w:sz w:val="17"/>
                <w:szCs w:val="17"/>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million term loan, due April 2022</w:t>
            </w:r>
          </w:p>
        </w:tc>
        <w:tc>
          <w:tcPr>
            <w:tcW w:w="10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0" w:type="dxa"/>
            <w:vAlign w:val="bottom"/>
          </w:tcPr>
          <w:p>
            <w:pPr>
              <w:spacing w:after="0"/>
              <w:rPr>
                <w:sz w:val="17"/>
                <w:szCs w:val="17"/>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million term loan, due April 2024</w:t>
            </w:r>
          </w:p>
        </w:tc>
        <w:tc>
          <w:tcPr>
            <w:tcW w:w="10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20" w:type="dxa"/>
            <w:vAlign w:val="bottom"/>
          </w:tcPr>
          <w:p>
            <w:pPr>
              <w:spacing w:after="0"/>
              <w:rPr>
                <w:sz w:val="17"/>
                <w:szCs w:val="17"/>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0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20" w:type="dxa"/>
            <w:vAlign w:val="bottom"/>
          </w:tcPr>
          <w:p>
            <w:pPr>
              <w:spacing w:after="0"/>
              <w:rPr>
                <w:sz w:val="17"/>
                <w:szCs w:val="17"/>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0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20" w:type="dxa"/>
            <w:vAlign w:val="bottom"/>
          </w:tcPr>
          <w:p>
            <w:pPr>
              <w:spacing w:after="0"/>
              <w:rPr>
                <w:sz w:val="17"/>
                <w:szCs w:val="17"/>
                <w:color w:val="auto"/>
              </w:rPr>
            </w:pPr>
          </w:p>
        </w:tc>
        <w:tc>
          <w:tcPr>
            <w:tcW w:w="5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0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3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20" w:type="dxa"/>
            <w:vAlign w:val="bottom"/>
          </w:tcPr>
          <w:p>
            <w:pPr>
              <w:spacing w:after="0"/>
              <w:rPr>
                <w:sz w:val="17"/>
                <w:szCs w:val="17"/>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0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124,071</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124,009</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124,040</w:t>
            </w:r>
          </w:p>
        </w:tc>
      </w:tr>
      <w:tr>
        <w:trPr>
          <w:trHeight w:val="207"/>
        </w:trPr>
        <w:tc>
          <w:tcPr>
            <w:tcW w:w="20" w:type="dxa"/>
            <w:vAlign w:val="bottom"/>
          </w:tcPr>
          <w:p>
            <w:pPr>
              <w:spacing w:after="0"/>
              <w:rPr>
                <w:sz w:val="17"/>
                <w:szCs w:val="17"/>
                <w:color w:val="auto"/>
              </w:rPr>
            </w:pPr>
          </w:p>
        </w:tc>
        <w:tc>
          <w:tcPr>
            <w:tcW w:w="5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unamortized discounts, debt issuance costs, and deferred charges</w:t>
            </w:r>
          </w:p>
        </w:tc>
        <w:tc>
          <w:tcPr>
            <w:tcW w:w="10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3,101</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2,798</w:t>
            </w:r>
          </w:p>
        </w:tc>
      </w:tr>
      <w:tr>
        <w:trPr>
          <w:trHeight w:val="200"/>
        </w:trPr>
        <w:tc>
          <w:tcPr>
            <w:tcW w:w="20" w:type="dxa"/>
            <w:vAlign w:val="bottom"/>
          </w:tcPr>
          <w:p>
            <w:pPr>
              <w:spacing w:after="0"/>
              <w:rPr>
                <w:sz w:val="17"/>
                <w:szCs w:val="17"/>
                <w:color w:val="auto"/>
              </w:rPr>
            </w:pPr>
          </w:p>
        </w:tc>
        <w:tc>
          <w:tcPr>
            <w:tcW w:w="5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long-term debt</w:t>
            </w:r>
          </w:p>
        </w:tc>
        <w:tc>
          <w:tcPr>
            <w:tcW w:w="10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1,090,970</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691,455</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691,242</w:t>
            </w:r>
          </w:p>
        </w:tc>
      </w:tr>
      <w:tr>
        <w:trPr>
          <w:trHeight w:val="207"/>
        </w:trPr>
        <w:tc>
          <w:tcPr>
            <w:tcW w:w="20" w:type="dxa"/>
            <w:vAlign w:val="bottom"/>
          </w:tcPr>
          <w:p>
            <w:pPr>
              <w:spacing w:after="0"/>
              <w:rPr>
                <w:sz w:val="17"/>
                <w:szCs w:val="17"/>
                <w:color w:val="auto"/>
              </w:rPr>
            </w:pPr>
          </w:p>
        </w:tc>
        <w:tc>
          <w:tcPr>
            <w:tcW w:w="53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0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99,959</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20" w:type="dxa"/>
            <w:vAlign w:val="bottom"/>
          </w:tcPr>
          <w:p>
            <w:pPr>
              <w:spacing w:after="0"/>
              <w:rPr>
                <w:sz w:val="19"/>
                <w:szCs w:val="19"/>
                <w:color w:val="auto"/>
              </w:rPr>
            </w:pPr>
          </w:p>
        </w:tc>
        <w:tc>
          <w:tcPr>
            <w:tcW w:w="53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990,970</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591,496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691,242</w:t>
            </w: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9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Principal payments required on the company's outstanding indebtedness, based on the maturity dates defined within the company's debt arrangements, for the remainder of fiscal 2022 and succeeding fiscal years are as follows: fiscal 2022 (remainder), $0.0 million; fiscal 2023, $0.0 million; fiscal 2024, $0.0 million; fiscal 2025, $37.0 million; fiscal 2026, $463.0 million; fiscal 2027, $270.0 million; and after fiscal 2027, $325.0 million. Typically, the company's revolving credit facility is classified as long-term debt within the Condensed Consolidated Balance Sheets as the company has the ability to extend the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outstanding borrowings under the revolving credit facility for the full-term of the facility. However, if the company intends to prepay a portion of the outstanding balance under the revolving credit facility within the next twelve months, the company reclassifies the portion of outstanding borrowings under the revolving credit facility that the company intends to repay within the next twelve months to current portion of long-term debt within the Condensed Consolidated Balance Sheets. As of April 29, 2022, the company reclassified $100.0 million of outstanding borrowings under the revolving credit facility to current portion of long-term debt within the Condensed Consolidated Balance Sheets as the company currently intends to repay this amount within the next twelve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$200.0 Million Term Loan Credit Agreement</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April 27, 2022, the company entered into a term loan credit agreement ("$200.0 million term loan") with certain financial institutions for the purpose of paying down certain of its outstanding borrowings incurred in connection with the company's acquisition of Intimidator on January 13, 2022 and borrowed under its revolving credit facility provided under an amended and restated revolving credit agreement dated as of October 5, 2021. The entire $200.0 million available under the agreement was funded on April 27, 2022, and matures on April 27, 2027. In connection with the company's entry into the $200.0 million term loan, the company incurred immaterial debt issuance costs, which are being deferred and amortized over the life of the $200.0 million term loan and are netted against the outstanding borrowings under the $200.0 million term loan within the long-term debt, less current portion line item on the company's Condensed Consolidated Balance Sheets.</w:t>
      </w:r>
    </w:p>
    <w:p>
      <w:pPr>
        <w:spacing w:after="0" w:line="2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Outstanding borrowings under the $200.0 million term loan bear interest on the outstanding principal amount thereof for each interest period at a variable rate generally based on Term SOFR or an alternative variable rate based on the highest of the Bank of America prime rate, the federal funds rate or a rate generally based on Term SOFR, depending on the leverage ratio (as measured quarterly and defined as the ratio of (i) total indebtedness to (ii) consolidated EBIT (earnings before interest and taxes) plus depreciation and amortization expense) and our debt rating. Interest is payable quarterly in arrears.</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Beginning with the last business day of June 2025, the company is required to make quarterly amortization payments on the $200.0 million term loan equal to 2.5% of the original aggregate principal amount reduced by any applicable prepayments. The $200.0 million term loan may be prepaid and terminated at the company's election at any time without penalty or premium. Amounts repaid or prepaid may not be reborrowed.</w:t>
      </w:r>
    </w:p>
    <w:p>
      <w:pPr>
        <w:spacing w:after="0" w:line="19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$200.0 million term loan contains customary covenants, including, without limitation, financial covenants generally consistent with those applicable under the company's revolving credit facility. The company was in compliance with all covenants as of April 29, 2022.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Revolving Credit Facility</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April 27, 2022, the company amended its October 5, 2021 amended and restated revolving credit agreement to transition the reference rate from LIBOR to term SOFR. The SOFR reference rate will apply to draws and continuations that take place subsequent to the April 27, 2022 effective date of the amendment. For the outstanding borrowings as of April 29, 2022, the LIBOR reference rate was still in effect.</w:t>
      </w:r>
    </w:p>
    <w:p>
      <w:pPr>
        <w:spacing w:after="0" w:line="91" w:lineRule="exact"/>
        <w:rPr>
          <w:sz w:val="20"/>
          <w:szCs w:val="20"/>
          <w:color w:val="auto"/>
        </w:rPr>
      </w:pPr>
    </w:p>
    <w:p>
      <w:pPr>
        <w:ind w:left="600" w:hanging="579"/>
        <w:spacing w:after="0"/>
        <w:tabs>
          <w:tab w:leader="none" w:pos="600" w:val="left"/>
        </w:tabs>
        <w:numPr>
          <w:ilvl w:val="0"/>
          <w:numId w:val="10"/>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Inventories, Net</w:t>
      </w:r>
    </w:p>
    <w:p>
      <w:pPr>
        <w:spacing w:after="0" w:line="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Inventories are valued at the lower of cost or net realizable value, with cost determined by the first-in, first-out ("FIFO") and average cost methods for a majority of the company's inventories. All remaining inventories are valued at the lower of cost or market, with cost determined under the last-in, first-out ("LIFO") method. As needed,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w:t>
      </w:r>
    </w:p>
    <w:p>
      <w:pPr>
        <w:spacing w:after="0" w:line="7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 xml:space="preserve">On January 13, 2022, with the acquisition of Intimidator, the company acquired $34.6 million of inventory. For additional information on the company's acquisition of Intimidator, refer to Note 2,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Inventories, net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1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0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work in process</w:t>
            </w:r>
          </w:p>
        </w:tc>
        <w:tc>
          <w:tcPr>
            <w:tcW w:w="21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421,387</w:t>
            </w:r>
          </w:p>
        </w:tc>
        <w:tc>
          <w:tcPr>
            <w:tcW w:w="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242,093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335,325</w:t>
            </w:r>
          </w:p>
        </w:tc>
      </w:tr>
      <w:tr>
        <w:trPr>
          <w:trHeight w:val="207"/>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Finished goods and service parts</w:t>
            </w:r>
          </w:p>
        </w:tc>
        <w:tc>
          <w:tcPr>
            <w:tcW w:w="2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605,776</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468,805</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538,332</w:t>
            </w:r>
          </w:p>
        </w:tc>
      </w:tr>
      <w:tr>
        <w:trPr>
          <w:trHeight w:val="200"/>
        </w:trPr>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FIFO and average cost value</w:t>
            </w:r>
          </w:p>
        </w:tc>
        <w:tc>
          <w:tcPr>
            <w:tcW w:w="2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1,027,163</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710,898</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873,657</w:t>
            </w:r>
          </w:p>
        </w:tc>
      </w:tr>
      <w:tr>
        <w:trPr>
          <w:trHeight w:val="207"/>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adjustment to LIFO value</w:t>
            </w:r>
          </w:p>
        </w:tc>
        <w:tc>
          <w:tcPr>
            <w:tcW w:w="2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135,487</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82,087</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135,487</w:t>
            </w:r>
          </w:p>
        </w:tc>
      </w:tr>
      <w:tr>
        <w:trPr>
          <w:trHeight w:val="225"/>
        </w:trPr>
        <w:tc>
          <w:tcPr>
            <w:tcW w:w="4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inventories, net</w:t>
            </w:r>
          </w:p>
        </w:tc>
        <w:tc>
          <w:tcPr>
            <w:tcW w:w="21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891,676</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628,811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738,170</w:t>
            </w:r>
          </w:p>
        </w:tc>
      </w:tr>
      <w:tr>
        <w:trPr>
          <w:trHeight w:val="20"/>
        </w:trPr>
        <w:tc>
          <w:tcPr>
            <w:tcW w:w="42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ind w:left="600" w:hanging="579"/>
        <w:spacing w:after="0"/>
        <w:tabs>
          <w:tab w:leader="none" w:pos="600" w:val="left"/>
        </w:tabs>
        <w:numPr>
          <w:ilvl w:val="0"/>
          <w:numId w:val="11"/>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Property, Plant and Equipment, Net</w:t>
      </w:r>
    </w:p>
    <w:p>
      <w:pPr>
        <w:spacing w:after="0" w:line="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and leasehold improvements are generally depreciated over 10 to 40 years, machinery and equipment are generally depreciated over three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Costs associated with general maintenance and repairs are expensed as incurred within cost of sales or selling, general and administrative expense in the Condensed Consolidated Statements of Earnings depending on the nature and use of the related asset. Interest is capitalized during the construction period for significant capital projects.</w:t>
      </w:r>
    </w:p>
    <w:p>
      <w:pPr>
        <w:spacing w:after="0" w:line="7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 xml:space="preserve">On January 13, 2022, with the acquisition of Intimidator, the company acquired $27.6 million of property, plant, and equipment. For additional information on the company's acquisition of Intimidator, refer to Note 2,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plant and equipment, net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0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0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20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57,210</w:t>
            </w:r>
          </w:p>
        </w:tc>
        <w:tc>
          <w:tcPr>
            <w:tcW w:w="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56,674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57,690</w:t>
            </w:r>
          </w:p>
        </w:tc>
      </w:tr>
      <w:tr>
        <w:trPr>
          <w:trHeight w:val="207"/>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and leasehold improvements</w:t>
            </w:r>
          </w:p>
        </w:tc>
        <w:tc>
          <w:tcPr>
            <w:tcW w:w="20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325,966</w:t>
            </w:r>
          </w:p>
        </w:tc>
        <w:tc>
          <w:tcPr>
            <w:tcW w:w="2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300,321</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308,217</w:t>
            </w:r>
          </w:p>
        </w:tc>
      </w:tr>
      <w:tr>
        <w:trPr>
          <w:trHeight w:val="20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and equipment</w:t>
            </w:r>
          </w:p>
        </w:tc>
        <w:tc>
          <w:tcPr>
            <w:tcW w:w="20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534,358</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507,438</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522,012</w:t>
            </w:r>
          </w:p>
        </w:tc>
      </w:tr>
      <w:tr>
        <w:trPr>
          <w:trHeight w:val="207"/>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Tooling</w:t>
            </w:r>
          </w:p>
        </w:tc>
        <w:tc>
          <w:tcPr>
            <w:tcW w:w="20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221,821</w:t>
            </w:r>
          </w:p>
        </w:tc>
        <w:tc>
          <w:tcPr>
            <w:tcW w:w="2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232,538</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220,966</w:t>
            </w:r>
          </w:p>
        </w:tc>
      </w:tr>
      <w:tr>
        <w:trPr>
          <w:trHeight w:val="20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hardware and software</w:t>
            </w:r>
          </w:p>
        </w:tc>
        <w:tc>
          <w:tcPr>
            <w:tcW w:w="20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97,355</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102,308</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97,485</w:t>
            </w:r>
          </w:p>
        </w:tc>
      </w:tr>
      <w:tr>
        <w:trPr>
          <w:trHeight w:val="20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process</w:t>
            </w:r>
          </w:p>
        </w:tc>
        <w:tc>
          <w:tcPr>
            <w:tcW w:w="20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110,379</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64,592</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85,722</w:t>
            </w:r>
          </w:p>
        </w:tc>
      </w:tr>
      <w:tr>
        <w:trPr>
          <w:trHeight w:val="20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20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1,347,089</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1,263,871</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1,292,092</w:t>
            </w:r>
          </w:p>
        </w:tc>
      </w:tr>
      <w:tr>
        <w:trPr>
          <w:trHeight w:val="207"/>
        </w:trPr>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834,659</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810,323</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804,361</w:t>
            </w:r>
          </w:p>
        </w:tc>
      </w:tr>
      <w:tr>
        <w:trPr>
          <w:trHeight w:val="225"/>
        </w:trPr>
        <w:tc>
          <w:tcPr>
            <w:tcW w:w="4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512,430</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453,548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487,731</w:t>
            </w:r>
          </w:p>
        </w:tc>
      </w:tr>
      <w:tr>
        <w:trPr>
          <w:trHeight w:val="20"/>
        </w:trPr>
        <w:tc>
          <w:tcPr>
            <w:tcW w:w="43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600" w:hanging="579"/>
        <w:spacing w:after="0"/>
        <w:tabs>
          <w:tab w:leader="none" w:pos="600" w:val="left"/>
        </w:tabs>
        <w:numPr>
          <w:ilvl w:val="0"/>
          <w:numId w:val="12"/>
        </w:numPr>
        <w:rPr>
          <w:rFonts w:ascii="Times New Roman" w:cs="Times New Roman" w:eastAsia="Times New Roman" w:hAnsi="Times New Roman"/>
          <w:sz w:val="41"/>
          <w:szCs w:val="41"/>
          <w:b w:val="1"/>
          <w:bCs w:val="1"/>
          <w:color w:val="auto"/>
        </w:rPr>
      </w:pPr>
      <w:r>
        <w:rPr>
          <w:rFonts w:ascii="Times New Roman" w:cs="Times New Roman" w:eastAsia="Times New Roman" w:hAnsi="Times New Roman"/>
          <w:sz w:val="19"/>
          <w:szCs w:val="19"/>
          <w:b w:val="1"/>
          <w:bCs w:val="1"/>
          <w:color w:val="auto"/>
        </w:rPr>
        <w:t>Product Warranty Guarantees</w:t>
      </w:r>
    </w:p>
    <w:p>
      <w:pPr>
        <w:spacing w:after="0" w:line="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w:t>
      </w:r>
    </w:p>
    <w:p>
      <w:pPr>
        <w:spacing w:after="0" w:line="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At the time of sale, the company recognizes expense and records an accrual by product line for estimated costs in connection with forecasted future warranty claims. The company's estimate of the cost of future warranty claims is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the cost of actual claims experience indicates that adjustments to the company's warranty accrual are necessary. Additionally, from time to time, the company may also establish warranty accruals for its estimate of the costs necessary to settle major rework campaigns on a product-specific basis during the period in which the circumstances giving rise to the major rework campaign become known and when the costs to satisfactorily address the situation are both probable and estimable. The warranty accrual for the cost of a major rework campaign is primarily based on an estimate of the cost to repair each affected unit and the number of affected units expected to be repaired.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accrued warranties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1"/>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April 30, 2021</w:t>
            </w:r>
          </w:p>
        </w:tc>
      </w:tr>
      <w:tr>
        <w:trPr>
          <w:trHeight w:val="20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119,860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108,783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116,783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107,121</w:t>
            </w:r>
          </w:p>
        </w:tc>
      </w:tr>
      <w:tr>
        <w:trPr>
          <w:trHeight w:val="207"/>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Provisions</w:t>
            </w:r>
          </w:p>
        </w:tc>
        <w:tc>
          <w:tcPr>
            <w:tcW w:w="214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23,899</w:t>
            </w:r>
          </w:p>
        </w:tc>
        <w:tc>
          <w:tcPr>
            <w:tcW w:w="18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21,823</w:t>
            </w:r>
          </w:p>
        </w:tc>
        <w:tc>
          <w:tcPr>
            <w:tcW w:w="20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41,093</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38,518</w:t>
            </w:r>
          </w:p>
        </w:tc>
      </w:tr>
      <w:tr>
        <w:trPr>
          <w:trHeight w:val="20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w:t>
            </w:r>
          </w:p>
        </w:tc>
        <w:tc>
          <w:tcPr>
            <w:tcW w:w="2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1,257</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3,197</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Claims</w:t>
            </w:r>
          </w:p>
        </w:tc>
        <w:tc>
          <w:tcPr>
            <w:tcW w:w="2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(17,861)</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(15,618)</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(33,772)</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(30,804)</w:t>
            </w:r>
          </w:p>
        </w:tc>
      </w:tr>
      <w:tr>
        <w:trPr>
          <w:trHeight w:val="207"/>
        </w:trPr>
        <w:tc>
          <w:tcPr>
            <w:tcW w:w="3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estimates</w:t>
            </w:r>
          </w:p>
        </w:tc>
        <w:tc>
          <w:tcPr>
            <w:tcW w:w="21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4,401</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4,554</w:t>
            </w:r>
          </w:p>
        </w:tc>
      </w:tr>
      <w:tr>
        <w:trPr>
          <w:trHeight w:val="200"/>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126,830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119,389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126,830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119,389</w:t>
            </w: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10 </w:t>
      </w:r>
      <w:r>
        <w:rPr>
          <w:rFonts w:ascii="Times New Roman" w:cs="Times New Roman" w:eastAsia="Times New Roman" w:hAnsi="Times New Roman"/>
          <w:sz w:val="18"/>
          <w:szCs w:val="18"/>
          <w:b w:val="1"/>
          <w:bCs w:val="1"/>
          <w:color w:val="auto"/>
        </w:rPr>
        <w:t>Investment in Finance Affiliate</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and a subsidiary of The Huntington National Bank, are parties to the Red Iron joint venture ("Red Iron"), the primary purpose of which is to provide inventory financing to certain distributors and dealers of certain of the company’s products in the U.S. These financing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The company has also entered into a limited inventory repurchase agreement with Red Iron, under which the company has agreed to repurchase certain repossessed products, up to a maximum aggregate amount of $7.5 million in a calendar year. The company's financial exposure under this limited inventory repurchase agreement is limited to the difference between the amount paid for repurchases of repossessed product and the amount received upon the subsequent resale of the repossessed product. The company has repurchased immaterial amounts of inventory under this limited inventory repurchase agreement for the six months ended April 29, 2022 and April 30, 2021.</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Under separate agreements between Red Iron and the dealers and distributors, Red Iron provides loans to the dealers and distributors for the advances paid by Red Iron to the company. The net amount of receivables financed for dealers and distributors under this arrangement for the six months ended April 29, 2022 and April 30, 2021 were $1,209.7 million and $1,180.9 million, respectively. As of April 29, 2022, Red Iron’s total assets were $636.3 million and total liabilities were $567.6 million. The total amount of receivables due from Red Iron to the company as of April 29, 2022, April 30, 2021, and October 31, 2021 were $19.9 million, $17.1 million and $31.0 million, respectively.</w:t>
      </w:r>
    </w:p>
    <w:p>
      <w:pPr>
        <w:spacing w:after="0" w:line="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owns 45 percent of Red Iron and TCFIF owns 55 percent of Red Iron. The company accounts for its investment in Red Iron under the equity method of accounting. At inception,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$625.0 million secured revolving credit facility established under a credit agreement between Red Iron and TCFIF. The company’s total investment in Red Iron as of April 29, 2022, April 30, 2021, and October 31, 2021 was $30.9 million, $25.3 million, and $20.7 million, respectively. The company has not guaranteed the outstanding indebtedness of Red Iron.</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11 </w:t>
      </w:r>
      <w:r>
        <w:rPr>
          <w:rFonts w:ascii="Times New Roman" w:cs="Times New Roman" w:eastAsia="Times New Roman" w:hAnsi="Times New Roman"/>
          <w:sz w:val="18"/>
          <w:szCs w:val="18"/>
          <w:b w:val="1"/>
          <w:bCs w:val="1"/>
          <w:color w:val="auto"/>
        </w:rPr>
        <w:t>Stock-Based Compensation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costs related to stock-based compensation awards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6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758"/>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1"/>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8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April 30, 2021</w:t>
            </w:r>
          </w:p>
        </w:tc>
      </w:tr>
      <w:tr>
        <w:trPr>
          <w:trHeight w:val="20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awards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2,715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4,657</w:t>
            </w:r>
          </w:p>
        </w:tc>
      </w:tr>
      <w:tr>
        <w:trPr>
          <w:trHeight w:val="220"/>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share awards</w:t>
            </w:r>
          </w:p>
        </w:tc>
        <w:tc>
          <w:tcPr>
            <w:tcW w:w="800" w:type="dxa"/>
            <w:vAlign w:val="bottom"/>
          </w:tcPr>
          <w:p>
            <w:pPr>
              <w:spacing w:after="0"/>
              <w:rPr>
                <w:sz w:val="19"/>
                <w:szCs w:val="19"/>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1,917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2,194</w:t>
            </w:r>
          </w:p>
        </w:tc>
        <w:tc>
          <w:tcPr>
            <w:tcW w:w="240" w:type="dxa"/>
            <w:vAlign w:val="bottom"/>
          </w:tcPr>
          <w:p>
            <w:pPr>
              <w:spacing w:after="0"/>
              <w:rPr>
                <w:sz w:val="19"/>
                <w:szCs w:val="19"/>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3,538</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3,020</w:t>
            </w:r>
          </w:p>
        </w:tc>
      </w:tr>
      <w:tr>
        <w:trPr>
          <w:trHeight w:val="22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 awards</w:t>
            </w:r>
          </w:p>
        </w:tc>
        <w:tc>
          <w:tcPr>
            <w:tcW w:w="8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1,276</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2,423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w:t>
            </w:r>
          </w:p>
        </w:tc>
      </w:tr>
      <w:tr>
        <w:trPr>
          <w:trHeight w:val="207"/>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Unrestricted common stock awards</w:t>
            </w:r>
          </w:p>
        </w:tc>
        <w:tc>
          <w:tcPr>
            <w:tcW w:w="8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rPr>
              <w:t>629</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w:t>
            </w:r>
          </w:p>
        </w:tc>
      </w:tr>
      <w:tr>
        <w:trPr>
          <w:trHeight w:val="225"/>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compensation cost for stock-based compensation awards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5,908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11,133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10,345</w:t>
            </w:r>
          </w:p>
        </w:tc>
      </w:tr>
      <w:tr>
        <w:trPr>
          <w:trHeight w:val="20"/>
        </w:trPr>
        <w:tc>
          <w:tcPr>
            <w:tcW w:w="46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March 15, 2022, the company’s shareholders approved The Toro Company 2022 Equity and Incentive Plan (the “2022 plan”), which became effective immediately and replaced The Toro Company Amended and Restated 2010 Equity and Incentive Plan, as amended (the “2010 plan”). The 2022 plan is administered by the Compensation &amp; Human Resources Committee of the Board and permits the grant of nonqualified and incentive stock options, stock appreciation rights, restricted stock, restricted stock units, performance shares, performance units, annual performance awards, non-employee director awards and other cash-based and stock-based awards to eligible individuals. Subject to adjustment as provided in the 2022 plan, the maximum aggregate number of shares of the company’s common stock authorized for issuance under the 2022 plan is equal to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sum of: (a) 1,250,000 shares, plus (b) the number of shares remaining available for grant under the 2010 plan but not subject to outstanding awards thereunder as of March 15, 2022, and plus (c) the number of shares subject to awards outstanding under the 2010 plan as of March 15, 2022 but only to the extent that such outstanding awards are forfeited, expire or otherwise terminate without the issuance of such shares.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 Awards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("Board") on an annual basis in the first quarter of the company’s fiscal year but may also be granted throughout the fiscal year in connection with hiring, mid-year promotions, leadership transition, or retention, as needed and applicable. Options generally vest one-third each year over a three-year period and have a ten-year term but in certain circumstances, the vesting requirement may be modified such that options granted to certain employees vest in full on the three-year anniversary of the date of grant and have a ten-year term. Compensation cost equal to the grant date fair value determined under the Black-Scholes valuation method is generally recognized for these awards over the vesting period. Compensation cost recognized for other employees not considered executive officers and non-employee Board members is net of estimated forfeitures, which are determined at the time of grant based on historical forfeiture experience. Stock options granted to executive officers and other employees are subject to accelerated expensing if the option holder meets the retirement definition set forth in the 2022 plan or 2010 plan, as applicable. In that case, the fair value of the options is expensed in the fiscal year of grant because generally, if the option holder is employed as of the end of the fiscal year in which the options are granted, such options will not be forfeited but continue to vest according to their schedule following retirement. Similarly, if a non-employee Board member has served on the company's Board for ten full fiscal years or more, the awards will not be forfeited but continue to vest according to their schedule following retirement. Therefore, the fair value of the options granted is fully expensed on the date of the grant.</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fair value of each stock option is estimated on the date of grant using various inputs and assumptions under the Black-Scholes valuation method.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Board members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76" w:lineRule="exact"/>
        <w:rPr>
          <w:sz w:val="20"/>
          <w:szCs w:val="20"/>
          <w:color w:val="auto"/>
        </w:rPr>
      </w:pPr>
    </w:p>
    <w:p>
      <w:pPr>
        <w:ind w:right="80"/>
        <w:spacing w:after="0" w:line="288" w:lineRule="auto"/>
        <w:rPr>
          <w:sz w:val="20"/>
          <w:szCs w:val="20"/>
          <w:color w:val="auto"/>
        </w:rPr>
      </w:pPr>
      <w:r>
        <w:rPr>
          <w:rFonts w:ascii="Times New Roman" w:cs="Times New Roman" w:eastAsia="Times New Roman" w:hAnsi="Times New Roman"/>
          <w:sz w:val="17"/>
          <w:szCs w:val="17"/>
          <w:color w:val="auto"/>
        </w:rPr>
        <w:t>The table below illustrates the weighted-average valuation assumptions used under the Black-Scholes valuation method for options granted in the first six months of the following fiscal periods: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20" w:type="dxa"/>
            <w:vAlign w:val="bottom"/>
            <w:tcBorders>
              <w:top w:val="single" w:sz="8" w:color="auto"/>
              <w:bottom w:val="single" w:sz="8" w:color="auto"/>
            </w:tcBorders>
          </w:tcPr>
          <w:p>
            <w:pPr>
              <w:spacing w:after="0"/>
              <w:rPr>
                <w:sz w:val="19"/>
                <w:szCs w:val="19"/>
                <w:color w:val="auto"/>
              </w:rPr>
            </w:pPr>
          </w:p>
        </w:tc>
        <w:tc>
          <w:tcPr>
            <w:tcW w:w="3740" w:type="dxa"/>
            <w:vAlign w:val="bottom"/>
            <w:tcBorders>
              <w:top w:val="single" w:sz="8" w:color="auto"/>
              <w:bottom w:val="single" w:sz="8" w:color="auto"/>
            </w:tcBorders>
          </w:tcPr>
          <w:p>
            <w:pPr>
              <w:ind w:left="2600"/>
              <w:spacing w:after="0"/>
              <w:rPr>
                <w:sz w:val="20"/>
                <w:szCs w:val="20"/>
                <w:color w:val="auto"/>
              </w:rPr>
            </w:pPr>
            <w:r>
              <w:rPr>
                <w:rFonts w:ascii="Times New Roman" w:cs="Times New Roman" w:eastAsia="Times New Roman" w:hAnsi="Times New Roman"/>
                <w:sz w:val="16"/>
                <w:szCs w:val="16"/>
                <w:b w:val="1"/>
                <w:bCs w:val="1"/>
                <w:color w:val="auto"/>
              </w:rPr>
              <w:t>Fiscal 2022</w:t>
            </w:r>
          </w:p>
        </w:tc>
        <w:tc>
          <w:tcPr>
            <w:tcW w:w="14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Fiscal 2021</w:t>
            </w:r>
          </w:p>
        </w:tc>
      </w:tr>
      <w:tr>
        <w:trPr>
          <w:trHeight w:val="20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life of option in years</w:t>
            </w:r>
          </w:p>
        </w:tc>
        <w:tc>
          <w:tcPr>
            <w:tcW w:w="3740" w:type="dxa"/>
            <w:vAlign w:val="bottom"/>
            <w:shd w:val="clear" w:color="auto" w:fill="CCEEFF"/>
          </w:tcPr>
          <w:p>
            <w:pPr>
              <w:jc w:val="center"/>
              <w:ind w:left="2140"/>
              <w:spacing w:after="0"/>
              <w:rPr>
                <w:sz w:val="20"/>
                <w:szCs w:val="20"/>
                <w:color w:val="auto"/>
              </w:rPr>
            </w:pPr>
            <w:r>
              <w:rPr>
                <w:rFonts w:ascii="Times New Roman" w:cs="Times New Roman" w:eastAsia="Times New Roman" w:hAnsi="Times New Roman"/>
                <w:sz w:val="16"/>
                <w:szCs w:val="16"/>
                <w:color w:val="auto"/>
                <w:w w:val="99"/>
              </w:rPr>
              <w:t>6.19</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6.21</w:t>
            </w: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stock price volatility</w:t>
            </w:r>
          </w:p>
        </w:tc>
        <w:tc>
          <w:tcPr>
            <w:tcW w:w="3740" w:type="dxa"/>
            <w:vAlign w:val="bottom"/>
          </w:tcPr>
          <w:p>
            <w:pPr>
              <w:jc w:val="center"/>
              <w:ind w:left="2140"/>
              <w:spacing w:after="0"/>
              <w:rPr>
                <w:sz w:val="20"/>
                <w:szCs w:val="20"/>
                <w:color w:val="auto"/>
              </w:rPr>
            </w:pPr>
            <w:r>
              <w:rPr>
                <w:rFonts w:ascii="Times New Roman" w:cs="Times New Roman" w:eastAsia="Times New Roman" w:hAnsi="Times New Roman"/>
                <w:sz w:val="16"/>
                <w:szCs w:val="16"/>
                <w:color w:val="auto"/>
                <w:w w:val="97"/>
              </w:rPr>
              <w:t>23.76%</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23.26%</w:t>
            </w:r>
          </w:p>
        </w:tc>
      </w:tr>
      <w:tr>
        <w:trPr>
          <w:trHeight w:val="20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3740" w:type="dxa"/>
            <w:vAlign w:val="bottom"/>
            <w:shd w:val="clear" w:color="auto" w:fill="CCEEFF"/>
          </w:tcPr>
          <w:p>
            <w:pPr>
              <w:jc w:val="center"/>
              <w:ind w:left="2140"/>
              <w:spacing w:after="0"/>
              <w:rPr>
                <w:sz w:val="20"/>
                <w:szCs w:val="20"/>
                <w:color w:val="auto"/>
              </w:rPr>
            </w:pPr>
            <w:r>
              <w:rPr>
                <w:rFonts w:ascii="Times New Roman" w:cs="Times New Roman" w:eastAsia="Times New Roman" w:hAnsi="Times New Roman"/>
                <w:sz w:val="16"/>
                <w:szCs w:val="16"/>
                <w:color w:val="auto"/>
                <w:w w:val="96"/>
              </w:rPr>
              <w:t>1.30%</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0.55%</w:t>
            </w: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3740" w:type="dxa"/>
            <w:vAlign w:val="bottom"/>
          </w:tcPr>
          <w:p>
            <w:pPr>
              <w:jc w:val="center"/>
              <w:ind w:left="2140"/>
              <w:spacing w:after="0"/>
              <w:rPr>
                <w:sz w:val="20"/>
                <w:szCs w:val="20"/>
                <w:color w:val="auto"/>
              </w:rPr>
            </w:pPr>
            <w:r>
              <w:rPr>
                <w:rFonts w:ascii="Times New Roman" w:cs="Times New Roman" w:eastAsia="Times New Roman" w:hAnsi="Times New Roman"/>
                <w:sz w:val="16"/>
                <w:szCs w:val="16"/>
                <w:color w:val="auto"/>
                <w:w w:val="96"/>
              </w:rPr>
              <w:t>0.94%</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0.86%</w:t>
            </w:r>
          </w:p>
        </w:tc>
      </w:tr>
      <w:tr>
        <w:trPr>
          <w:trHeight w:val="207"/>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weighted-average fair value at date of grant</w:t>
            </w:r>
          </w:p>
        </w:tc>
        <w:tc>
          <w:tcPr>
            <w:tcW w:w="3740" w:type="dxa"/>
            <w:vAlign w:val="bottom"/>
            <w:tcBorders>
              <w:bottom w:val="single" w:sz="8" w:color="auto"/>
            </w:tcBorders>
            <w:shd w:val="clear" w:color="auto" w:fill="CCEEFF"/>
          </w:tcPr>
          <w:p>
            <w:pPr>
              <w:jc w:val="center"/>
              <w:ind w:left="2140"/>
              <w:spacing w:after="0"/>
              <w:rPr>
                <w:sz w:val="20"/>
                <w:szCs w:val="20"/>
                <w:color w:val="auto"/>
              </w:rPr>
            </w:pPr>
            <w:r>
              <w:rPr>
                <w:rFonts w:ascii="Times New Roman" w:cs="Times New Roman" w:eastAsia="Times New Roman" w:hAnsi="Times New Roman"/>
                <w:sz w:val="16"/>
                <w:szCs w:val="16"/>
                <w:color w:val="auto"/>
                <w:w w:val="99"/>
              </w:rPr>
              <w:t>$22.57</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$19.39</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Share Awards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which is equal to the closing price of the company's common stock on the date of grant, and the probability of achieving each performance goal. The per share weighted-average fair value of performance share awards granted during the first quarter of fiscal 2022 and 2021 was $98.41 and $90.59, respectively. No performance share awards were granted during the second quarter of fiscal 2022 and 2021.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Awards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Restricted stock unit awards are generally granted to certain employees who are not executive officers. Occasionally, restricted stock unit awards may be granted, including to executive officers, in connection with hiring, mid-year promotions, leadership transition, or retention. Restricted stock unit awards generally vest one-third each year over a three-year period, or vest in full on the three-year anniversary of the date of grant.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 The per share weighted-average fair value of restricted stock unit awards granted during the first six months of fiscal 2022 and 2021 was $98.43 and $91.95,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Unrestricted Common Stock Awards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During the first six months of fiscal 2022 and 2021, 6,453 and 8,070 shares, respectively, of fully vested unrestricted common stock awards were granted to certain Board members as a component of their compensation for their service on the Board and were recorded within selling, general and administrative expense in the Condensed Consolidated Statements of Earnings. Additionally, the Company's Board members may elect to convert a portion or all of their calendar year annual retainers otherwise payable in cash into shares of the company's common stock. No shares of fully vested unrestricted common stock awards were granted during the second quarter of fiscal 2022 and 2021.</w:t>
      </w:r>
    </w:p>
    <w:p>
      <w:pPr>
        <w:spacing w:after="0" w:line="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12 </w:t>
      </w:r>
      <w:r>
        <w:rPr>
          <w:rFonts w:ascii="Times New Roman" w:cs="Times New Roman" w:eastAsia="Times New Roman" w:hAnsi="Times New Roman"/>
          <w:sz w:val="18"/>
          <w:szCs w:val="18"/>
          <w:b w:val="1"/>
          <w:bCs w:val="1"/>
          <w:color w:val="auto"/>
        </w:rPr>
        <w:t>Stockholders' Equity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Loss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components of accumulated other comprehensive loss ("AOCL"), net of tax, within the Condensed Consolidated Statements of Stockholders' Equity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8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6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0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34,933</w:t>
            </w:r>
          </w:p>
        </w:tc>
        <w:tc>
          <w:tcPr>
            <w:tcW w:w="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19,535</w:t>
            </w:r>
          </w:p>
        </w:tc>
      </w:tr>
      <w:tr>
        <w:trPr>
          <w:trHeight w:val="207"/>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Pension benefits</w:t>
            </w:r>
          </w:p>
        </w:tc>
        <w:tc>
          <w:tcPr>
            <w:tcW w:w="1840" w:type="dxa"/>
            <w:vAlign w:val="bottom"/>
          </w:tcPr>
          <w:p>
            <w:pPr>
              <w:spacing w:after="0"/>
              <w:rPr>
                <w:sz w:val="17"/>
                <w:szCs w:val="17"/>
                <w:color w:val="auto"/>
              </w:rPr>
            </w:pPr>
          </w:p>
        </w:tc>
        <w:tc>
          <w:tcPr>
            <w:tcW w:w="14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3,899</w:t>
            </w:r>
          </w:p>
        </w:tc>
        <w:tc>
          <w:tcPr>
            <w:tcW w:w="2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3,899</w:t>
            </w:r>
          </w:p>
        </w:tc>
      </w:tr>
      <w:tr>
        <w:trPr>
          <w:trHeight w:val="207"/>
        </w:trPr>
        <w:tc>
          <w:tcPr>
            <w:tcW w:w="4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derivative instruments</w:t>
            </w:r>
          </w:p>
        </w:tc>
        <w:tc>
          <w:tcPr>
            <w:tcW w:w="18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(11,009)</w:t>
            </w:r>
          </w:p>
        </w:tc>
        <w:tc>
          <w:tcPr>
            <w:tcW w:w="2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11,797</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w:t>
            </w:r>
          </w:p>
        </w:tc>
      </w:tr>
      <w:tr>
        <w:trPr>
          <w:trHeight w:val="200"/>
        </w:trPr>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accumulated other comprehensive loss</w:t>
            </w:r>
          </w:p>
        </w:tc>
        <w:tc>
          <w:tcPr>
            <w:tcW w:w="18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27,823</w:t>
            </w:r>
          </w:p>
        </w:tc>
        <w:tc>
          <w:tcPr>
            <w:tcW w:w="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29,412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25,996</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and activity of AOCL, net of tax, for the three and six month periods ended April 29, 2022 and April 30, 2021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Cash Flow</w:t>
            </w: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w w:val="97"/>
              </w:rPr>
              <w:t>Currency</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20" w:type="dxa"/>
            <w:vAlign w:val="bottom"/>
          </w:tcPr>
          <w:p>
            <w:pPr>
              <w:spacing w:after="0"/>
              <w:rPr>
                <w:sz w:val="14"/>
                <w:szCs w:val="14"/>
                <w:color w:val="auto"/>
              </w:rPr>
            </w:pPr>
          </w:p>
        </w:tc>
        <w:tc>
          <w:tcPr>
            <w:tcW w:w="1260" w:type="dxa"/>
            <w:vAlign w:val="bottom"/>
          </w:tcPr>
          <w:p>
            <w:pPr>
              <w:jc w:val="center"/>
              <w:ind w:right="140"/>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40" w:type="dxa"/>
            <w:vAlign w:val="bottom"/>
          </w:tcPr>
          <w:p>
            <w:pPr>
              <w:spacing w:after="0"/>
              <w:rPr>
                <w:sz w:val="14"/>
                <w:szCs w:val="14"/>
                <w:color w:val="auto"/>
              </w:rPr>
            </w:pPr>
          </w:p>
        </w:tc>
        <w:tc>
          <w:tcPr>
            <w:tcW w:w="1160" w:type="dxa"/>
            <w:vAlign w:val="bottom"/>
          </w:tcPr>
          <w:p>
            <w:pPr>
              <w:ind w:left="180"/>
              <w:spacing w:after="0" w:line="168" w:lineRule="exact"/>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w w:val="98"/>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28, 2022</w:t>
            </w: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25,525</w:t>
            </w:r>
          </w:p>
        </w:tc>
        <w:tc>
          <w:tcPr>
            <w:tcW w:w="3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3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25,614</w:t>
            </w:r>
          </w:p>
        </w:tc>
        <w:tc>
          <w:tcPr>
            <w:tcW w:w="0" w:type="dxa"/>
            <w:vAlign w:val="bottom"/>
          </w:tcPr>
          <w:p>
            <w:pPr>
              <w:spacing w:after="0"/>
              <w:rPr>
                <w:sz w:val="1"/>
                <w:szCs w:val="1"/>
                <w:color w:val="auto"/>
              </w:rPr>
            </w:pPr>
          </w:p>
        </w:tc>
      </w:tr>
      <w:tr>
        <w:trPr>
          <w:trHeight w:val="20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9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9,408</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(7,175)</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2,233</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9,408</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(7,199)</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April 29, 2022</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34,933</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(11,009)</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jc w:val="center"/>
              <w:ind w:right="180"/>
              <w:spacing w:after="0" w:line="148"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tcPr>
          <w:p>
            <w:pPr>
              <w:jc w:val="center"/>
              <w:ind w:right="140"/>
              <w:spacing w:after="0" w:line="155" w:lineRule="exact"/>
              <w:rPr>
                <w:sz w:val="20"/>
                <w:szCs w:val="20"/>
                <w:color w:val="auto"/>
              </w:rPr>
            </w:pPr>
            <w:r>
              <w:rPr>
                <w:rFonts w:ascii="Times New Roman" w:cs="Times New Roman" w:eastAsia="Times New Roman" w:hAnsi="Times New Roman"/>
                <w:sz w:val="16"/>
                <w:szCs w:val="16"/>
                <w:b w:val="1"/>
                <w:bCs w:val="1"/>
                <w:color w:val="auto"/>
                <w:w w:val="97"/>
              </w:rPr>
              <w:t>Currency</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20" w:type="dxa"/>
            <w:vAlign w:val="bottom"/>
          </w:tcPr>
          <w:p>
            <w:pPr>
              <w:spacing w:after="0"/>
              <w:rPr>
                <w:sz w:val="14"/>
                <w:szCs w:val="14"/>
                <w:color w:val="auto"/>
              </w:rPr>
            </w:pPr>
          </w:p>
        </w:tc>
        <w:tc>
          <w:tcPr>
            <w:tcW w:w="1260" w:type="dxa"/>
            <w:vAlign w:val="bottom"/>
          </w:tcPr>
          <w:p>
            <w:pPr>
              <w:jc w:val="center"/>
              <w:ind w:right="140"/>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40" w:type="dxa"/>
            <w:vAlign w:val="bottom"/>
          </w:tcPr>
          <w:p>
            <w:pPr>
              <w:spacing w:after="0"/>
              <w:rPr>
                <w:sz w:val="14"/>
                <w:szCs w:val="14"/>
                <w:color w:val="auto"/>
              </w:rPr>
            </w:pPr>
          </w:p>
        </w:tc>
        <w:tc>
          <w:tcPr>
            <w:tcW w:w="1160" w:type="dxa"/>
            <w:vAlign w:val="bottom"/>
          </w:tcPr>
          <w:p>
            <w:pPr>
              <w:ind w:left="180"/>
              <w:spacing w:after="0" w:line="168" w:lineRule="exact"/>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w w:val="98"/>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2021</w:t>
            </w: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19,535</w:t>
            </w:r>
          </w:p>
        </w:tc>
        <w:tc>
          <w:tcPr>
            <w:tcW w:w="3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2,562</w:t>
            </w:r>
          </w:p>
        </w:tc>
        <w:tc>
          <w:tcPr>
            <w:tcW w:w="3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25,996</w:t>
            </w:r>
          </w:p>
        </w:tc>
        <w:tc>
          <w:tcPr>
            <w:tcW w:w="0" w:type="dxa"/>
            <w:vAlign w:val="bottom"/>
          </w:tcPr>
          <w:p>
            <w:pPr>
              <w:spacing w:after="0"/>
              <w:rPr>
                <w:sz w:val="1"/>
                <w:szCs w:val="1"/>
                <w:color w:val="auto"/>
              </w:rPr>
            </w:pPr>
          </w:p>
        </w:tc>
      </w:tr>
      <w:tr>
        <w:trPr>
          <w:trHeight w:val="20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9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15,398</w:t>
            </w: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(13,816)</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245</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15,398</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(13,571)</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April 29, 2022</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34,933</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(11,009)</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27,823</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200"/>
              <w:spacing w:after="0" w:line="168"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Cash Flow</w:t>
            </w: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Times New Roman" w:cs="Times New Roman" w:eastAsia="Times New Roman" w:hAnsi="Times New Roman"/>
                <w:sz w:val="16"/>
                <w:szCs w:val="16"/>
                <w:b w:val="1"/>
                <w:bCs w:val="1"/>
                <w:color w:val="auto"/>
                <w:w w:val="97"/>
              </w:rPr>
              <w:t>Currency</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20" w:type="dxa"/>
            <w:vAlign w:val="bottom"/>
          </w:tcPr>
          <w:p>
            <w:pPr>
              <w:spacing w:after="0"/>
              <w:rPr>
                <w:sz w:val="14"/>
                <w:szCs w:val="14"/>
                <w:color w:val="auto"/>
              </w:rPr>
            </w:pPr>
          </w:p>
        </w:tc>
        <w:tc>
          <w:tcPr>
            <w:tcW w:w="1280" w:type="dxa"/>
            <w:vAlign w:val="bottom"/>
          </w:tcPr>
          <w:p>
            <w:pPr>
              <w:jc w:val="center"/>
              <w:ind w:right="160"/>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60" w:type="dxa"/>
            <w:vAlign w:val="bottom"/>
          </w:tcPr>
          <w:p>
            <w:pPr>
              <w:ind w:left="180"/>
              <w:spacing w:after="0" w:line="168" w:lineRule="exact"/>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w w:val="98"/>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January 29, 2021</w:t>
            </w: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14,112</w:t>
            </w:r>
          </w:p>
        </w:tc>
        <w:tc>
          <w:tcPr>
            <w:tcW w:w="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12,958</w:t>
            </w:r>
          </w:p>
        </w:tc>
        <w:tc>
          <w:tcPr>
            <w:tcW w:w="3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32,176</w:t>
            </w:r>
          </w:p>
        </w:tc>
        <w:tc>
          <w:tcPr>
            <w:tcW w:w="0" w:type="dxa"/>
            <w:vAlign w:val="bottom"/>
          </w:tcPr>
          <w:p>
            <w:pPr>
              <w:spacing w:after="0"/>
              <w:rPr>
                <w:sz w:val="1"/>
                <w:szCs w:val="1"/>
                <w:color w:val="auto"/>
              </w:rPr>
            </w:pPr>
          </w:p>
        </w:tc>
      </w:tr>
      <w:tr>
        <w:trPr>
          <w:trHeight w:val="20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9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(5,346)</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(6,949)</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4,185</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w:t>
            </w: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(1,603)</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April 30, 2021</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12,509</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11,797</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jc w:val="center"/>
              <w:ind w:right="200"/>
              <w:spacing w:after="0" w:line="148" w:lineRule="exact"/>
              <w:rPr>
                <w:sz w:val="20"/>
                <w:szCs w:val="20"/>
                <w:color w:val="auto"/>
              </w:rPr>
            </w:pPr>
            <w:r>
              <w:rPr>
                <w:rFonts w:ascii="Times New Roman" w:cs="Times New Roman" w:eastAsia="Times New Roman" w:hAnsi="Times New Roman"/>
                <w:sz w:val="16"/>
                <w:szCs w:val="16"/>
                <w:b w:val="1"/>
                <w:bCs w:val="1"/>
                <w:color w:val="auto"/>
                <w:w w:val="97"/>
              </w:rPr>
              <w:t>Foreign</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Times New Roman" w:cs="Times New Roman" w:eastAsia="Times New Roman" w:hAnsi="Times New Roman"/>
                <w:sz w:val="16"/>
                <w:szCs w:val="16"/>
                <w:b w:val="1"/>
                <w:bCs w:val="1"/>
                <w:color w:val="auto"/>
                <w:w w:val="97"/>
              </w:rPr>
              <w:t>Currency</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920" w:type="dxa"/>
            <w:vAlign w:val="bottom"/>
          </w:tcPr>
          <w:p>
            <w:pPr>
              <w:spacing w:after="0"/>
              <w:rPr>
                <w:sz w:val="14"/>
                <w:szCs w:val="14"/>
                <w:color w:val="auto"/>
              </w:rPr>
            </w:pPr>
          </w:p>
        </w:tc>
        <w:tc>
          <w:tcPr>
            <w:tcW w:w="1280" w:type="dxa"/>
            <w:vAlign w:val="bottom"/>
          </w:tcPr>
          <w:p>
            <w:pPr>
              <w:jc w:val="center"/>
              <w:ind w:right="160"/>
              <w:spacing w:after="0" w:line="168"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320" w:type="dxa"/>
            <w:vAlign w:val="bottom"/>
          </w:tcPr>
          <w:p>
            <w:pPr>
              <w:spacing w:after="0"/>
              <w:rPr>
                <w:sz w:val="14"/>
                <w:szCs w:val="14"/>
                <w:color w:val="auto"/>
              </w:rPr>
            </w:pPr>
          </w:p>
        </w:tc>
        <w:tc>
          <w:tcPr>
            <w:tcW w:w="1160" w:type="dxa"/>
            <w:vAlign w:val="bottom"/>
          </w:tcPr>
          <w:p>
            <w:pPr>
              <w:ind w:left="180"/>
              <w:spacing w:after="0" w:line="168" w:lineRule="exact"/>
              <w:rPr>
                <w:sz w:val="20"/>
                <w:szCs w:val="20"/>
                <w:color w:val="auto"/>
              </w:rPr>
            </w:pPr>
            <w:r>
              <w:rPr>
                <w:rFonts w:ascii="Times New Roman" w:cs="Times New Roman" w:eastAsia="Times New Roman" w:hAnsi="Times New Roman"/>
                <w:sz w:val="16"/>
                <w:szCs w:val="16"/>
                <w:b w:val="1"/>
                <w:bCs w:val="1"/>
                <w:color w:val="auto"/>
              </w:rPr>
              <w:t>Pension</w:t>
            </w:r>
          </w:p>
        </w:tc>
        <w:tc>
          <w:tcPr>
            <w:tcW w:w="280" w:type="dxa"/>
            <w:vAlign w:val="bottom"/>
          </w:tcPr>
          <w:p>
            <w:pPr>
              <w:spacing w:after="0"/>
              <w:rPr>
                <w:sz w:val="14"/>
                <w:szCs w:val="14"/>
                <w:color w:val="auto"/>
              </w:rPr>
            </w:pPr>
          </w:p>
        </w:tc>
        <w:tc>
          <w:tcPr>
            <w:tcW w:w="1280" w:type="dxa"/>
            <w:vAlign w:val="bottom"/>
          </w:tcPr>
          <w:p>
            <w:pPr>
              <w:jc w:val="center"/>
              <w:ind w:right="180"/>
              <w:spacing w:after="0" w:line="168" w:lineRule="exact"/>
              <w:rPr>
                <w:sz w:val="20"/>
                <w:szCs w:val="20"/>
                <w:color w:val="auto"/>
              </w:rPr>
            </w:pPr>
            <w:r>
              <w:rPr>
                <w:rFonts w:ascii="Times New Roman" w:cs="Times New Roman" w:eastAsia="Times New Roman" w:hAnsi="Times New Roman"/>
                <w:sz w:val="16"/>
                <w:szCs w:val="16"/>
                <w:b w:val="1"/>
                <w:bCs w:val="1"/>
                <w:color w:val="auto"/>
                <w:w w:val="98"/>
              </w:rPr>
              <w:t>Derivative</w:t>
            </w:r>
          </w:p>
        </w:tc>
        <w:tc>
          <w:tcPr>
            <w:tcW w:w="360" w:type="dxa"/>
            <w:vAlign w:val="bottom"/>
          </w:tcPr>
          <w:p>
            <w:pPr>
              <w:spacing w:after="0"/>
              <w:rPr>
                <w:sz w:val="14"/>
                <w:szCs w:val="14"/>
                <w:color w:val="auto"/>
              </w:rPr>
            </w:pPr>
          </w:p>
        </w:tc>
        <w:tc>
          <w:tcPr>
            <w:tcW w:w="1100" w:type="dxa"/>
            <w:vAlign w:val="bottom"/>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October 31, 2020</w:t>
            </w:r>
          </w:p>
        </w:tc>
        <w:tc>
          <w:tcPr>
            <w:tcW w:w="9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24,508</w:t>
            </w:r>
          </w:p>
        </w:tc>
        <w:tc>
          <w:tcPr>
            <w:tcW w:w="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4,648</w:t>
            </w:r>
          </w:p>
        </w:tc>
        <w:tc>
          <w:tcPr>
            <w:tcW w:w="36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34,262</w:t>
            </w:r>
          </w:p>
        </w:tc>
        <w:tc>
          <w:tcPr>
            <w:tcW w:w="0" w:type="dxa"/>
            <w:vAlign w:val="bottom"/>
          </w:tcPr>
          <w:p>
            <w:pPr>
              <w:spacing w:after="0"/>
              <w:rPr>
                <w:sz w:val="1"/>
                <w:szCs w:val="1"/>
                <w:color w:val="auto"/>
              </w:rPr>
            </w:pPr>
          </w:p>
        </w:tc>
      </w:tr>
      <w:tr>
        <w:trPr>
          <w:trHeight w:val="207"/>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9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(11,999)</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966</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(11,033)</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6,183</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6,183</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(11,999)</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7,149</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April 30, 2021</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12,509</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11,797</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7"/>
          <w:szCs w:val="17"/>
          <w:color w:val="auto"/>
        </w:rPr>
        <w:t xml:space="preserve">For additional information on the components reclassified from AOCL to the respective line items in net earnings for derivative instruments refer to Note 16, </w:t>
      </w:r>
      <w:r>
        <w:rPr>
          <w:rFonts w:ascii="Times New Roman" w:cs="Times New Roman" w:eastAsia="Times New Roman" w:hAnsi="Times New Roman"/>
          <w:sz w:val="17"/>
          <w:szCs w:val="17"/>
          <w:i w:val="1"/>
          <w:iCs w:val="1"/>
          <w:color w:val="auto"/>
        </w:rPr>
        <w:t>Derivative Instruments and Hedging Activities</w:t>
      </w:r>
      <w:r>
        <w:rPr>
          <w:rFonts w:ascii="Times New Roman" w:cs="Times New Roman" w:eastAsia="Times New Roman" w:hAnsi="Times New Roman"/>
          <w:sz w:val="17"/>
          <w:szCs w:val="17"/>
          <w:color w:val="auto"/>
        </w:rPr>
        <w:t>.</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13 </w:t>
      </w:r>
      <w:r>
        <w:rPr>
          <w:rFonts w:ascii="Times New Roman" w:cs="Times New Roman" w:eastAsia="Times New Roman" w:hAnsi="Times New Roman"/>
          <w:sz w:val="18"/>
          <w:szCs w:val="18"/>
          <w:b w:val="1"/>
          <w:bCs w:val="1"/>
          <w:color w:val="auto"/>
        </w:rPr>
        <w:t>Per Share Data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Reconciliations of basic and diluted weighted-average number of shares of common stock outstanding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900" w:type="dxa"/>
            <w:vAlign w:val="bottom"/>
            <w:tcBorders>
              <w:bottom w:val="single" w:sz="8" w:color="auto"/>
            </w:tcBorders>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1"/>
        </w:trPr>
        <w:tc>
          <w:tcPr>
            <w:tcW w:w="20" w:type="dxa"/>
            <w:vAlign w:val="bottom"/>
            <w:tcBorders>
              <w:bottom w:val="single" w:sz="8" w:color="auto"/>
            </w:tcBorders>
          </w:tcPr>
          <w:p>
            <w:pPr>
              <w:spacing w:after="0"/>
              <w:rPr>
                <w:sz w:val="17"/>
                <w:szCs w:val="17"/>
                <w:color w:val="auto"/>
              </w:rPr>
            </w:pPr>
          </w:p>
        </w:tc>
        <w:tc>
          <w:tcPr>
            <w:tcW w:w="5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(Shares in thousands)</w:t>
            </w:r>
          </w:p>
        </w:tc>
        <w:tc>
          <w:tcPr>
            <w:tcW w:w="16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15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15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13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April 30, 2021</w:t>
            </w:r>
          </w:p>
        </w:tc>
      </w:tr>
      <w:tr>
        <w:trPr>
          <w:trHeight w:val="180"/>
        </w:trPr>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i w:val="1"/>
                <w:iCs w:val="1"/>
                <w:color w:val="auto"/>
                <w:w w:val="95"/>
              </w:rPr>
              <w:t>Basic</w:t>
            </w:r>
          </w:p>
        </w:tc>
        <w:tc>
          <w:tcPr>
            <w:tcW w:w="4800" w:type="dxa"/>
            <w:vAlign w:val="bottom"/>
            <w:tcBorders>
              <w:bottom w:val="single" w:sz="8" w:color="CCEEFF"/>
            </w:tcBorders>
            <w:gridSpan w:val="2"/>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r>
      <w:tr>
        <w:trPr>
          <w:trHeight w:val="207"/>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w:t>
            </w: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104,928</w:t>
            </w:r>
          </w:p>
        </w:tc>
        <w:tc>
          <w:tcPr>
            <w:tcW w:w="15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107,753</w:t>
            </w:r>
          </w:p>
        </w:tc>
        <w:tc>
          <w:tcPr>
            <w:tcW w:w="15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104,971</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107,927</w:t>
            </w: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51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Assumed issuance of contingent shares</w:t>
            </w:r>
          </w:p>
        </w:tc>
        <w:tc>
          <w:tcPr>
            <w:tcW w:w="16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0"/>
        </w:trPr>
        <w:tc>
          <w:tcPr>
            <w:tcW w:w="20" w:type="dxa"/>
            <w:vAlign w:val="bottom"/>
            <w:tcBorders>
              <w:bottom w:val="single" w:sz="8" w:color="auto"/>
            </w:tcBorders>
          </w:tcPr>
          <w:p>
            <w:pPr>
              <w:spacing w:after="0"/>
              <w:rPr>
                <w:sz w:val="17"/>
                <w:szCs w:val="17"/>
                <w:color w:val="auto"/>
              </w:rPr>
            </w:pPr>
          </w:p>
        </w:tc>
        <w:tc>
          <w:tcPr>
            <w:tcW w:w="5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16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104,928</w:t>
            </w:r>
          </w:p>
        </w:tc>
        <w:tc>
          <w:tcPr>
            <w:tcW w:w="15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107,753</w:t>
            </w:r>
          </w:p>
        </w:tc>
        <w:tc>
          <w:tcPr>
            <w:tcW w:w="15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104,982</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107,937</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9"/>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380" w:type="dxa"/>
            <w:vAlign w:val="bottom"/>
          </w:tcPr>
          <w:p>
            <w:pPr>
              <w:spacing w:after="0"/>
              <w:rPr>
                <w:sz w:val="6"/>
                <w:szCs w:val="6"/>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i w:val="1"/>
                <w:iCs w:val="1"/>
                <w:color w:val="auto"/>
                <w:w w:val="95"/>
              </w:rPr>
              <w:t>Diluted</w:t>
            </w:r>
          </w:p>
        </w:tc>
        <w:tc>
          <w:tcPr>
            <w:tcW w:w="468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r>
      <w:tr>
        <w:trPr>
          <w:trHeight w:val="207"/>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Basic</w:t>
            </w:r>
          </w:p>
        </w:tc>
        <w:tc>
          <w:tcPr>
            <w:tcW w:w="16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104,928</w:t>
            </w:r>
          </w:p>
        </w:tc>
        <w:tc>
          <w:tcPr>
            <w:tcW w:w="15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107,753</w:t>
            </w:r>
          </w:p>
        </w:tc>
        <w:tc>
          <w:tcPr>
            <w:tcW w:w="15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104,982</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107,937</w:t>
            </w: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516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dilutive shares</w:t>
            </w:r>
          </w:p>
        </w:tc>
        <w:tc>
          <w:tcPr>
            <w:tcW w:w="16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818</w:t>
            </w:r>
          </w:p>
        </w:tc>
        <w:tc>
          <w:tcPr>
            <w:tcW w:w="15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1,145</w:t>
            </w:r>
          </w:p>
        </w:tc>
        <w:tc>
          <w:tcPr>
            <w:tcW w:w="15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912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w:t>
            </w:r>
          </w:p>
        </w:tc>
      </w:tr>
      <w:tr>
        <w:trPr>
          <w:trHeight w:val="200"/>
        </w:trPr>
        <w:tc>
          <w:tcPr>
            <w:tcW w:w="20" w:type="dxa"/>
            <w:vAlign w:val="bottom"/>
            <w:tcBorders>
              <w:bottom w:val="single" w:sz="8" w:color="auto"/>
            </w:tcBorders>
          </w:tcPr>
          <w:p>
            <w:pPr>
              <w:spacing w:after="0"/>
              <w:rPr>
                <w:sz w:val="17"/>
                <w:szCs w:val="17"/>
                <w:color w:val="auto"/>
              </w:rPr>
            </w:pPr>
          </w:p>
        </w:tc>
        <w:tc>
          <w:tcPr>
            <w:tcW w:w="5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color w:val="auto"/>
              </w:rPr>
              <w:t>Weighted-average number of shares of common stock outstanding - Diluted</w:t>
            </w:r>
          </w:p>
        </w:tc>
        <w:tc>
          <w:tcPr>
            <w:tcW w:w="16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105,746</w:t>
            </w:r>
          </w:p>
        </w:tc>
        <w:tc>
          <w:tcPr>
            <w:tcW w:w="15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108,898</w:t>
            </w:r>
          </w:p>
        </w:tc>
        <w:tc>
          <w:tcPr>
            <w:tcW w:w="15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105,894</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109,052</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effect of dilutive shares from stock option awards and restricted stock unit awards is computed under the treasury stock method. Stock option awards to purchase 1,038,598 and 508,907 shares of common stock during the second quarter of fiscal 2022 and 2021, respectively, and to purchase 586,359 and 382,917 shares of common stock during the first six months of fiscal 2022 and 2021, respectively, were excluded from the computation of diluted net earnings per share of common stock because they were anti-dilutive.</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14 </w:t>
      </w:r>
      <w:r>
        <w:rPr>
          <w:rFonts w:ascii="Times New Roman" w:cs="Times New Roman" w:eastAsia="Times New Roman" w:hAnsi="Times New Roman"/>
          <w:sz w:val="18"/>
          <w:szCs w:val="18"/>
          <w:b w:val="1"/>
          <w:bCs w:val="1"/>
          <w:color w:val="auto"/>
        </w:rPr>
        <w:t>Contingencies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From time to time, 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The company is also occasionally involved in commercial disputes, employment or employment-related disputes, and patent litigation cases in which it is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w:t>
      </w:r>
    </w:p>
    <w:p>
      <w:pPr>
        <w:spacing w:after="0" w:line="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the company's consolidated results of operations, financial position, or cash flows.</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Condensed Consolidated Financial Statements prior to the settlement of the underlying events or contingencies associated with the gain contingency. As a result, the consideration related to a gain contingency is recorded in the Condensed Consolidated Financial Statements during the period in which all underlying events or contingencies are resolved and the gain is realized.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Litigation Settlement</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November 19, 2020, Exmark Manufacturing Company Incorporated ("Exmark"), a wholly-owned subsidiary of the company,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In the Infringement Action, Exmark alleged that certain mower decks manufactured by BSPPG infringed an Exmark mower deck patent. Despite favorable judgments in the Infringement Action in favor of Exmark, including with regard to awarded damages, actions by BGG during the second half of calendar year 2020 put in jeopardy the certainty and timing of the eventual receipt of the damages awarded to Exmark in the Infringement Action, including (i) the filing by BGG and certain of its subsidiaries for bankruptcy relief under chapter 11 of title 11 of the United States Bankruptcy Code (“BGG Bankruptcy”); (ii) the sale of substantially all the assets (but not certain liabilities, including the Infringement Action) of BGG and its subsidiaries to a third-party pursuant to Section 363 of the United States Bankruptcy Code; and (iii) a petition filed by BGG for a panel rehearing of the United States Court of Appeals for the Federal Circuit's decision in the Infringement Action (“Rehearing Petition”).</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As a result, on November 19, 2020, Exmark entered into the Settlement Agreement with BGG which provided, among other things, that (i) upon approval by the bankruptcy court, and such approval becoming final and nonappealable, BGG agreed to pay Exmark $33.65 million (“Settlement Amount”), (ii) BGG agreed to immediately withdraw the Rehearing Petition and otherwise not pursue additional appellate review regarding the Infringement Action, and (iii) after receipt of the Settlement Amount, Exmark agreed to release a supersedeas appeal bond that had been obtained by BGG to support payment of the damages awarded to Exmark in the Infringement Action. On November 20, 2020, BGG filed a motion to withdraw the Rehearing Petition and on December 16, 2020, the bankruptcy court approved the Settlement Agreement. During January 2021, the first quarter of fiscal 2021, the Settlement Amount was received by Exmark in connection with the settlement of the Infringement Action and at such time, the underlying events and contingencies associated with the gain contingency related to the Infringement Action were satisfied. As such, the company recognized in selling, general and administrative expense within the Condensed Consolidated Statements of Earnings during the first quarter of fiscal 2021 (i) the gain associated with the Infringement Action and (ii) a corresponding expense related to the contingent fee arrangement with the company's external legal counsel customary in patent infringement cases equal to approximately 50 percent of the Settlement Amount.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15 </w:t>
      </w:r>
      <w:r>
        <w:rPr>
          <w:rFonts w:ascii="Times New Roman" w:cs="Times New Roman" w:eastAsia="Times New Roman" w:hAnsi="Times New Roman"/>
          <w:sz w:val="18"/>
          <w:szCs w:val="18"/>
          <w:b w:val="1"/>
          <w:bCs w:val="1"/>
          <w:color w:val="auto"/>
        </w:rPr>
        <w:t>Leases</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generally includes all non-cancelable periods.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7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Lease payments are determined at lease commencement and generally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generally discounted to present value based the estimated incremental borrowing rate at lease commencement as the rate implicit in the lease is generally not readily determinable.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lease expense incurred on the company’s operating, short-term, and variable leases: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1"/>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April 30, 2021</w:t>
            </w:r>
          </w:p>
        </w:tc>
      </w:tr>
      <w:tr>
        <w:trPr>
          <w:trHeight w:val="20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10,091</w:t>
            </w:r>
          </w:p>
        </w:tc>
      </w:tr>
      <w:tr>
        <w:trPr>
          <w:trHeight w:val="207"/>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lease expense</w:t>
            </w:r>
          </w:p>
        </w:tc>
        <w:tc>
          <w:tcPr>
            <w:tcW w:w="19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w:t>
            </w:r>
          </w:p>
        </w:tc>
      </w:tr>
      <w:tr>
        <w:trPr>
          <w:trHeight w:val="207"/>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lease expense</w:t>
            </w:r>
          </w:p>
        </w:tc>
        <w:tc>
          <w:tcPr>
            <w:tcW w:w="19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0"/>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lease expense</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11,578</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supplemental cash flow information related to the company's operating leases:</w:t>
      </w:r>
    </w:p>
    <w:p>
      <w:pPr>
        <w:spacing w:after="0" w:line="150"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7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April 30, 2021</w:t>
            </w:r>
          </w:p>
        </w:tc>
      </w:tr>
      <w:tr>
        <w:trPr>
          <w:trHeight w:val="20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flows for amounts included in the measurement of lease liabilities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9,577</w:t>
            </w:r>
          </w:p>
        </w:tc>
      </w:tr>
      <w:tr>
        <w:trPr>
          <w:trHeight w:val="207"/>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lease obligations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other lease information related to the company's operating leases: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540" w:type="dxa"/>
            <w:vAlign w:val="bottom"/>
            <w:tcBorders>
              <w:top w:val="single" w:sz="8" w:color="auto"/>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1760" w:type="dxa"/>
            <w:vAlign w:val="bottom"/>
            <w:tcBorders>
              <w:top w:val="single" w:sz="8" w:color="auto"/>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16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0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of operating leases in years</w:t>
            </w:r>
          </w:p>
        </w:tc>
        <w:tc>
          <w:tcPr>
            <w:tcW w:w="25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6.4</w:t>
            </w:r>
          </w:p>
        </w:tc>
        <w:tc>
          <w:tcPr>
            <w:tcW w:w="17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7"/>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of operating leases</w:t>
            </w:r>
          </w:p>
        </w:tc>
        <w:tc>
          <w:tcPr>
            <w:tcW w:w="25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2.94 %</w:t>
            </w:r>
          </w:p>
        </w:tc>
        <w:tc>
          <w:tcPr>
            <w:tcW w:w="17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2.74 %</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2.71 %</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April 29, 2022: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5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April 29, 2022</w:t>
            </w:r>
          </w:p>
        </w:tc>
      </w:tr>
      <w:tr>
        <w:trPr>
          <w:trHeight w:val="20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 (remaining)</w:t>
            </w:r>
          </w:p>
        </w:tc>
        <w:tc>
          <w:tcPr>
            <w:tcW w:w="3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w:t>
            </w:r>
          </w:p>
        </w:tc>
      </w:tr>
      <w:tr>
        <w:trPr>
          <w:trHeight w:val="207"/>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35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17,106</w:t>
            </w:r>
          </w:p>
        </w:tc>
      </w:tr>
      <w:tr>
        <w:trPr>
          <w:trHeight w:val="20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35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15,673</w:t>
            </w:r>
          </w:p>
        </w:tc>
      </w:tr>
      <w:tr>
        <w:trPr>
          <w:trHeight w:val="207"/>
        </w:trPr>
        <w:tc>
          <w:tcPr>
            <w:tcW w:w="6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5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13,506</w:t>
            </w:r>
          </w:p>
        </w:tc>
      </w:tr>
      <w:tr>
        <w:trPr>
          <w:trHeight w:val="20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5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8,323</w:t>
            </w:r>
          </w:p>
        </w:tc>
      </w:tr>
      <w:tr>
        <w:trPr>
          <w:trHeight w:val="207"/>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23,934</w:t>
            </w:r>
          </w:p>
        </w:tc>
      </w:tr>
      <w:tr>
        <w:trPr>
          <w:trHeight w:val="20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future minimum operating lease payments</w:t>
            </w:r>
          </w:p>
        </w:tc>
        <w:tc>
          <w:tcPr>
            <w:tcW w:w="35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87,699</w:t>
            </w:r>
          </w:p>
        </w:tc>
      </w:tr>
      <w:tr>
        <w:trPr>
          <w:trHeight w:val="207"/>
        </w:trPr>
        <w:tc>
          <w:tcPr>
            <w:tcW w:w="6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imputed interest</w:t>
            </w:r>
          </w:p>
        </w:tc>
        <w:tc>
          <w:tcPr>
            <w:tcW w:w="3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8,904</w:t>
            </w:r>
          </w:p>
        </w:tc>
      </w:tr>
      <w:tr>
        <w:trPr>
          <w:trHeight w:val="225"/>
        </w:trPr>
        <w:tc>
          <w:tcPr>
            <w:tcW w:w="6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operating lease liabilities</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78,795</w:t>
            </w:r>
          </w:p>
        </w:tc>
      </w:tr>
      <w:tr>
        <w:trPr>
          <w:trHeight w:val="20"/>
        </w:trPr>
        <w:tc>
          <w:tcPr>
            <w:tcW w:w="6460" w:type="dxa"/>
            <w:vAlign w:val="bottom"/>
            <w:tcBorders>
              <w:top w:val="single" w:sz="8" w:color="CCEEFF"/>
              <w:bottom w:val="single" w:sz="8" w:color="auto"/>
            </w:tcBorders>
          </w:tcPr>
          <w:p>
            <w:pPr>
              <w:spacing w:after="0" w:line="20" w:lineRule="exact"/>
              <w:rPr>
                <w:sz w:val="1"/>
                <w:szCs w:val="1"/>
                <w:color w:val="auto"/>
              </w:rPr>
            </w:pPr>
          </w:p>
        </w:tc>
        <w:tc>
          <w:tcPr>
            <w:tcW w:w="35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16 </w:t>
      </w:r>
      <w:r>
        <w:rPr>
          <w:rFonts w:ascii="Times New Roman" w:cs="Times New Roman" w:eastAsia="Times New Roman" w:hAnsi="Times New Roman"/>
          <w:sz w:val="18"/>
          <w:szCs w:val="18"/>
          <w:b w:val="1"/>
          <w:bCs w:val="1"/>
          <w:color w:val="auto"/>
        </w:rPr>
        <w:t>Derivative Instruments and Hedging Activities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Objective of Using Derivatives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6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To reduce its exposure to foreign currency exchange rate risk, the company enters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7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Hedging Instruments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 exposure. Results of cash flow hedging instruments, and the related excluded components, of sales and costs associated with</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4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75" w:lineRule="exact"/>
        <w:rPr>
          <w:sz w:val="20"/>
          <w:szCs w:val="20"/>
          <w:color w:val="auto"/>
        </w:rPr>
      </w:pPr>
    </w:p>
    <w:p>
      <w:pPr>
        <w:ind w:right="880"/>
        <w:spacing w:after="0" w:line="380" w:lineRule="auto"/>
        <w:rPr>
          <w:sz w:val="20"/>
          <w:szCs w:val="20"/>
          <w:color w:val="auto"/>
        </w:rPr>
      </w:pPr>
      <w:r>
        <w:rPr>
          <w:rFonts w:ascii="Times New Roman" w:cs="Times New Roman" w:eastAsia="Times New Roman" w:hAnsi="Times New Roman"/>
          <w:sz w:val="17"/>
          <w:szCs w:val="17"/>
          <w:color w:val="auto"/>
        </w:rPr>
        <w:t xml:space="preserve">As of April 29, 2022, the notional amount outstanding of forward currency contracts designated as cash flow hedging instruments was $304.7 million. </w:t>
      </w:r>
      <w:r>
        <w:rPr>
          <w:rFonts w:ascii="Times New Roman" w:cs="Times New Roman" w:eastAsia="Times New Roman" w:hAnsi="Times New Roman"/>
          <w:sz w:val="17"/>
          <w:szCs w:val="17"/>
          <w:b w:val="1"/>
          <w:bCs w:val="1"/>
          <w:i w:val="1"/>
          <w:iCs w:val="1"/>
          <w:color w:val="auto"/>
        </w:rPr>
        <w:t>Derivatives Not Designated as Cash Flow Hedging Instruments</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fair value and location of the company’s derivative instruments on the Condensed Consolidated Balance Sheets: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2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0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1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14,274</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07"/>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1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4,729</w:t>
            </w:r>
          </w:p>
        </w:tc>
        <w:tc>
          <w:tcPr>
            <w:tcW w:w="2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0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assets</w:t>
            </w: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19,003</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9"/>
        </w:trPr>
        <w:tc>
          <w:tcPr>
            <w:tcW w:w="5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80" w:type="dxa"/>
            <w:vAlign w:val="bottom"/>
          </w:tcPr>
          <w:p>
            <w:pPr>
              <w:spacing w:after="0"/>
              <w:rPr>
                <w:sz w:val="6"/>
                <w:szCs w:val="6"/>
                <w:color w:val="auto"/>
              </w:rPr>
            </w:pPr>
          </w:p>
        </w:tc>
      </w:tr>
      <w:tr>
        <w:trPr>
          <w:trHeight w:val="20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10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13,923</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w:t>
            </w:r>
          </w:p>
        </w:tc>
      </w:tr>
      <w:tr>
        <w:trPr>
          <w:trHeight w:val="207"/>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hedging instruments:</w:t>
            </w:r>
          </w:p>
        </w:tc>
        <w:tc>
          <w:tcPr>
            <w:tcW w:w="1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5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1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51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2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r>
      <w:tr>
        <w:trPr>
          <w:trHeight w:val="200"/>
        </w:trPr>
        <w:tc>
          <w:tcPr>
            <w:tcW w:w="5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18,023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2,132</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Condensed Consolidated Balance Sheets.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effects of the master netting arrangements on the fair value of the company’s derivative instruments that are recorded on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Balance Sheets: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4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6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0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6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amount of derivative assets</w:t>
            </w:r>
          </w:p>
        </w:tc>
        <w:tc>
          <w:tcPr>
            <w:tcW w:w="16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19,325</w:t>
            </w:r>
          </w:p>
        </w:tc>
        <w:tc>
          <w:tcPr>
            <w:tcW w:w="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1,697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r>
      <w:tr>
        <w:trPr>
          <w:trHeight w:val="207"/>
        </w:trPr>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Derivative liabilities offsetting derivative assets</w:t>
            </w:r>
          </w:p>
        </w:tc>
        <w:tc>
          <w:tcPr>
            <w:tcW w:w="16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25"/>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assets</w:t>
            </w:r>
          </w:p>
        </w:tc>
        <w:tc>
          <w:tcPr>
            <w:tcW w:w="16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19,003</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46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0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6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7"/>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Forward currency contracts:</w:t>
            </w:r>
          </w:p>
        </w:tc>
        <w:tc>
          <w:tcPr>
            <w:tcW w:w="16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7"/>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Gross amount of derivative liabilities</w:t>
            </w:r>
          </w:p>
        </w:tc>
        <w:tc>
          <w:tcPr>
            <w:tcW w:w="16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(4,853)</w:t>
            </w:r>
          </w:p>
        </w:tc>
      </w:tr>
      <w:tr>
        <w:trPr>
          <w:trHeight w:val="207"/>
        </w:trPr>
        <w:tc>
          <w:tcPr>
            <w:tcW w:w="4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Derivative assets offsetting derivative liabilities</w:t>
            </w:r>
          </w:p>
        </w:tc>
        <w:tc>
          <w:tcPr>
            <w:tcW w:w="16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2,721</w:t>
            </w:r>
          </w:p>
        </w:tc>
      </w:tr>
      <w:tr>
        <w:trPr>
          <w:trHeight w:val="225"/>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of derivative liabilities</w:t>
            </w:r>
          </w:p>
        </w:tc>
        <w:tc>
          <w:tcPr>
            <w:tcW w:w="16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w:t>
            </w:r>
          </w:p>
        </w:tc>
      </w:tr>
      <w:tr>
        <w:trPr>
          <w:trHeight w:val="20"/>
        </w:trPr>
        <w:tc>
          <w:tcPr>
            <w:tcW w:w="46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following table presents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and six months ended April 29, 2022 and April 30,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50"/>
        </w:trPr>
        <w:tc>
          <w:tcPr>
            <w:tcW w:w="5280" w:type="dxa"/>
            <w:vAlign w:val="bottom"/>
          </w:tcPr>
          <w:p>
            <w:pPr>
              <w:spacing w:after="0"/>
              <w:rPr>
                <w:sz w:val="13"/>
                <w:szCs w:val="13"/>
                <w:color w:val="auto"/>
              </w:rPr>
            </w:pPr>
          </w:p>
        </w:tc>
        <w:tc>
          <w:tcPr>
            <w:tcW w:w="2980" w:type="dxa"/>
            <w:vAlign w:val="bottom"/>
            <w:gridSpan w:val="4"/>
          </w:tcPr>
          <w:p>
            <w:pPr>
              <w:jc w:val="center"/>
              <w:spacing w:after="0" w:line="150" w:lineRule="exact"/>
              <w:rPr>
                <w:sz w:val="20"/>
                <w:szCs w:val="20"/>
                <w:color w:val="auto"/>
              </w:rPr>
            </w:pPr>
            <w:r>
              <w:rPr>
                <w:rFonts w:ascii="Times New Roman" w:cs="Times New Roman" w:eastAsia="Times New Roman" w:hAnsi="Times New Roman"/>
                <w:sz w:val="16"/>
                <w:szCs w:val="16"/>
                <w:b w:val="1"/>
                <w:bCs w:val="1"/>
                <w:color w:val="auto"/>
                <w:w w:val="99"/>
              </w:rPr>
              <w:t>Gain (Loss) Reclassified from AOCL into</w:t>
            </w: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18"/>
        </w:trPr>
        <w:tc>
          <w:tcPr>
            <w:tcW w:w="5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Gain Recognized in OCI on Derivatives</w:t>
            </w:r>
          </w:p>
        </w:tc>
      </w:tr>
      <w:tr>
        <w:trPr>
          <w:trHeight w:val="201"/>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April 30, 2021</w:t>
            </w:r>
          </w:p>
        </w:tc>
      </w:tr>
      <w:tr>
        <w:trPr>
          <w:trHeight w:val="20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7"/>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6,658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r>
      <w:tr>
        <w:trPr>
          <w:trHeight w:val="207"/>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115</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541</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25"/>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7,199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800" w:type="dxa"/>
            <w:vAlign w:val="bottom"/>
            <w:tcBorders>
              <w:top w:val="single" w:sz="8" w:color="CCEEFF"/>
              <w:bottom w:val="single" w:sz="8" w:color="auto"/>
            </w:tcBorders>
            <w:gridSpan w:val="3"/>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5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50"/>
        </w:trPr>
        <w:tc>
          <w:tcPr>
            <w:tcW w:w="5280" w:type="dxa"/>
            <w:vAlign w:val="bottom"/>
          </w:tcPr>
          <w:p>
            <w:pPr>
              <w:spacing w:after="0"/>
              <w:rPr>
                <w:sz w:val="13"/>
                <w:szCs w:val="13"/>
                <w:color w:val="auto"/>
              </w:rPr>
            </w:pPr>
          </w:p>
        </w:tc>
        <w:tc>
          <w:tcPr>
            <w:tcW w:w="2980" w:type="dxa"/>
            <w:vAlign w:val="bottom"/>
            <w:gridSpan w:val="4"/>
          </w:tcPr>
          <w:p>
            <w:pPr>
              <w:jc w:val="center"/>
              <w:spacing w:after="0" w:line="150" w:lineRule="exact"/>
              <w:rPr>
                <w:sz w:val="20"/>
                <w:szCs w:val="20"/>
                <w:color w:val="auto"/>
              </w:rPr>
            </w:pPr>
            <w:r>
              <w:rPr>
                <w:rFonts w:ascii="Times New Roman" w:cs="Times New Roman" w:eastAsia="Times New Roman" w:hAnsi="Times New Roman"/>
                <w:sz w:val="16"/>
                <w:szCs w:val="16"/>
                <w:b w:val="1"/>
                <w:bCs w:val="1"/>
                <w:color w:val="auto"/>
                <w:w w:val="99"/>
              </w:rPr>
              <w:t>Gain (Loss) Reclassified from AOCL into</w:t>
            </w:r>
          </w:p>
        </w:tc>
        <w:tc>
          <w:tcPr>
            <w:tcW w:w="160" w:type="dxa"/>
            <w:vAlign w:val="bottom"/>
          </w:tcPr>
          <w:p>
            <w:pPr>
              <w:spacing w:after="0"/>
              <w:rPr>
                <w:sz w:val="13"/>
                <w:szCs w:val="13"/>
                <w:color w:val="auto"/>
              </w:rPr>
            </w:pPr>
          </w:p>
        </w:tc>
        <w:tc>
          <w:tcPr>
            <w:tcW w:w="2820" w:type="dxa"/>
            <w:vAlign w:val="bottom"/>
            <w:gridSpan w:val="3"/>
          </w:tcPr>
          <w:p>
            <w:pPr>
              <w:jc w:val="center"/>
              <w:ind w:right="20"/>
              <w:spacing w:after="0" w:line="150" w:lineRule="exact"/>
              <w:rPr>
                <w:sz w:val="20"/>
                <w:szCs w:val="20"/>
                <w:color w:val="auto"/>
              </w:rPr>
            </w:pPr>
            <w:r>
              <w:rPr>
                <w:rFonts w:ascii="Times New Roman" w:cs="Times New Roman" w:eastAsia="Times New Roman" w:hAnsi="Times New Roman"/>
                <w:sz w:val="16"/>
                <w:szCs w:val="16"/>
                <w:b w:val="1"/>
                <w:bCs w:val="1"/>
                <w:color w:val="auto"/>
                <w:w w:val="99"/>
              </w:rPr>
              <w:t>Gain (Loss) Recognized in OCI on</w:t>
            </w:r>
          </w:p>
        </w:tc>
      </w:tr>
      <w:tr>
        <w:trPr>
          <w:trHeight w:val="215"/>
        </w:trPr>
        <w:tc>
          <w:tcPr>
            <w:tcW w:w="5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Derivatives</w:t>
            </w:r>
          </w:p>
        </w:tc>
      </w:tr>
      <w:tr>
        <w:trPr>
          <w:trHeight w:val="205"/>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April 30, 2021</w:t>
            </w:r>
          </w:p>
        </w:tc>
      </w:tr>
      <w:tr>
        <w:trPr>
          <w:trHeight w:val="20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hedging instruments: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7"/>
        </w:trPr>
        <w:tc>
          <w:tcPr>
            <w:tcW w:w="5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(6,730)</w:t>
            </w:r>
          </w:p>
        </w:tc>
      </w:tr>
      <w:tr>
        <w:trPr>
          <w:trHeight w:val="207"/>
        </w:trPr>
        <w:tc>
          <w:tcPr>
            <w:tcW w:w="52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Cost of sales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1,243</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25"/>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derivatives designated as cash flow hedging instruments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13,571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(7,149)</w:t>
            </w:r>
          </w:p>
        </w:tc>
      </w:tr>
      <w:tr>
        <w:trPr>
          <w:trHeight w:val="20"/>
        </w:trPr>
        <w:tc>
          <w:tcPr>
            <w:tcW w:w="5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company recognized immaterial gains within other income, net in the Condensed Consolidated Statements of Earnings during the second quarter and first six months of fiscal 2022, and recognized immaterial losses within other income, net in the Condensed Consolidated Statements of Earnings during second quarter and first six months of fiscal 2021, respectively, due to the discontinuance of cash flow hedge accounting on certain forward currency contracts designated as cash flow hedging instruments. As of April 29, 2022, the company expects to reclassify approximately $10.3 million of gains from AOCL to earnings during the next twelve months.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320" w:type="dxa"/>
            <w:vAlign w:val="bottom"/>
            <w:tcBorders>
              <w:bottom w:val="single" w:sz="8" w:color="auto"/>
            </w:tcBorders>
            <w:gridSpan w:val="7"/>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Gain (Loss) Recognized in Earnings on Cash Flow Hedging Instruments</w:t>
            </w:r>
          </w:p>
        </w:tc>
      </w:tr>
      <w:tr>
        <w:trPr>
          <w:trHeight w:val="20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3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April 30, 2021</w:t>
            </w:r>
          </w:p>
        </w:tc>
      </w:tr>
      <w:tr>
        <w:trPr>
          <w:trHeight w:val="200"/>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Cost of Sales</w:t>
            </w:r>
          </w:p>
        </w:tc>
      </w:tr>
      <w:tr>
        <w:trPr>
          <w:trHeight w:val="148"/>
        </w:trPr>
        <w:tc>
          <w:tcPr>
            <w:tcW w:w="46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Condensed Consolidated Statements of Earnings income (expense)</w:t>
            </w:r>
          </w:p>
        </w:tc>
        <w:tc>
          <w:tcPr>
            <w:tcW w:w="3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63"/>
        </w:trPr>
        <w:tc>
          <w:tcPr>
            <w:tcW w:w="462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amounts in which the effects of cash flow hedging instruments are</w:t>
            </w: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1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recorded</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1,249,478</w:t>
            </w:r>
          </w:p>
        </w:tc>
        <w:tc>
          <w:tcPr>
            <w:tcW w:w="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(844,109)</w:t>
            </w:r>
          </w:p>
        </w:tc>
        <w:tc>
          <w:tcPr>
            <w:tcW w:w="3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1,149,107</w:t>
            </w:r>
          </w:p>
        </w:tc>
        <w:tc>
          <w:tcPr>
            <w:tcW w:w="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(746,154)</w:t>
            </w:r>
          </w:p>
        </w:tc>
      </w:tr>
      <w:tr>
        <w:trPr>
          <w:trHeight w:val="155"/>
        </w:trPr>
        <w:tc>
          <w:tcPr>
            <w:tcW w:w="462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i w:val="1"/>
                <w:iCs w:val="1"/>
                <w:color w:val="auto"/>
              </w:rPr>
              <w:t>Gain (loss) on derivatives designated as cash flow hedging</w:t>
            </w: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15"/>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instruments: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2"/>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7"/>
        </w:trPr>
        <w:tc>
          <w:tcPr>
            <w:tcW w:w="4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of gain (loss) reclassified from AOCL into earnings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80" w:type="dxa"/>
            <w:vAlign w:val="bottom"/>
          </w:tcPr>
          <w:p>
            <w:pPr>
              <w:spacing w:after="0"/>
              <w:rPr>
                <w:sz w:val="17"/>
                <w:szCs w:val="17"/>
                <w:color w:val="auto"/>
              </w:rPr>
            </w:pPr>
          </w:p>
        </w:tc>
        <w:tc>
          <w:tcPr>
            <w:tcW w:w="14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115</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(4,115)</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155"/>
        </w:trPr>
        <w:tc>
          <w:tcPr>
            <w:tcW w:w="4620" w:type="dxa"/>
            <w:vAlign w:val="bottom"/>
            <w:shd w:val="clear" w:color="auto" w:fill="CCEEFF"/>
          </w:tcPr>
          <w:p>
            <w:pPr>
              <w:ind w:left="220"/>
              <w:spacing w:after="0" w:line="155" w:lineRule="exact"/>
              <w:rPr>
                <w:sz w:val="20"/>
                <w:szCs w:val="20"/>
                <w:color w:val="auto"/>
              </w:rPr>
            </w:pPr>
            <w:r>
              <w:rPr>
                <w:rFonts w:ascii="Times New Roman" w:cs="Times New Roman" w:eastAsia="Times New Roman" w:hAnsi="Times New Roman"/>
                <w:sz w:val="16"/>
                <w:szCs w:val="16"/>
                <w:color w:val="auto"/>
              </w:rPr>
              <w:t>Gain (loss) on components excluded from effectiveness testing</w:t>
            </w: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18"/>
        </w:trPr>
        <w:tc>
          <w:tcPr>
            <w:tcW w:w="4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recognized in earnings based on changes in fair value</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456</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300</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320" w:type="dxa"/>
            <w:vAlign w:val="bottom"/>
            <w:tcBorders>
              <w:bottom w:val="single" w:sz="8" w:color="auto"/>
            </w:tcBorders>
            <w:gridSpan w:val="7"/>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Gain (Loss) Recognized in Earnings on Cash Flow Hedging Instruments</w:t>
            </w:r>
          </w:p>
        </w:tc>
      </w:tr>
      <w:tr>
        <w:trPr>
          <w:trHeight w:val="20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right"/>
              <w:ind w:right="110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3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6"/>
                <w:szCs w:val="16"/>
                <w:b w:val="1"/>
                <w:bCs w:val="1"/>
                <w:color w:val="auto"/>
              </w:rPr>
              <w:t>April 30, 2021</w:t>
            </w:r>
          </w:p>
        </w:tc>
      </w:tr>
      <w:tr>
        <w:trPr>
          <w:trHeight w:val="200"/>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Cost of Sales</w:t>
            </w:r>
          </w:p>
        </w:tc>
      </w:tr>
      <w:tr>
        <w:trPr>
          <w:trHeight w:val="148"/>
        </w:trPr>
        <w:tc>
          <w:tcPr>
            <w:tcW w:w="46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6"/>
                <w:szCs w:val="16"/>
                <w:color w:val="auto"/>
              </w:rPr>
              <w:t>Condensed Consolidated Statements of Earnings income (expense)</w:t>
            </w:r>
          </w:p>
        </w:tc>
        <w:tc>
          <w:tcPr>
            <w:tcW w:w="3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155"/>
        </w:trPr>
        <w:tc>
          <w:tcPr>
            <w:tcW w:w="46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amounts in which the effects of cash flow hedging instruments are</w:t>
            </w: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2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recorded</w:t>
            </w:r>
          </w:p>
        </w:tc>
        <w:tc>
          <w:tcPr>
            <w:tcW w:w="3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2,182,128</w:t>
            </w:r>
          </w:p>
        </w:tc>
        <w:tc>
          <w:tcPr>
            <w:tcW w:w="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(1,476,283)</w:t>
            </w:r>
          </w:p>
        </w:tc>
        <w:tc>
          <w:tcPr>
            <w:tcW w:w="3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2,022,093</w:t>
            </w:r>
          </w:p>
        </w:tc>
        <w:tc>
          <w:tcPr>
            <w:tcW w:w="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(1,304,104)</w:t>
            </w:r>
          </w:p>
        </w:tc>
      </w:tr>
      <w:tr>
        <w:trPr>
          <w:trHeight w:val="155"/>
        </w:trPr>
        <w:tc>
          <w:tcPr>
            <w:tcW w:w="462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i w:val="1"/>
                <w:iCs w:val="1"/>
                <w:color w:val="auto"/>
              </w:rPr>
              <w:t>Gain (loss) on derivatives designated as cash flow hedging</w:t>
            </w: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15"/>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instruments: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2"/>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07"/>
        </w:trPr>
        <w:tc>
          <w:tcPr>
            <w:tcW w:w="4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Amount of gain (loss) reclassified from AOCL into earnings</w:t>
            </w: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(6,212)</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55"/>
        </w:trPr>
        <w:tc>
          <w:tcPr>
            <w:tcW w:w="4620" w:type="dxa"/>
            <w:vAlign w:val="bottom"/>
            <w:shd w:val="clear" w:color="auto" w:fill="CCEEFF"/>
          </w:tcPr>
          <w:p>
            <w:pPr>
              <w:ind w:left="220"/>
              <w:spacing w:after="0" w:line="155" w:lineRule="exact"/>
              <w:rPr>
                <w:sz w:val="20"/>
                <w:szCs w:val="20"/>
                <w:color w:val="auto"/>
              </w:rPr>
            </w:pPr>
            <w:r>
              <w:rPr>
                <w:rFonts w:ascii="Times New Roman" w:cs="Times New Roman" w:eastAsia="Times New Roman" w:hAnsi="Times New Roman"/>
                <w:sz w:val="16"/>
                <w:szCs w:val="16"/>
                <w:color w:val="auto"/>
              </w:rPr>
              <w:t>Gain (loss) on components excluded from effectiveness testing</w:t>
            </w: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18"/>
        </w:trPr>
        <w:tc>
          <w:tcPr>
            <w:tcW w:w="4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recognized in earnings based on changes in fair value</w:t>
            </w: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553</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462</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r>
    </w:tbl>
    <w:p>
      <w:pPr>
        <w:spacing w:after="0" w:line="8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 presents the impact and location of derivative instruments on the Condensed Consolidated Statements of Earnings for the company’s derivatives not designated as cash flow hedging instruments: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1"/>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April 30, 2021</w:t>
            </w:r>
          </w:p>
        </w:tc>
      </w:tr>
      <w:tr>
        <w:trPr>
          <w:trHeight w:val="20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Gain (loss) on derivatives not designated as cash flow hedging instruments</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7"/>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50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net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2,741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3,983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(6,483)</w:t>
            </w:r>
          </w:p>
        </w:tc>
      </w:tr>
      <w:tr>
        <w:trPr>
          <w:trHeight w:val="148"/>
        </w:trPr>
        <w:tc>
          <w:tcPr>
            <w:tcW w:w="5040" w:type="dxa"/>
            <w:vAlign w:val="bottom"/>
          </w:tcPr>
          <w:p>
            <w:pPr>
              <w:ind w:left="20"/>
              <w:spacing w:after="0" w:line="148" w:lineRule="exact"/>
              <w:rPr>
                <w:sz w:val="20"/>
                <w:szCs w:val="20"/>
                <w:color w:val="auto"/>
              </w:rPr>
            </w:pPr>
            <w:r>
              <w:rPr>
                <w:rFonts w:ascii="Times New Roman" w:cs="Times New Roman" w:eastAsia="Times New Roman" w:hAnsi="Times New Roman"/>
                <w:sz w:val="16"/>
                <w:szCs w:val="16"/>
                <w:color w:val="auto"/>
              </w:rPr>
              <w:t>Total gain (loss) on derivatives not designated as cash flow hedging</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21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instruments</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2,741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3,983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(6,483)</w:t>
            </w:r>
          </w:p>
        </w:tc>
      </w:tr>
      <w:tr>
        <w:trPr>
          <w:trHeight w:val="21"/>
        </w:trPr>
        <w:tc>
          <w:tcPr>
            <w:tcW w:w="5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17 </w:t>
      </w:r>
      <w:r>
        <w:rPr>
          <w:rFonts w:ascii="Times New Roman" w:cs="Times New Roman" w:eastAsia="Times New Roman" w:hAnsi="Times New Roman"/>
          <w:sz w:val="18"/>
          <w:szCs w:val="18"/>
          <w:b w:val="1"/>
          <w:bCs w:val="1"/>
          <w:color w:val="auto"/>
        </w:rPr>
        <w:t>Fair Value Measurements</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1</w:t>
      </w:r>
      <w:r>
        <w:rPr>
          <w:rFonts w:ascii="Times New Roman" w:cs="Times New Roman" w:eastAsia="Times New Roman" w:hAnsi="Times New Roman"/>
          <w:sz w:val="17"/>
          <w:szCs w:val="17"/>
          <w:color w:val="auto"/>
        </w:rPr>
        <w:t>: Unadjusted quoted prices in active markets for identical assets or liabilities.</w:t>
      </w:r>
    </w:p>
    <w:p>
      <w:pPr>
        <w:spacing w:after="0" w:line="115" w:lineRule="exact"/>
        <w:rPr>
          <w:sz w:val="20"/>
          <w:szCs w:val="20"/>
          <w:color w:val="auto"/>
        </w:rPr>
      </w:pPr>
    </w:p>
    <w:p>
      <w:pPr>
        <w:jc w:val="both"/>
        <w:ind w:left="620"/>
        <w:spacing w:after="0" w:line="273" w:lineRule="auto"/>
        <w:rPr>
          <w:sz w:val="20"/>
          <w:szCs w:val="20"/>
          <w:color w:val="auto"/>
        </w:rPr>
      </w:pPr>
      <w:r>
        <w:rPr>
          <w:rFonts w:ascii="Times New Roman" w:cs="Times New Roman" w:eastAsia="Times New Roman" w:hAnsi="Times New Roman"/>
          <w:sz w:val="17"/>
          <w:szCs w:val="17"/>
          <w:b w:val="1"/>
          <w:bCs w:val="1"/>
          <w:color w:val="auto"/>
        </w:rPr>
        <w:t>Level 2</w:t>
      </w:r>
      <w:r>
        <w:rPr>
          <w:rFonts w:ascii="Times New Roman" w:cs="Times New Roman" w:eastAsia="Times New Roman" w:hAnsi="Times New Roman"/>
          <w:sz w:val="17"/>
          <w:szCs w:val="17"/>
          <w:color w:val="auto"/>
        </w:rPr>
        <w:t>: Observable inputs other than Level 1 prices, such as quoted prices for similar assets or liabilities in active markets; quoted prices for identical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assets or liabilities in markets that are not active; or other inputs that are observable or can be corroborated by observable market data for substantially the full term of the assets or liabilities.</w:t>
      </w:r>
    </w:p>
    <w:p>
      <w:pPr>
        <w:spacing w:after="0" w:line="5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Level 3</w:t>
      </w:r>
      <w:r>
        <w:rPr>
          <w:rFonts w:ascii="Times New Roman" w:cs="Times New Roman" w:eastAsia="Times New Roman" w:hAnsi="Times New Roman"/>
          <w:sz w:val="17"/>
          <w:szCs w:val="17"/>
          <w:color w:val="auto"/>
        </w:rPr>
        <w:t>: Unobservable inputs reflecting management’s assumptions about the inputs used in pricing the asset or liability.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4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following tables present, by level within the fair value hierarchy, the company's financial assets and liabilities that are measured at fair value on a recurring basis as of April 29, 2022, April 30, 2021, and October 31, 2021, according to the valuation technique utilized to determine their fair values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57150</wp:posOffset>
            </wp:positionV>
            <wp:extent cx="321627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7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15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5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19,003</w:t>
            </w:r>
          </w:p>
        </w:tc>
        <w:tc>
          <w:tcPr>
            <w:tcW w:w="13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19,003</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19,003</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19,003</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3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5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73</w:t>
            </w:r>
          </w:p>
        </w:tc>
        <w:tc>
          <w:tcPr>
            <w:tcW w:w="13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147955</wp:posOffset>
            </wp:positionV>
            <wp:extent cx="32162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15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5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1,697</w:t>
            </w:r>
          </w:p>
        </w:tc>
        <w:tc>
          <w:tcPr>
            <w:tcW w:w="13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1,697</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31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5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15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18,023</w:t>
            </w:r>
          </w:p>
        </w:tc>
        <w:tc>
          <w:tcPr>
            <w:tcW w:w="13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18,023</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5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18,023</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18,023</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131445</wp:posOffset>
            </wp:positionV>
            <wp:extent cx="32162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spacing w:after="0" w:line="19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Inputs Considered as: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31, 2021</w:t>
            </w:r>
          </w:p>
        </w:tc>
        <w:tc>
          <w:tcPr>
            <w:tcW w:w="2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80" w:type="dxa"/>
            <w:vAlign w:val="bottom"/>
            <w:tcBorders>
              <w:bottom w:val="single" w:sz="8" w:color="auto"/>
            </w:tcBorders>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322</w:t>
            </w:r>
          </w:p>
        </w:tc>
        <w:tc>
          <w:tcPr>
            <w:tcW w:w="13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480" w:type="dxa"/>
            <w:vAlign w:val="bottom"/>
            <w:tcBorders>
              <w:bottom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322</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9"/>
        </w:trPr>
        <w:tc>
          <w:tcPr>
            <w:tcW w:w="3180" w:type="dxa"/>
            <w:vAlign w:val="bottom"/>
          </w:tcPr>
          <w:p>
            <w:pPr>
              <w:spacing w:after="0"/>
              <w:rPr>
                <w:sz w:val="4"/>
                <w:szCs w:val="4"/>
                <w:color w:val="auto"/>
              </w:rPr>
            </w:pPr>
          </w:p>
        </w:tc>
        <w:tc>
          <w:tcPr>
            <w:tcW w:w="2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7"/>
        </w:trPr>
        <w:tc>
          <w:tcPr>
            <w:tcW w:w="3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Forward currency contracts</w:t>
            </w:r>
          </w:p>
        </w:tc>
        <w:tc>
          <w:tcPr>
            <w:tcW w:w="2480" w:type="dxa"/>
            <w:vAlign w:val="bottom"/>
            <w:tcBorders>
              <w:bottom w:val="single" w:sz="8" w:color="auto"/>
            </w:tcBorders>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4"/>
              </w:rPr>
              <w:t>2,132</w:t>
            </w:r>
          </w:p>
        </w:tc>
        <w:tc>
          <w:tcPr>
            <w:tcW w:w="1300" w:type="dxa"/>
            <w:vAlign w:val="bottom"/>
            <w:tcBorders>
              <w:bottom w:val="single" w:sz="8" w:color="auto"/>
            </w:tcBorders>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4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480" w:type="dxa"/>
            <w:vAlign w:val="bottom"/>
            <w:tcBorders>
              <w:bottom w:val="single" w:sz="8" w:color="auto"/>
            </w:tcBorders>
            <w:shd w:val="clear" w:color="auto" w:fill="CCEEFF"/>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4"/>
              </w:rPr>
              <w:t>2,132</w:t>
            </w:r>
          </w:p>
        </w:tc>
        <w:tc>
          <w:tcPr>
            <w:tcW w:w="1300" w:type="dxa"/>
            <w:vAlign w:val="bottom"/>
            <w:tcBorders>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Nonrecurring Fair Value Measurements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a business combination or asset acquisition are also measured at fair value on a non-recurring basis during the measurement period allowed by the accounting standards codification guidance for business combinations and asset acquisitions, when applicable. For additional information on the company's business combination and the related non-recurring fair value measurement of the assets acquired and liabilities assumed, refer to Note 2,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Fair Value Disclosures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carrying values of the company's short-term financial instruments, including cash and cash equivalents, accounts receivable, accounts payable, and short-term debt, including current maturities of long-term debt, when applicable, approximate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their fair values due to their short-term nature. As of April 29, 2022, April 30, 2021 and October 31, 2021, the company's long-term debt included $424.1 million, $424.0 million and $424.0 million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April 29, 2022, the estimated gross fair value of long-term debt with fixed interest rates was $446.8 million compared to its gross carrying amount of $424.1 million. As of April 30, 2021, the estimated gross fair value of long-term debt with fixed interest rates was $511.1 million compared to its gross carrying amount of $424.0 million. As of October 31, 2021, the estimated gross fair value of long-term debt with fixed interest rates was $517.9 million compared to its gross carrying amount of $424.0 million. For additional information regarding long-term debt with fixed interest rates, refer to Note 6, </w:t>
      </w:r>
      <w:r>
        <w:rPr>
          <w:rFonts w:ascii="Times New Roman" w:cs="Times New Roman" w:eastAsia="Times New Roman" w:hAnsi="Times New Roman"/>
          <w:sz w:val="17"/>
          <w:szCs w:val="17"/>
          <w:i w:val="1"/>
          <w:iCs w:val="1"/>
          <w:color w:val="auto"/>
        </w:rPr>
        <w:t>Indebtedness.</w:t>
      </w:r>
    </w:p>
    <w:p>
      <w:pPr>
        <w:spacing w:after="0" w:line="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41"/>
          <w:szCs w:val="41"/>
          <w:b w:val="1"/>
          <w:bCs w:val="1"/>
          <w:color w:val="auto"/>
        </w:rPr>
        <w:t xml:space="preserve">18 </w:t>
      </w:r>
      <w:r>
        <w:rPr>
          <w:rFonts w:ascii="Times New Roman" w:cs="Times New Roman" w:eastAsia="Times New Roman" w:hAnsi="Times New Roman"/>
          <w:sz w:val="18"/>
          <w:szCs w:val="18"/>
          <w:b w:val="1"/>
          <w:bCs w:val="1"/>
          <w:color w:val="auto"/>
        </w:rPr>
        <w:t>Subsequent Events</w:t>
      </w:r>
    </w:p>
    <w:p>
      <w:pPr>
        <w:spacing w:after="0" w:line="12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("MD&amp;A") is intended to provide a reader of our Condensed Consolidated Financial Statements with a narrative from the perspective of management on our financial condition, results of operations, liquidity, and certain other factors that may affect our future results. Unless the context indicates otherwise, the terms "company," "TTC," "we," "our," or "us" refer to The Toro Company and its consolidated subsidiaries. This MD&amp;A should be read in conjunction with the MD&amp;A included in Part II, Item 7 of our Annual Report on Form 10-K for the fiscal year ended October 31, 2021. Unless expressly stated otherwise, the comparisons presented in this MD&amp;A refer to the same period in the prior fiscal year. Our MD&amp;A is presented as follows:</w:t>
      </w:r>
    </w:p>
    <w:p>
      <w:pPr>
        <w:spacing w:after="0" w:line="73" w:lineRule="exact"/>
        <w:rPr>
          <w:sz w:val="20"/>
          <w:szCs w:val="20"/>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Overview</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Operations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Segments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Position</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Financial Measures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Critical Accounting Policies and Estimates</w:t>
      </w:r>
    </w:p>
    <w:p>
      <w:pPr>
        <w:spacing w:after="0" w:line="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This discussion contains various "forward-looking statements" within the meaning of the Private Securities Litigation Reform Act of 1995 and we refer readers to the section titled "Cautionary Note Regarding Forward-Looking Statements" located at the beginning of this Quarterly Report on Form 10-Q for more information.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Throughout this MD&amp;A, we have provided financial measures that are not calculated or presented in accordance with United States ("U.S.") generally accepted accounting principles ("GAAP") ("non-GAAP financial measures"), as information supplemental and in addition to the most directly comparable financial measures presented in this Quarterly Report on Form 10-Q that are calculated and presented in accordance with U.S. GAAP.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however, should not be considered superior to, as a substitute for, or as an alternative to, and should be considered in conjunction with, the most directly comparable U.S. GAAP financial measures. Reconciliations of non-GAAP financial measures to the most directly comparable reported U.S. GAAP financial measures are included in the section titled "Non-GAAP Financial Measures" within this MD&amp;A.</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Toro Company is in the business of designing, manufacturing, marketing, and selling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Our purpose is to help our customers enrich the beauty, productivity, and sustainability of the land. Sustainability is a constant theme of our enterprise strategic priorities of accelerating profitable growth, driving productivity and operational excellence, and empowering our people. Our focus on alternative power, smart connected, and autonomous solutions, as well as our continued efforts to address sustainability-focused matters, including environmental, social, and governance priorities, are embedded as part of our "Sustainability Endures" initiative.</w:t>
      </w:r>
    </w:p>
    <w:p>
      <w:pPr>
        <w:spacing w:after="0" w:line="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sell our products worldwide through a network of distributors, dealers, mass retailers, hardware retailers, equipment rental centers, home centers, as well as online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 We classify our operations into two reportable business segments: Professional and Residential. Our remaining activities are presented as "Other" due to their insignificance, as described in greater detail within the section titled "Business Segments" in this MD&amp;A.</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Acquisition of Intimidator Group</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January 13, 2022, during the first quarter of fiscal 2022, we acquired the privately-held Intimidator Group ("Intimidator"). Intimidator primarily designs, manufactures, markets, and sells a commercial-grade line of zero-turn mowers under the Spartan Mowers brand, which are intended to provide innovative turf management solutions to landscape contractors and other customers who require a commercial-grade solution. The acquisition of Intimidator broadened our Professional reportable segment and expanded our manufacturing footprint and dealer network. The aggregate preliminary cash consideration was $400.5 million ("purchase price") and remains subject to certain customary adjustments based on, among other things, the amount of actual cash, debt, and working capital in the business of Intimidator at the closing date. As part of these customary adjustments, we recorded a $5.2 million increase to the carrying value of goodwill as of April 29, 2022. Such customary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 xml:space="preserve">adjustments are expected to be completed during fiscal 2022. Additionally, the aggregate preliminary cash consideration remains subject to contingent consideration through the end of calendar year 2022, in the event of certain qualifying tax changes. As a result, we could be subject to additional cash purchase consideration for an amount not to exceed $15.0 million and remittance of such contingent consideration, if required, is due by March 15, 2023. As of April 29, 2022, no liability was recorded within the Condensed Consolidated Balance Sheets for the contingent consideration as the contingency is not probable or estimable. We funded the preliminary purchase price with borrowings under our existing unsecured senior revolving credit facility and cash provided by operating activities. Intimidator's results of operations are included within our Professional reportable segment in our Condensed Consolidated Financial Statements from the closing date. For the three and six months ended April 29, 2022, we recognized $60.5 million of net sales from Intimidator's operations. Intimidator's operations had an immaterial impact on Professional segment earnings for the three and six month periods ended April 29, 2022. For additional information regarding the acquisition, refer to Note 2, </w:t>
      </w:r>
      <w:r>
        <w:rPr>
          <w:rFonts w:ascii="Times New Roman" w:cs="Times New Roman" w:eastAsia="Times New Roman" w:hAnsi="Times New Roman"/>
          <w:sz w:val="17"/>
          <w:szCs w:val="17"/>
          <w:i w:val="1"/>
          <w:iCs w:val="1"/>
          <w:color w:val="auto"/>
        </w:rPr>
        <w:t>Business Combination</w:t>
      </w:r>
      <w:r>
        <w:rPr>
          <w:rFonts w:ascii="Times New Roman" w:cs="Times New Roman" w:eastAsia="Times New Roman" w:hAnsi="Times New Roman"/>
          <w:sz w:val="17"/>
          <w:szCs w:val="17"/>
          <w:color w:val="auto"/>
        </w:rPr>
        <w:t>, in the Notes to Condensed Consolidated Financial Statements included in Part I, Item 1 of this Quarterly Report on Form 10-Q.</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Russia's Invasion of Ukraine</w:t>
      </w:r>
    </w:p>
    <w:p>
      <w:pPr>
        <w:spacing w:after="0" w:line="1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During the second quarter of fiscal 2022, in response to Russia's Invasion of Ukraine, we discontinued sales into the Russian and Belarus markets. Sales in those markets do not represent a significant share of our overall international business, and we do not expect this decision to have a material impact on financial results.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Continuing Impact of COVID-19</w:t>
      </w:r>
    </w:p>
    <w:p>
      <w:pPr>
        <w:spacing w:after="0" w:line="1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COVID-19 is having lingering effects on public health and portions of the global economy. We continue to see significant pressure on global supply chains rooted mainly in disruptions created by these effects. Our main focus has been, and will continue to be, the health, safety, and well-being of our employees, customers, suppliers and communities around the world as we work through these ongoing supply chain challenges. As always, we are maintaining focus on our responsibility to meet the needs of our customers as we supply products that are critical to maintaining essential global infrastructure and agricultural food production. Ongoing communication and prioritization continues with our suppliers in an attempt to identify and mitigate such risks and to proactively manage inventory levels of commodities, components, and parts to align with anticipated demand for our products.</w:t>
      </w:r>
    </w:p>
    <w:p>
      <w:pPr>
        <w:spacing w:after="0" w:line="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continuing implications of COVID-19, including its variants, and the macroeconomic effects resulting therefrom, on us remain uncertain and will depend on future developments, including any adverse impact due to additional variants of the virus; its impact on market demand for our products; its impact on our employees, customers, and suppliers; the range of government mandated restrictions and other measures; and the success of the COVID-19 vaccines and their effectiveness against the virus and related variants. As a result, the ultimate impact on our future business and manufacturing operations, as well as results of operations, financial position, and cash flows as a result of COVID-19 is unknown at this time. We continue to monitor the situation and the guidance from global government authorities, as well as federal, state, local and foreign public health authorities, and may take additional meaningful actions based on their requirements and recommendations in an attempt to protect the health and well-being of our employees, customers, suppliers, and communities. In these circumstances, there may be developments outside our control requiring us to adjust our operating plans and implement appropriate cost reduction measures. If the adverse impacts from COVID-19 continue or worsen beyond expectations, our business and related results of operations, financial position, or cash flows could be adversely impacted. Any sustained adverse impacts to our business, the industries in which we operate, market demand for our products, and/or certain suppliers or customers may also affect the future valuation of certain of our assets, and therefore, may increase the likelihood of a charge related to an impairment, write-off, valuation adjustment, allowance, or reserve associated with such assets, including, but not limited to, goodwill, indefinite and finite-lived intangible assets, inventories, accounts receivable, deferred income taxes, right-of-use assets, and property, plant and equipment. Such a charge could be material to our future results of operations, financial position, or cash flows. For additional information regarding risks associated with COVID-19, refer to the section titled "Cautionary Note Regarding Forward-Looking Statements" located at the beginning of this Quarterly Report on Form 10-Q and also refer to Part I, Item 1A, "Risk Factors", within our Annual Report on Form 10-K for the fiscal year ended October 31, 2021.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During the second quarter of fiscal 2022, we continued to experience strong customer order demand across both our Professional segment and Residential segments. For both the second quarter and year-to-date periods of fiscal 2022, we realized favorable impacts to both our net sales and gross margin as a result of continued net price realization across our product lines compared to the same periods in fiscal 2021. While the strong demand environment and favorable net price realization positively impacted our results of operations, we continued to experience headwinds associated with inflation and supply availability that adversely impacted our gross margins for the second quarter of fiscal 2022. Inflationary cost pressures on commodity and component parts and freight, as well as manufacturing inefficiencies caused by supply availability, all drove margins lower during the second quarter of fiscal 2022 as compared to the second quarter of fiscal 2021. Additionally, we continued to experience significant supply chain disruption during the second quarter of fiscal 2022 as compared to the second quarter of fiscal 2021, which resulted in challenging conditions for sourcing adequate amounts of certain commodity and component parts inventory and, in certain cases, limited the ability of our suppliers to meet our commodity and component parts demand requirements. We intend to continue our historical practice of prudently managing expenses and adjusting production levels as needed to align with anticipated sales volumes and availability of commodity and component parts inventories, while also prioritizing our productivity initiatives and other investments that support long-term sustainable growth across our businesses. However, given our current expectation of continuing supply chain disruptions, our ability to effectively and efficiently adjust production levels as needed may be limited.</w:t>
      </w:r>
    </w:p>
    <w:p>
      <w:pPr>
        <w:spacing w:after="0" w:line="28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Consolidated net sales for the second quarter of fiscal 2022 were $1,249.5 million, up 8.7 percent compared to $1,149.1 million in the second quarter of fiscal 2021. For the first six months of fiscal 2022, consolidated net sales were $2,182.1 million, up 7.9 percent compared to $2,022.1 million from the same period in the prior fiscal year.</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Professional segment net sales for the second quarter of fiscal 2022 were $925.8 million, an increase of 11.8 percent compared to $828.4 million in the second quarter of the prior fiscal year. For the first six months of fiscal 2022, Professional segment net sales were $1,598.7 million, an increase of 8.1 percent compared to $1,478.6 million in the prior fiscal year comparable period.</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Residential segment net sales for the second quarter of fiscal 2022 were $319.7 million, an increase of 1.5 percent compared to $315.0 million in the second quarter of the prior fiscal year. For the first six months of fiscal 2022, Residential segment net sales were $575.1 million, an increase of 7.9 percent compared to $532.7 million in the prior fiscal year comparable period.</w:t>
      </w:r>
    </w:p>
    <w:p>
      <w:pPr>
        <w:spacing w:after="0" w:line="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earnings for the second quarter of fiscal 2022 were $131.1 million, or $1.24 per diluted share, compared to $142.2 million, or $1.31 per diluted share, for the second quarter of fiscal 2021. Net earnings for the first six months of fiscal 2022 were $200.6 million, or $1.89 per diluted share, compared to $253.5 million, or $2.32 per diluted share, in the comparable fiscal 2021 period.</w:t>
      </w:r>
    </w:p>
    <w:p>
      <w:pPr>
        <w:spacing w:after="0" w:line="6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Non-GAAP net earnings for the second quarter of fiscal 2022 were $132.1 million, or $1.25 per diluted share, compared to $140.3 million, or $1.29 per diluted share, for the second quarter of fiscal 2021. Non-GAAP net earnings for the first six months of fiscal 2022 were $201.8 million, or $1.91 per diluted share, compared to $233.5 million, or $2.14 per diluted share, in the comparable fiscal 2021 period. Reconciliations of non-GAAP financial measures to the most directly comparable reported U.S. GAAP financial measures are included in the section titled "Non-GAAP Financial Measures" within this MD&amp;A.</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continued our history of paying quarterly cash dividends and increased our cash dividend for the second quarter of fiscal 2022 by 14.3 percent to $0.30 per share compared to $0.2625 per share paid in the second quarter of fiscal 2021. As a result of the combination of quarterly cash dividends and share repurchases, we returned $138.0 million of cash to our shareholders during the first six months of fiscal 2022.</w:t>
      </w:r>
    </w:p>
    <w:p>
      <w:pPr>
        <w:spacing w:after="0" w:line="6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Field inventory levels were lower as of the end of the second quarter of fiscal 2022 compared to the end of the second quarter of fiscal 2021 driven by Professional segment businesses as continued strong demand has exceeded our ability to produce certain products. Residential field inventory is nearing historical levels.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Sales</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Consolidated net sales for the second quarter of fiscal 2022 were $1,249.5 million, up 8.7 percent compared to $1,149.1 million in the second quarter of fiscal 2021.</w:t>
      </w:r>
    </w:p>
    <w:p>
      <w:pPr>
        <w:spacing w:after="0" w:line="30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For the year-to-date period of fiscal 2022, consolidated net sales were $2,182.1 million, up 7.9 percent compared to $2,022.1 million from the same period in the prior fiscal year. For both the second quarter and year-to-date periods of fiscal 2022, the increases to net sales were primarily driven by net price realization across both Professional and Residential segment product lines, partially offset by lower volumes. For the second quarter and year-to-date periods of fiscal 2022, the acquisition of Intimidator contributed $60.5 million of net sales.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Net sales in international markets decreased by $9.9 million and $6.6 million for the second quarter and year-to-date periods of fiscal 2022, respectively. Changes in foreign currency exchange rates resulted in a decrease in our net sales of approximately $1.8 million and $2.8 million for the second quarter and year-to-date periods of fiscal 2022, respectively. The international net sales decrease for the quarter comparison was mainly driven by decreased shipments of underground construction equipment and agricultural irrigation products, partially offset by higher demand for zero-turn riding products and battery-powered walk power mowers. The international net sales decrease for the year-to-date period of fiscal 2022 was mainly driven by lower sales of underground construction equipment and decreased shipments of golf and grounds equipment due to product availability. This decrease was partially offset by increased shipments of zero-turn riding products.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as a percentage of consolidated net sales: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2"/>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20" w:type="dxa"/>
            <w:vAlign w:val="bottom"/>
            <w:tcBorders>
              <w:bottom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1"/>
        </w:trPr>
        <w:tc>
          <w:tcPr>
            <w:tcW w:w="400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16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16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14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April 30, 2021</w:t>
            </w:r>
          </w:p>
        </w:tc>
      </w:tr>
      <w:tr>
        <w:trPr>
          <w:trHeight w:val="20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6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100.0 %</w:t>
            </w:r>
          </w:p>
        </w:tc>
        <w:tc>
          <w:tcPr>
            <w:tcW w:w="16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100.0 %</w:t>
            </w:r>
          </w:p>
        </w:tc>
        <w:tc>
          <w:tcPr>
            <w:tcW w:w="16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7"/>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26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(67.6)</w:t>
            </w:r>
          </w:p>
        </w:tc>
        <w:tc>
          <w:tcPr>
            <w:tcW w:w="16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(64.9)</w:t>
            </w:r>
          </w:p>
        </w:tc>
        <w:tc>
          <w:tcPr>
            <w:tcW w:w="16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(67.7)</w:t>
            </w:r>
          </w:p>
        </w:tc>
        <w:tc>
          <w:tcPr>
            <w:tcW w:w="14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(64.5)</w:t>
            </w:r>
          </w:p>
        </w:tc>
      </w:tr>
      <w:tr>
        <w:trPr>
          <w:trHeight w:val="20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Gross profit</w:t>
            </w:r>
          </w:p>
        </w:tc>
        <w:tc>
          <w:tcPr>
            <w:tcW w:w="26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32.4</w:t>
            </w:r>
          </w:p>
        </w:tc>
        <w:tc>
          <w:tcPr>
            <w:tcW w:w="160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35.1</w:t>
            </w:r>
          </w:p>
        </w:tc>
        <w:tc>
          <w:tcPr>
            <w:tcW w:w="160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32.3</w:t>
            </w:r>
          </w:p>
        </w:tc>
        <w:tc>
          <w:tcPr>
            <w:tcW w:w="14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35.5</w:t>
            </w:r>
          </w:p>
        </w:tc>
      </w:tr>
      <w:tr>
        <w:trPr>
          <w:trHeight w:val="207"/>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6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(18.7)</w:t>
            </w:r>
          </w:p>
        </w:tc>
        <w:tc>
          <w:tcPr>
            <w:tcW w:w="16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(19.4)</w:t>
            </w:r>
          </w:p>
        </w:tc>
        <w:tc>
          <w:tcPr>
            <w:tcW w:w="16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(20.3)</w:t>
            </w:r>
          </w:p>
        </w:tc>
        <w:tc>
          <w:tcPr>
            <w:tcW w:w="14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(19.6)</w:t>
            </w:r>
          </w:p>
        </w:tc>
      </w:tr>
      <w:tr>
        <w:trPr>
          <w:trHeight w:val="20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earnings</w:t>
            </w:r>
          </w:p>
        </w:tc>
        <w:tc>
          <w:tcPr>
            <w:tcW w:w="26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13.7</w:t>
            </w:r>
          </w:p>
        </w:tc>
        <w:tc>
          <w:tcPr>
            <w:tcW w:w="160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15.7</w:t>
            </w:r>
          </w:p>
        </w:tc>
        <w:tc>
          <w:tcPr>
            <w:tcW w:w="160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12.0</w:t>
            </w:r>
          </w:p>
        </w:tc>
        <w:tc>
          <w:tcPr>
            <w:tcW w:w="14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15.9</w:t>
            </w:r>
          </w:p>
        </w:tc>
      </w:tr>
      <w:tr>
        <w:trPr>
          <w:trHeight w:val="207"/>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6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(0.6)</w:t>
            </w:r>
          </w:p>
        </w:tc>
        <w:tc>
          <w:tcPr>
            <w:tcW w:w="16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(0.6)</w:t>
            </w:r>
          </w:p>
        </w:tc>
        <w:tc>
          <w:tcPr>
            <w:tcW w:w="16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(0.7)</w:t>
            </w:r>
          </w:p>
        </w:tc>
        <w:tc>
          <w:tcPr>
            <w:tcW w:w="14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r>
      <w:tr>
        <w:trPr>
          <w:trHeight w:val="207"/>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62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0.1</w:t>
            </w:r>
          </w:p>
        </w:tc>
        <w:tc>
          <w:tcPr>
            <w:tcW w:w="160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0.3</w:t>
            </w:r>
          </w:p>
        </w:tc>
        <w:tc>
          <w:tcPr>
            <w:tcW w:w="160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0.3</w:t>
            </w:r>
          </w:p>
        </w:tc>
        <w:tc>
          <w:tcPr>
            <w:tcW w:w="14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w:t>
            </w:r>
          </w:p>
        </w:tc>
      </w:tr>
      <w:tr>
        <w:trPr>
          <w:trHeight w:val="200"/>
        </w:trPr>
        <w:tc>
          <w:tcPr>
            <w:tcW w:w="4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6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13.2</w:t>
            </w:r>
          </w:p>
        </w:tc>
        <w:tc>
          <w:tcPr>
            <w:tcW w:w="16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15.4</w:t>
            </w:r>
          </w:p>
        </w:tc>
        <w:tc>
          <w:tcPr>
            <w:tcW w:w="160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11.6</w:t>
            </w: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15.5</w:t>
            </w:r>
          </w:p>
        </w:tc>
      </w:tr>
      <w:tr>
        <w:trPr>
          <w:trHeight w:val="207"/>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2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(2.7)</w:t>
            </w:r>
          </w:p>
        </w:tc>
        <w:tc>
          <w:tcPr>
            <w:tcW w:w="16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(3.0)</w:t>
            </w:r>
          </w:p>
        </w:tc>
        <w:tc>
          <w:tcPr>
            <w:tcW w:w="1600" w:type="dxa"/>
            <w:vAlign w:val="bottom"/>
            <w:tcBorders>
              <w:bottom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(2.4)</w:t>
            </w:r>
          </w:p>
        </w:tc>
        <w:tc>
          <w:tcPr>
            <w:tcW w:w="14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r>
      <w:tr>
        <w:trPr>
          <w:trHeight w:val="200"/>
        </w:trPr>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6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10.5 %</w:t>
            </w:r>
          </w:p>
        </w:tc>
        <w:tc>
          <w:tcPr>
            <w:tcW w:w="16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12.4 %</w:t>
            </w:r>
          </w:p>
        </w:tc>
        <w:tc>
          <w:tcPr>
            <w:tcW w:w="16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9.2 %</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12.5 %</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 and Gross Margin</w:t>
      </w:r>
    </w:p>
    <w:p>
      <w:pPr>
        <w:spacing w:after="0" w:line="1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Gross profit for the second quarter of fiscal 2022 was $405.4 million, up 0.6 percent compared to $403.0 million in the second quarter of fiscal 2021. Gross margin was 32.4 percent for the second quarter of fiscal 2022 compared to 35.1 percent for the second quarter of fiscal 2021, a decrease of 270 basis points. Non-GAAP gross profit for the second quarter of fiscal 2022 was $406.4 million, up 0.9 percent compared to $403.0 million in the second quarter of fiscal 2021. Non-GAAP gross margin was 32.5 percent for the second quarter of fiscal 2022 compared to 35.1 percent for the second quarter of fiscal 2021, a decrease of 260 basis points. The decreases in reported and adjusted gross margin were primarily due to higher material, freight and manufacturing costs and the addition of Intimidator, which products have a lower initial gross margin than the company average, partially offset by increased net price realization and productivity initiatives.</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Gross profit for the year-to-date period of fiscal 2022 was $705.8 million, down 1.7 percent compared to $718.0 million in the same period of fiscal 2021. Gross margin was 32.3 percent for the year-to-date period of fiscal 2022 compared to 35.5 percent for the prior year comparable period, a decrease of 320 basis points. Non-GAAP gross profit for the year-to-date period of fiscal 2022 was $706.9 million, down 1.5 percent compared to $718.0 million in the same period of fiscal 2021. Non-GAAP gross margin was 32.4% for the year-to-date period of fiscal 2022 compared to 35.5% for the prior year comparable period, a decrease of 310 basis points. The decreases in reported and adjusted gross margin were primarily due to higher material, freight and manufacturing costs, partially offset by increased net price realization and productivity initiatives.</w:t>
      </w:r>
    </w:p>
    <w:p>
      <w:pPr>
        <w:spacing w:after="0" w:line="7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Reconciliations of non-GAAP financial measures to the most directly comparable reported U.S. GAAP financial measures are included in the section titled "Non-GAAP Financial Measures" within this MD&amp;A.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Selling, General, and Administrative ("SG&amp;A") Expense</w:t>
      </w:r>
    </w:p>
    <w:p>
      <w:pPr>
        <w:spacing w:after="0" w:line="1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SG&amp;A expense increased $12.6 million, or 5.6 percent, for the second quarter of fiscal 2022 and increased $47.8 million, or 12.1 percent, for the year-to-date period of fiscal 2022 compared to the same periods of fiscal 2021. As a percentage of net sales, SG&amp;A expense decreased 70 basis points and increased 70 basis points for the second quarter and year-to-date periods of fiscal 2022, respectively, compared to the same periods of fiscal 2021. The improvement in SG&amp;A expense as a percentage of net sales for the second quarter comparison was primarily due to leveraging expense over higher net sales and lower incentive expense, partially offset by higher indirect marketing expenses for trade shows and meeting costs in the current-year period compared to the same period of fiscal 2021. The increase in SG&amp;A expense as a percentage of net sales for the year-to-date comparison was primarily the result of a favorable net legal settlement with Briggs &amp; Stratton ("BGG") that was recognized in fiscal 2021 and did not repeat in fiscal 2022.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Expense</w:t>
      </w:r>
    </w:p>
    <w:p>
      <w:pPr>
        <w:spacing w:after="0" w:line="1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Interest expense increased $0.9 million and $0.4 million for the second quarter and year-to-date periods of fiscal 2022, respectively, compared to the same periods of fiscal 2021. These increases were driven by incremental borrowing during the current fiscal year periods to fund the Intimidator acquisition.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Net</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Other income, net decreased $1.1 million and $0.5 million for the second quarter and year-to-date periods of fiscal 2022, respectively, compared to the same periods of fiscal 2021. These decreases were primarily due to the unfavorable impact of foreign currency exchange rate fluctuations.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Provision for Income Taxes</w:t>
      </w:r>
    </w:p>
    <w:p>
      <w:pPr>
        <w:spacing w:after="0" w:line="106"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7"/>
          <w:szCs w:val="17"/>
          <w:color w:val="auto"/>
        </w:rPr>
        <w:t>The effective tax rate for the second quarter of fiscal 2022 was 20.6 percent compared to 19.8 percent in the second quarter of fiscal 2021. The effective tax rate for the year-to-date period of fiscal 2022 was 20.4 percent compared to 19.0 percent in the same period of fiscal 2021. The increases in the effective tax rate for the quarter and year-to-date comparisons were primarily due to lower tax benefits for the excess tax deduction for stock-based compensation.</w:t>
      </w:r>
    </w:p>
    <w:p>
      <w:pPr>
        <w:spacing w:after="0" w:line="19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7"/>
          <w:szCs w:val="17"/>
          <w:color w:val="auto"/>
        </w:rPr>
        <w:t>The non-GAAP effective tax rate for the second quarter of fiscal 2022 was 20.8 percent, compared to a non-GAAP effective tax rate of 20.9 percent in the second quarter of fiscal 2021. The non-GAAP effective tax rate for the year-to-date period of fiscal 2022 was 20.8 percent compared to 21.1 percent in the same period of fiscal 2021. The decrease in the non-GAAP effective tax rate for both the second quarter and year-to-date comparison periods was primarily due to a more favorable geographic mix of earnings. Reconciliations of non-GAAP financial measures to the most directly comparable reported U.S. GAAP financial measures are included in the section titled "Non-GAAP Financial Measures."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Earnings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Net earnings for the second quarter of fiscal 2022 were $131.1 million, or $1.24 per diluted share, compared to $142.2 million, or $1.31 per diluted share, for the second quarter of fiscal 2021, a decrease of 5.3 percent per diluted share. Non-GAAP net earnings for the second quarter of fiscal 2022 were $132.1 million, or $1.25 per diluted share, compared to $140.3 million, or $1.29 per diluted share, for the second quarter of fiscal 2021, a decrease of 3.1 percent per diluted share. The decrease in reported net earnings and non-GAAP net earnings for the second quarter comparison was primarily due to the macroeconomic inflationary environment resulting in higher commodity, component parts and freight costs, manufacturing inefficiencies due to supply chain disruptions and the addition of Intimidator, which products have a lower initial margin than the company average. The decrease was partially offset by improved net price realization, ongoing productivity improvements and lower weighted average shares outstanding due to ongoing share repurchases under our Board authorized repurchase program.</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Net earnings for the first six months of fiscal 2022 were $200.6 million, or $1.89 per diluted share, compared to $253.5 million, or $2.32 per diluted share, for the same period of fiscal 2021. The decrease was primarily due to the macroeconomic inflationary environment resulting in higher commodity, component parts and freight costs, manufacturing inefficiencies due to supply chain disruptions, higher SG&amp;A costs driven by a favorable net legal settlement with BGG in fiscal 2021 that did not repeat in 2022 and transaction and integration costs related to the Intimidator acquisition. The decrease was partially offset by improved net price realization, ongoing productivity improvements and lower weighted average shares outstanding due to ongoing share repurchases under our Board authorized repurchase program. Non-GAAP net earnings for the first six months of fiscal 2022 were $201.8 million, or $1.91 per diluted share, compared to $233.5 million, or $2.14 per diluted share, for the same year-to-date period of fiscal 2021, a decrease of 10.7 percent per diluted share. The decrease was primarily due to the macroeconomic inflationary environment resulting in higher commodity, component parts and freight costs, manufacturing inefficiencies due to supply chain disruptions. The decrease was partially offset by improved net price realization, ongoing productivity improvements and lower weighted average shares outstanding due to ongoing share repurchases under our Board authorized repurchase program.</w:t>
      </w:r>
    </w:p>
    <w:p>
      <w:pPr>
        <w:spacing w:after="0" w:line="7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Reconciliations of non-GAAP financial measures to the most directly comparable reported U.S. GAAP financial measures are included in the section titled "Non-GAAP Financial Measures" within this MD&amp;A.</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SEGMENTS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operate in two reportable business segments: Professional and Residential. Segment earnings for our Professional and Residential segments are defined as earnings from operations plus other income, net. Our remaining activities are presented as "Other" due to their insignificance. Operating loss for our Other activities included earnings (loss) from our wholly-owned domestic distribution company, Red Iron joint venture, corporate activities, other income, and interest expense. Corporate activities include general corporate expenditures, such as finance, human resources, legal, information services, public relations, and similar activities, as well as other unallocated corporate assets and liabilities, such as corporate facilities and deferred tax assets and liabilities. The following tables summarize net sales for our reportable business segments and Other activities: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00" w:type="dxa"/>
            <w:vAlign w:val="bottom"/>
            <w:tcBorders>
              <w:bottom w:val="single" w:sz="8" w:color="auto"/>
            </w:tcBorders>
          </w:tcPr>
          <w:p>
            <w:pPr>
              <w:spacing w:after="0"/>
              <w:rPr>
                <w:sz w:val="18"/>
                <w:szCs w:val="18"/>
                <w:color w:val="auto"/>
              </w:rPr>
            </w:pPr>
          </w:p>
        </w:tc>
      </w:tr>
      <w:tr>
        <w:trPr>
          <w:trHeight w:val="150"/>
        </w:trPr>
        <w:tc>
          <w:tcPr>
            <w:tcW w:w="37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500"/>
              <w:spacing w:after="0" w:line="150"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00" w:type="dxa"/>
            <w:vAlign w:val="bottom"/>
          </w:tcPr>
          <w:p>
            <w:pPr>
              <w:spacing w:after="0"/>
              <w:rPr>
                <w:sz w:val="13"/>
                <w:szCs w:val="13"/>
                <w:color w:val="auto"/>
              </w:rPr>
            </w:pPr>
          </w:p>
        </w:tc>
      </w:tr>
      <w:tr>
        <w:trPr>
          <w:trHeight w:val="218"/>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6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r>
      <w:tr>
        <w:trPr>
          <w:trHeight w:val="20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925,810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828,358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97,452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r>
      <w:tr>
        <w:trPr>
          <w:trHeight w:val="207"/>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64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319,675</w:t>
            </w:r>
          </w:p>
        </w:tc>
        <w:tc>
          <w:tcPr>
            <w:tcW w:w="22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315,035</w:t>
            </w:r>
          </w:p>
        </w:tc>
        <w:tc>
          <w:tcPr>
            <w:tcW w:w="240" w:type="dxa"/>
            <w:vAlign w:val="bottom"/>
          </w:tcPr>
          <w:p>
            <w:pPr>
              <w:spacing w:after="0"/>
              <w:rPr>
                <w:sz w:val="17"/>
                <w:szCs w:val="17"/>
                <w:color w:val="auto"/>
              </w:rPr>
            </w:pP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4,640</w:t>
            </w:r>
          </w:p>
        </w:tc>
        <w:tc>
          <w:tcPr>
            <w:tcW w:w="15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r>
      <w:tr>
        <w:trPr>
          <w:trHeight w:val="207"/>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3,993</w:t>
            </w: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5,714</w:t>
            </w: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(1,721)</w:t>
            </w: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(30.1)</w:t>
            </w:r>
          </w:p>
        </w:tc>
      </w:tr>
      <w:tr>
        <w:trPr>
          <w:trHeight w:val="200"/>
        </w:trPr>
        <w:tc>
          <w:tcPr>
            <w:tcW w:w="3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1,249,478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1,149,107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100,371</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8.7 %</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69"/>
        </w:trPr>
        <w:tc>
          <w:tcPr>
            <w:tcW w:w="378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r>
      <w:tr>
        <w:trPr>
          <w:trHeight w:val="207"/>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*Includes international net sales of:</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245,671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255,575</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(9,904)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500" w:type="dxa"/>
            <w:vAlign w:val="bottom"/>
            <w:tcBorders>
              <w:bottom w:val="single" w:sz="8" w:color="auto"/>
            </w:tcBorders>
          </w:tcPr>
          <w:p>
            <w:pPr>
              <w:spacing w:after="0"/>
              <w:rPr>
                <w:sz w:val="18"/>
                <w:szCs w:val="18"/>
                <w:color w:val="auto"/>
              </w:rPr>
            </w:pPr>
          </w:p>
        </w:tc>
      </w:tr>
      <w:tr>
        <w:trPr>
          <w:trHeight w:val="150"/>
        </w:trPr>
        <w:tc>
          <w:tcPr>
            <w:tcW w:w="37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500"/>
              <w:spacing w:after="0" w:line="150"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00" w:type="dxa"/>
            <w:vAlign w:val="bottom"/>
          </w:tcPr>
          <w:p>
            <w:pPr>
              <w:spacing w:after="0"/>
              <w:rPr>
                <w:sz w:val="13"/>
                <w:szCs w:val="13"/>
                <w:color w:val="auto"/>
              </w:rPr>
            </w:pPr>
          </w:p>
        </w:tc>
      </w:tr>
      <w:tr>
        <w:trPr>
          <w:trHeight w:val="218"/>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6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r>
      <w:tr>
        <w:trPr>
          <w:trHeight w:val="20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1,598,695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1,478,581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120,114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r>
      <w:tr>
        <w:trPr>
          <w:trHeight w:val="207"/>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64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575,077</w:t>
            </w:r>
          </w:p>
        </w:tc>
        <w:tc>
          <w:tcPr>
            <w:tcW w:w="200" w:type="dxa"/>
            <w:vAlign w:val="bottom"/>
          </w:tcPr>
          <w:p>
            <w:pPr>
              <w:spacing w:after="0"/>
              <w:rPr>
                <w:sz w:val="17"/>
                <w:szCs w:val="17"/>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532,735</w:t>
            </w:r>
          </w:p>
        </w:tc>
        <w:tc>
          <w:tcPr>
            <w:tcW w:w="220" w:type="dxa"/>
            <w:vAlign w:val="bottom"/>
          </w:tcPr>
          <w:p>
            <w:pPr>
              <w:spacing w:after="0"/>
              <w:rPr>
                <w:sz w:val="17"/>
                <w:szCs w:val="17"/>
                <w:color w:val="auto"/>
              </w:rPr>
            </w:pP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42,342</w:t>
            </w:r>
          </w:p>
        </w:tc>
        <w:tc>
          <w:tcPr>
            <w:tcW w:w="15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7.9</w:t>
            </w:r>
          </w:p>
        </w:tc>
      </w:tr>
      <w:tr>
        <w:trPr>
          <w:trHeight w:val="207"/>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8,356</w:t>
            </w: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10,777</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(2,421)</w:t>
            </w: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(22.5)</w:t>
            </w:r>
          </w:p>
        </w:tc>
      </w:tr>
      <w:tr>
        <w:trPr>
          <w:trHeight w:val="200"/>
        </w:trPr>
        <w:tc>
          <w:tcPr>
            <w:tcW w:w="3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2,182,128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2,022,093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160,035</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7.9 %</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8"/>
        </w:trPr>
        <w:tc>
          <w:tcPr>
            <w:tcW w:w="37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7"/>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*Includes international net sales of:</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440,657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447,256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(6,599)</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segment earnings for our reportable business segments and operating (loss) for our Other activities: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00" w:type="dxa"/>
            <w:vAlign w:val="bottom"/>
            <w:tcBorders>
              <w:bottom w:val="single" w:sz="8" w:color="auto"/>
            </w:tcBorders>
          </w:tcPr>
          <w:p>
            <w:pPr>
              <w:spacing w:after="0"/>
              <w:rPr>
                <w:sz w:val="18"/>
                <w:szCs w:val="18"/>
                <w:color w:val="auto"/>
              </w:rPr>
            </w:pPr>
          </w:p>
        </w:tc>
      </w:tr>
      <w:tr>
        <w:trPr>
          <w:trHeight w:val="150"/>
        </w:trPr>
        <w:tc>
          <w:tcPr>
            <w:tcW w:w="34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500"/>
              <w:spacing w:after="0" w:line="150"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00" w:type="dxa"/>
            <w:vAlign w:val="bottom"/>
          </w:tcPr>
          <w:p>
            <w:pPr>
              <w:spacing w:after="0"/>
              <w:rPr>
                <w:sz w:val="13"/>
                <w:szCs w:val="13"/>
                <w:color w:val="auto"/>
              </w:rPr>
            </w:pPr>
          </w:p>
        </w:tc>
      </w:tr>
      <w:tr>
        <w:trPr>
          <w:trHeight w:val="218"/>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9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r>
      <w:tr>
        <w:trPr>
          <w:trHeight w:val="20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165,370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167,132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(1,762)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7"/>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9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37,095</w:t>
            </w:r>
          </w:p>
        </w:tc>
        <w:tc>
          <w:tcPr>
            <w:tcW w:w="22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45,986</w:t>
            </w:r>
          </w:p>
        </w:tc>
        <w:tc>
          <w:tcPr>
            <w:tcW w:w="220" w:type="dxa"/>
            <w:vAlign w:val="bottom"/>
          </w:tcPr>
          <w:p>
            <w:pPr>
              <w:spacing w:after="0"/>
              <w:rPr>
                <w:sz w:val="17"/>
                <w:szCs w:val="17"/>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(8,891)</w:t>
            </w:r>
          </w:p>
        </w:tc>
        <w:tc>
          <w:tcPr>
            <w:tcW w:w="15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(19.3)</w:t>
            </w:r>
          </w:p>
        </w:tc>
      </w:tr>
      <w:tr>
        <w:trPr>
          <w:trHeight w:val="207"/>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9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(37,409)</w:t>
            </w: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(35,875)</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(1,534)</w:t>
            </w: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w:t>
            </w:r>
          </w:p>
        </w:tc>
      </w:tr>
      <w:tr>
        <w:trPr>
          <w:trHeight w:val="200"/>
        </w:trPr>
        <w:tc>
          <w:tcPr>
            <w:tcW w:w="3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segment earnings</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165,056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177,243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(12,187)</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500" w:type="dxa"/>
            <w:vAlign w:val="bottom"/>
            <w:tcBorders>
              <w:bottom w:val="single" w:sz="8" w:color="auto"/>
            </w:tcBorders>
          </w:tcPr>
          <w:p>
            <w:pPr>
              <w:spacing w:after="0"/>
              <w:rPr>
                <w:sz w:val="18"/>
                <w:szCs w:val="18"/>
                <w:color w:val="auto"/>
              </w:rPr>
            </w:pPr>
          </w:p>
        </w:tc>
      </w:tr>
      <w:tr>
        <w:trPr>
          <w:trHeight w:val="150"/>
        </w:trPr>
        <w:tc>
          <w:tcPr>
            <w:tcW w:w="34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500"/>
              <w:spacing w:after="0" w:line="150" w:lineRule="exact"/>
              <w:rPr>
                <w:sz w:val="20"/>
                <w:szCs w:val="20"/>
                <w:color w:val="auto"/>
              </w:rPr>
            </w:pPr>
            <w:r>
              <w:rPr>
                <w:rFonts w:ascii="Times New Roman" w:cs="Times New Roman" w:eastAsia="Times New Roman" w:hAnsi="Times New Roman"/>
                <w:sz w:val="16"/>
                <w:szCs w:val="16"/>
                <w:b w:val="1"/>
                <w:bCs w:val="1"/>
                <w:color w:val="auto"/>
              </w:rPr>
              <w:t>Dollar</w:t>
            </w:r>
          </w:p>
        </w:tc>
        <w:tc>
          <w:tcPr>
            <w:tcW w:w="1500" w:type="dxa"/>
            <w:vAlign w:val="bottom"/>
          </w:tcPr>
          <w:p>
            <w:pPr>
              <w:spacing w:after="0"/>
              <w:rPr>
                <w:sz w:val="13"/>
                <w:szCs w:val="13"/>
                <w:color w:val="auto"/>
              </w:rPr>
            </w:pPr>
          </w:p>
        </w:tc>
      </w:tr>
      <w:tr>
        <w:trPr>
          <w:trHeight w:val="218"/>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9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Value Change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Percentage Change</w:t>
            </w:r>
          </w:p>
        </w:tc>
      </w:tr>
      <w:tr>
        <w:trPr>
          <w:trHeight w:val="20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258,642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283,948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(25,306)</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07"/>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9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68,855</w:t>
            </w:r>
          </w:p>
        </w:tc>
        <w:tc>
          <w:tcPr>
            <w:tcW w:w="22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78,094</w:t>
            </w:r>
          </w:p>
        </w:tc>
        <w:tc>
          <w:tcPr>
            <w:tcW w:w="220" w:type="dxa"/>
            <w:vAlign w:val="bottom"/>
          </w:tcPr>
          <w:p>
            <w:pPr>
              <w:spacing w:after="0"/>
              <w:rPr>
                <w:sz w:val="17"/>
                <w:szCs w:val="17"/>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(9,239)</w:t>
            </w:r>
          </w:p>
        </w:tc>
        <w:tc>
          <w:tcPr>
            <w:tcW w:w="150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(11.8)</w:t>
            </w:r>
          </w:p>
        </w:tc>
      </w:tr>
      <w:tr>
        <w:trPr>
          <w:trHeight w:val="207"/>
        </w:trPr>
        <w:tc>
          <w:tcPr>
            <w:tcW w:w="3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9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(75,294)</w:t>
            </w:r>
          </w:p>
        </w:tc>
        <w:tc>
          <w:tcPr>
            <w:tcW w:w="2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(48,973)</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(26,321)</w:t>
            </w: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(53.7)</w:t>
            </w:r>
          </w:p>
        </w:tc>
      </w:tr>
      <w:tr>
        <w:trPr>
          <w:trHeight w:val="200"/>
        </w:trPr>
        <w:tc>
          <w:tcPr>
            <w:tcW w:w="3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Total segment earnings</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252,203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313,069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(60,866)</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Professional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Worldwide net sales for our Professional segment for the second quarter of fiscal 2022 increased 11.8 percent compared to the second quarter of fiscal 2021. Worldwide net sales for our Professional segment for the year-to-date period of fiscal 2022 increased 8.1 percent compared to the same period of fiscal 2021. The increases in Professional segment net sales for both the second quarter and year-to-date periods of 2022 were driven primarily by net price realization and incremental revenue from the acquisition of Intimidator, partially offset by lower volume in certain key product categories due to product availability constraints.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Earnings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Professional segment earnings for the second quarter of fiscal 2022 decreased 1.1 percent compared to the second quarter of fiscal 2021, and when expressed as a percentage of net sales, decreased to 17.9 percent in the second quarter of fiscal 2022 from 20.2 percent in the second quarter of fiscal 2021. Professional segment earnings for the year-to-date period of fiscal 2022 decreased 8.9 percent compared to the same period of fiscal 2021, and when expressed as a percentage of net sales, decreased to 16.2 percent from 19.2 percent in the year-to-date period of fiscal 2022 compared to the same period of fiscal 2021. The decreases in Professional segment earnings for both the second quarter and year-to-date periods of fiscal 2022 were largely due to higher material, freight and manufacturing costs, and the addition of Intimidator, which products have a lower initial margin than the segment average, partially offset by increased net price realization and productivity initiatives.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Residential Segment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Net Sales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Worldwide net sales for our Residential segment for the second quarter of fiscal 2022 increased 1.5 percent compared to the second quarter of fiscal 2021. The increase was primarily driven by net price realization and higher shipments of zero-turn riding mowers, partially offset by lower sales of walk-power mowers and portable-power products due to the delayed spring weather patterns across many parts of the U.S. this year.</w:t>
      </w:r>
    </w:p>
    <w:p>
      <w:pPr>
        <w:spacing w:after="0" w:line="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Worldwide net sales for our Residential segment for the year-to-date period of fiscal 2022 increased 7.9 percent compared to the same period of fiscal 2021. The year-to-date increase was primarily driven by net price realization and higher shipments of zero-turn riding mowers, partially offset by lower snow product shipments due to product availability constraints and lower sales of portable-power products due to unfavorable spring weather patterns this year.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Earnings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Residential segment earnings for the second quarter of fiscal 2022 decreased 19.3 percent compared to the second quarter of fiscal 2021, and when expressed as a percentage of net sales, decreased to 11.6 percent from 14.6 percent in the second quarter of fiscal 2022 compared to the second quarter of fiscal 2021. The decrease was largely driven by higher material, freight and manufacturing costs, partially offset by increased net price realization and productivity improvements.</w:t>
      </w:r>
    </w:p>
    <w:p>
      <w:pPr>
        <w:spacing w:after="0" w:line="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Residential segment earnings for the year-to-date period of fiscal 2022 decreased 11.8 percent compared to the same period of fiscal 2021, and when expressed as a percentage of net sales, decreased to 12.0 percent from 14.7 percent in the year-to-date period of fiscal 2022 compared to the same period of fiscal 2021. The year-to-date decrease was largely driven by higher material and freight costs, partially offset by increased net price realization, productivity improvements and lower SG&amp;A costs.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Activities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Net Sales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Net sales for our Other activities included sales from our wholly-owned domestic distribution company less sales from the Professional and Residential segments to the distribution company. Net sales for our Other activities in the second quarter of fiscal 2022 decreased by $1.7 million compared to the same period in fiscal 2021. This decrease was due to lower sales from our wholly-owned domestic distribution company due to supply chain challenges limiting product availability, partially offset by reduced intercompany sales eliminations for sales from our Professional and Residential segments to our wholly-owned domestic distribution company.</w:t>
      </w:r>
    </w:p>
    <w:p>
      <w:pPr>
        <w:spacing w:after="0" w:line="7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sales for our Other activities in the year-to-date period of fiscal 2022 decreased by $2.4 million compared to the same period in fiscal 2021. This year-to-date decrease was due to lower sales from our wholly-owned domestic distribution company due to product availability limitations, partially offset by reduced intercompany sales eliminations for sales from our Professional and Residential segments to our wholly-owned domestic distribution company.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Operating Loss</w:t>
      </w:r>
    </w:p>
    <w:p>
      <w:pPr>
        <w:spacing w:after="0" w:line="1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operating loss for our Other activities for the second quarter of fiscal 2022 increased $1.5 million compared to the second quarter of fiscal 2021 and was primarily due to lower intercompany cost eliminations related to sales from our Professional and Residential segments to our wholly-owned domestic distribution company, and higher interest expense driven by incremental borrowing to fund the Intimidator acquisition, partially offset by lower incentive compensation expense.</w:t>
      </w:r>
    </w:p>
    <w:p>
      <w:pPr>
        <w:spacing w:after="0" w:line="2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operating loss for our Other activities for the year-to-date period of fiscal 2022 increased $26.3 million compared to the same period in fiscal 2021. The year-to-date operating loss was primarily due to a favorable net legal settlement with BGG that was recognized in fiscal 2021 and did not repeat in fiscal 2022, and lower intercompany cost eliminations related to sales from our Professional and Residential segments to our wholly-owned domestic distribution company.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POSITION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Working Capital</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Given the challenging macroeconomic environment that has created supply chain disruption and more specifically, resulted in challenging conditions for sourcing adequate amounts of certain commodity and component parts inventory and, in certain cases, the inability of our suppliers to meet our commodity and component parts demand requirements, our working capital strategy continues to place primary emphasis on procuring key commodities and components when available in an attempt to maintain requisite inventory levels to meet our anticipated production requirements, avoid manufacturing delays, and meet the anticipated continued strong demand for our products, as well as attempting to ensure service parts availability for our customers. Accounts receivable as of the end of the second quarter of fiscal 2022 increased $48.1 million, or 12.3 percent, compared to the end of the second quarter of fiscal 2021, primarily driven by higher organic sales and our acquisition of Intimidator. Inventory levels were up $262.9 million, or 41.8 percent, as of the second quarter of fiscal 2022 compared to the second quarter of fiscal 2021, primarily due to higher raw material and work in process inventories due to supply chain challenges that prevented the conversion of raw materials and work in process inventories into finished goods and the impact of inflation on the cost of commodities and component parts, as well as incremental inventories as a result of our acquisition of Intimidator. Accounts payable increased $145.0 million, or 34.4 percent, as of the end of the second quarter of fiscal 2022 compared to the end of the second quarter of fiscal 2021, mainly due to higher purchases and the impact of inflation on the cost of commodities, component parts, and other purchased goods and services.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1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Cash provided by operating activities for the first six months of fiscal 2022 was $42.9 million compared to cash provided by operating activities for the first six months of fiscal 2021 of $318.6 million. This decrease in cash provided by operating activities was primarily due to more cash consumed within inventory due to supply chain challenges that prevented the conversion of raw materials and work in process inventories into finished goods and the impact of inflation on the cost of commodities and component parts, in addition to more cash used to satisfy accounts payable and accrued liabilities that remained outstanding as of October 31, 2021 as a result of normalized spending patterns and timing of invoice payments near the end of fiscal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Cash used in investing activities increased $389.4 million during the first six months of fiscal 2022 compared to the first six months of fiscal 2021. This increase was primarily due to more cash used for the acquisition of Intimidator and lower cash proceeds from the prior year sale of a business.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1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Cash provided by financing activities for the first six months of fiscal 2022 was $262.4 million compared to cash used in financing activities for the first six months of fiscal 2021 of $254.1 million. This increase in cash provided by financing activities was mainly due to higher borrowings under our unsecured senior revolving credit facility to fund the preliminary purchase price for our acquisition of Intimidator.</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or other third-party financial institutions. Because of this seasonality, our accounts receivable balance have historically increased between January and April as a result of typically higher sales volumes and extended payment terms made available to our customers, and have typically decreased between May and December when payments are received. However, as a result of COVID-19 and the challenging macroeconomic environment that has created supply chain disruption, our accounts receivable pattern has not followed historical patterns during fiscal 2022 and fiscal 2021 because our sales cadence has been driven more by our ability to produce product than historical demand patterns and seasonality. We currently expect this trend to continue throughout the remainder of fiscal 2022.</w:t>
      </w:r>
    </w:p>
    <w:p>
      <w:pPr>
        <w:spacing w:after="0" w:line="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generally fund cash requirements for working capital needs, capital expenditures, contractual obligations, acquisitions, investments, debt repayments, interest payments, quarterly cash dividend payments, and common stock repurchases, all as applicable, through cash provided by operating activities, availability under our revolving credit facility, and in certain instances, other forms of financing arrangements. Our revolving credit facility has been adequate for these purposes, although we have negotiated and completed additional financing arrangements as needed to allow us to complete acquisitions or for other corporate purposes. We currently believe that our existing liquidity position, including the funds available through existing, and potential future, financing arrangements and forecasted cash flows from operations will be sufficient to provide the necessary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capital resources for our anticipated working capital needs, capital expenditures, investments, contingent consideration payments, debt repayments, interest payments, quarterly cash dividend payments, and common stock repurchases, all as applicable, for at least the next twelve months. As of April 29, 2022, we had available liquidity of $659.7 million, consisting of cash and cash equivalents of $263.2 million, of which $100.3 million was held by our foreign subsidiaries, and availability under our revolving credit facility of $396.5 million.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Indebtedness</w:t>
      </w:r>
    </w:p>
    <w:p>
      <w:pPr>
        <w:spacing w:after="0" w:line="12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Our debt arrangements are described in further detail within our most recently filed Annual Report on Form 10-K for the fiscal year ended October 31, 2021. The following is a summary of our indebtedness: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10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October 31, 2021</w:t>
            </w:r>
          </w:p>
        </w:tc>
      </w:tr>
      <w:tr>
        <w:trPr>
          <w:trHeight w:val="20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$600 million revolving credit facility, due October 2026</w:t>
            </w:r>
          </w:p>
        </w:tc>
        <w:tc>
          <w:tcPr>
            <w:tcW w:w="10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 million term loan, due April 2027</w:t>
            </w:r>
          </w:p>
        </w:tc>
        <w:tc>
          <w:tcPr>
            <w:tcW w:w="10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2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$270 million term loan, due October 2026</w:t>
            </w:r>
          </w:p>
        </w:tc>
        <w:tc>
          <w:tcPr>
            <w:tcW w:w="10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270,000</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270,000</w:t>
            </w:r>
          </w:p>
        </w:tc>
      </w:tr>
      <w:tr>
        <w:trPr>
          <w:trHeight w:val="207"/>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 million term loan, due April 2022</w:t>
            </w:r>
          </w:p>
        </w:tc>
        <w:tc>
          <w:tcPr>
            <w:tcW w:w="10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$300 million term loan, due April 2024</w:t>
            </w:r>
          </w:p>
        </w:tc>
        <w:tc>
          <w:tcPr>
            <w:tcW w:w="10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3.81% series A senior notes, due June 2029</w:t>
            </w:r>
          </w:p>
        </w:tc>
        <w:tc>
          <w:tcPr>
            <w:tcW w:w="10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3.91% series B senior notes, due June 2031</w:t>
            </w:r>
          </w:p>
        </w:tc>
        <w:tc>
          <w:tcPr>
            <w:tcW w:w="10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7.8% debentures, due June 2027</w:t>
            </w:r>
          </w:p>
        </w:tc>
        <w:tc>
          <w:tcPr>
            <w:tcW w:w="10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r>
      <w:tr>
        <w:trPr>
          <w:trHeight w:val="20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6.625% senior notes, due May 2037</w:t>
            </w:r>
          </w:p>
        </w:tc>
        <w:tc>
          <w:tcPr>
            <w:tcW w:w="10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124,071</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124,009</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124,040</w:t>
            </w:r>
          </w:p>
        </w:tc>
      </w:tr>
      <w:tr>
        <w:trPr>
          <w:trHeight w:val="207"/>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unamortized discounts, debt issuance costs, and deferred charges</w:t>
            </w:r>
          </w:p>
        </w:tc>
        <w:tc>
          <w:tcPr>
            <w:tcW w:w="10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3,101</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2,554</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2,798</w:t>
            </w:r>
          </w:p>
        </w:tc>
      </w:tr>
      <w:tr>
        <w:trPr>
          <w:trHeight w:val="200"/>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10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1,090,970</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691,455</w:t>
            </w:r>
          </w:p>
        </w:tc>
        <w:tc>
          <w:tcPr>
            <w:tcW w:w="2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691,242</w:t>
            </w:r>
          </w:p>
        </w:tc>
      </w:tr>
      <w:tr>
        <w:trPr>
          <w:trHeight w:val="207"/>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Less: current portion of long-term debt</w:t>
            </w:r>
          </w:p>
        </w:tc>
        <w:tc>
          <w:tcPr>
            <w:tcW w:w="10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99,959</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5"/>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990,970</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591,496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691,242</w:t>
            </w:r>
          </w:p>
        </w:tc>
      </w:tr>
      <w:tr>
        <w:trPr>
          <w:trHeight w:val="20"/>
        </w:trPr>
        <w:tc>
          <w:tcPr>
            <w:tcW w:w="5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April 27, 2022, we entered into the $200.0 million term loan for the purpose of paying down certain of our outstanding borrowings incurred in connection with the acquisition of Intimidator on January 13, 2022 and borrowed under our revolving credit facility. The entire $200.0 million available under the agreement was funded on April 27, 2022, and matures on April 27, 2027.</w:t>
      </w:r>
    </w:p>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As of April 29, 2022, we had $200.0 million of outstanding borrowings under our revolving credit facility, primarily as a result of the amount drawn to fund the purchase price of our acquisition of Intimidator, and $3.5 million outstanding under the sublimit for standby letters of credit, which resulted in $396.5 million of unutilized availability under the revolving credit facility. Typically, our revolving credit facility is classified as long-term debt within the Condensed Consolidated Balance Sheets as we have the ability to extend the outstanding borrowings under the revolving credit facility for the full-term of the facility. However, if we intend to prepay a portion of the outstanding balance under the revolving credit facility within the next twelve months, we reclassify the portion of outstanding borrowings under the revolving credit facility that we intend to repay within the next twelve months to current portion of long-term debt within the Condensed Consolidated Balance Sheets. As of April 29, 2022, we reclassified $100.0 million of outstanding borrowings under the revolving credit facility to current portion of long-term debt within the Condensed Consolidated Balance Sheets as we currently intend to repay this amount within the next twelve months.</w:t>
      </w:r>
    </w:p>
    <w:p>
      <w:pPr>
        <w:spacing w:after="0" w:line="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As of April 29, 2022, we were in compliance with all covenants related to our financing arrangements and were not limited in the amount for payments of cash dividends and common stock repurchases. We expect to be in compliance with all covenants related to our financing arrangements during the remainder of fiscal 2022. If we were out of compliance with any covenant required by our financing arrangements following the applicable cure period, our term loan facility, long-term senior notes, debentures, and any amounts outstanding under the revolving credit facility could become due and payable if we were unable to obtain a covenant waiver or refinance our borrowings under our financing arrangements.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Dividends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Board of Directors approved a cash dividend of $0.30 per share for the second quarter of fiscal 2022 that was paid on April 21, 2022. This was an increase of 14.3 percent over our cash dividend of $0.2625 per share for the second quarter of fiscal 2021. We currently expect to continue paying our quarterly cash dividend to shareholders for the remainder of fiscal 2022.</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 Repurchases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first six months of fiscal 2022, we repurchased 738,632 shares of our common stock in the open market under our Board authorized repurchase program, thereby reducing our total shares outstanding. As of April 29, 2022, 3,313,830 shares remained available for repurchase under our Board authorized repurchase program. We currently expect to continue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repurchasing shares of our common stock throughout the remainder of fiscal 2022, depending on our cash balance, debt repayments, market conditions, our anticipated working capital needs, the price of our common stock, and/or other factors.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 Financing Arrangements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customer financing arrangements, including both wholesale financing and end-user financing arrangements, are described in further detail within our most recently filed Annual Report on Form 10-K for the fiscal year ended October 31, 2021. There have been no material changes to our end-user customer financing arrangements during the first six months of fiscal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Wholesale Financing</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are party to a joint venture with a subsidiary of The Huntington National Bank, established as Red Iron, the primary purpose of which is to provide inventory financing to certain distributors and dealers of certain of our products in the U.S. that enables them to carry representative inventories of certain of our products. The net amount of receivables financed for dealers and distributors under this arrangement for the six month periods ended April 29, 2022 and April 30, 2021 was $1,209.7 million and $1,180.9 million, respectively.</w:t>
      </w:r>
    </w:p>
    <w:p>
      <w:pPr>
        <w:spacing w:after="0" w:line="6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Under a separate agreement, TCF Commercial Finance Canada, Inc. ("TCFCFC") provides inventory financing to dealers of certain of our products in Canada. We also have floor plan financing agreements with other third-party financial institutions to provide floor plan financing to certain dealers and distributors not financed through Red Iron or TCFCFC, which include agreements with third-party financial institutions in the U.S. and internationally. These third-party financial institutions and TCFCFC financed $266.2 million and $216.1 million of receivables for such dealers and distributors during the six month periods ended April 29, 2022 and April 30, 2021, respectively. As of April 29, 2022 and April 30, 2021, $223.7 million and $147.4 million, respectively, of receivables financed by the third-party financing companies and TCFCFC, excluding Red Iron, were outstanding.</w:t>
      </w:r>
    </w:p>
    <w:p>
      <w:pPr>
        <w:spacing w:after="0" w:line="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We entered into a limited inventory repurchase agreement with Red Iron and TCFCFC. Under such limited inventory repurchase agreement, we have agreed to repurchase products repossessed by Red Iron and TCFCFC, up to a maximum aggregate amount of $7.5 million in a calendar year. Additionally, as a result of our floor plan financing agreements with the separate third-party financial institutions, we have also entered into inventory repurchase agreements with the separate third-party financial institutions. Under such inventory repurchase agreements, we have agreed to repurchase products repossessed by the separate third-party financial institutions. As of April 29, 2022 and April 30, 2021, we were contingently liable to repurchase up to a maximum amount of $85.6 million and $103.4 million, respectively, of inventory related to receivables under these inventory repurchase agreements. Our financial exposure under these inventory repurchase agreements is limited to the difference between the amount paid to Red Iron or other third-party financing institutions for repurchases of inventory and the amount received upon subsequent resale of the repossessed product. We have repurchased immaterial amounts of inventory pursuant to such arrangements during the six month periods ended April 29, 2022 and April 30, 2021.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provided non-GAAP financial measures, which are not calculated or presented in accordance with U.S. GAAP, as information supplemental and in addition to the most directly comparable financial measures presented in this Quarterly Report on Form 10-Q that are calculated and presented in accordance with U.S. GAAP. We use these non-GAAP financial measures in making operating decisions and assessing liquidity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Financial Performance Measures</w:t>
      </w:r>
    </w:p>
    <w:p>
      <w:pPr>
        <w:spacing w:after="0" w:line="119"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following table provides a reconciliation of financial performance measures calculated and reported in accordance with U.S. GAAP to the most directly comparable non-GAAP financial performance measures for the three and six month periods ended April 29, 2022 and April 30, 2021:</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3"/>
          </w:tcPr>
          <w:p>
            <w:pPr>
              <w:jc w:val="right"/>
              <w:ind w:right="82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3"/>
          </w:tcPr>
          <w:p>
            <w:pPr>
              <w:jc w:val="right"/>
              <w:ind w:right="86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1"/>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 except per share data)</w:t>
            </w:r>
          </w:p>
        </w:tc>
        <w:tc>
          <w:tcPr>
            <w:tcW w:w="1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April 30, 2021</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April 30, 2021</w:t>
            </w:r>
          </w:p>
        </w:tc>
      </w:tr>
      <w:tr>
        <w:trPr>
          <w:trHeight w:val="201"/>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405,369</w:t>
            </w:r>
          </w:p>
        </w:tc>
        <w:tc>
          <w:tcPr>
            <w:tcW w:w="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402,953</w:t>
            </w:r>
          </w:p>
        </w:tc>
        <w:tc>
          <w:tcPr>
            <w:tcW w:w="2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705,845</w:t>
            </w:r>
          </w:p>
        </w:tc>
        <w:tc>
          <w:tcPr>
            <w:tcW w:w="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717,989</w:t>
            </w:r>
          </w:p>
        </w:tc>
      </w:tr>
      <w:tr>
        <w:trPr>
          <w:trHeight w:val="207"/>
        </w:trPr>
        <w:tc>
          <w:tcPr>
            <w:tcW w:w="3960" w:type="dxa"/>
            <w:vAlign w:val="bottom"/>
          </w:tcPr>
          <w:p>
            <w:pPr>
              <w:ind w:left="140"/>
              <w:spacing w:after="0" w:line="207"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0"/>
                <w:szCs w:val="20"/>
                <w:color w:val="auto"/>
                <w:vertAlign w:val="superscript"/>
              </w:rPr>
              <w:t>1</w:t>
            </w:r>
          </w:p>
        </w:tc>
        <w:tc>
          <w:tcPr>
            <w:tcW w:w="1140" w:type="dxa"/>
            <w:vAlign w:val="bottom"/>
          </w:tcPr>
          <w:p>
            <w:pPr>
              <w:spacing w:after="0"/>
              <w:rPr>
                <w:sz w:val="17"/>
                <w:szCs w:val="17"/>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1,024</w:t>
            </w:r>
          </w:p>
        </w:tc>
        <w:tc>
          <w:tcPr>
            <w:tcW w:w="240" w:type="dxa"/>
            <w:vAlign w:val="bottom"/>
          </w:tcPr>
          <w:p>
            <w:pPr>
              <w:spacing w:after="0"/>
              <w:rPr>
                <w:sz w:val="17"/>
                <w:szCs w:val="17"/>
                <w:color w:val="auto"/>
              </w:rPr>
            </w:pPr>
          </w:p>
        </w:tc>
        <w:tc>
          <w:tcPr>
            <w:tcW w:w="13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1,024</w:t>
            </w:r>
          </w:p>
        </w:tc>
        <w:tc>
          <w:tcPr>
            <w:tcW w:w="24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406,393</w:t>
            </w:r>
          </w:p>
        </w:tc>
        <w:tc>
          <w:tcPr>
            <w:tcW w:w="2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402,953</w:t>
            </w:r>
          </w:p>
        </w:tc>
        <w:tc>
          <w:tcPr>
            <w:tcW w:w="2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706,869</w:t>
            </w:r>
          </w:p>
        </w:tc>
        <w:tc>
          <w:tcPr>
            <w:tcW w:w="2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717,989</w:t>
            </w:r>
          </w:p>
        </w:tc>
      </w:tr>
      <w:tr>
        <w:trPr>
          <w:trHeight w:val="86"/>
        </w:trPr>
        <w:tc>
          <w:tcPr>
            <w:tcW w:w="39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r>
      <w:tr>
        <w:trPr>
          <w:trHeight w:val="20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1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32.4 %</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35.1 %</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32.3 %</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35.5 %</w:t>
            </w:r>
          </w:p>
        </w:tc>
      </w:tr>
      <w:tr>
        <w:trPr>
          <w:trHeight w:val="207"/>
        </w:trPr>
        <w:tc>
          <w:tcPr>
            <w:tcW w:w="3960" w:type="dxa"/>
            <w:vAlign w:val="bottom"/>
            <w:tcBorders>
              <w:bottom w:val="single" w:sz="8" w:color="auto"/>
            </w:tcBorders>
          </w:tcPr>
          <w:p>
            <w:pPr>
              <w:ind w:left="140"/>
              <w:spacing w:after="0" w:line="207"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0"/>
                <w:szCs w:val="20"/>
                <w:color w:val="auto"/>
                <w:vertAlign w:val="superscript"/>
              </w:rPr>
              <w:t>1</w:t>
            </w:r>
          </w:p>
        </w:tc>
        <w:tc>
          <w:tcPr>
            <w:tcW w:w="1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0.1 %</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0.1 %</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197"/>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gross margin</w:t>
            </w:r>
          </w:p>
        </w:tc>
        <w:tc>
          <w:tcPr>
            <w:tcW w:w="1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32.5 %</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35.1 %</w:t>
            </w: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32.4 %</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35.5 %</w:t>
            </w:r>
          </w:p>
        </w:tc>
      </w:tr>
      <w:tr>
        <w:trPr>
          <w:trHeight w:val="86"/>
        </w:trPr>
        <w:tc>
          <w:tcPr>
            <w:tcW w:w="39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r>
      <w:tr>
        <w:trPr>
          <w:trHeight w:val="20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earnings</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170,577</w:t>
            </w:r>
          </w:p>
        </w:tc>
        <w:tc>
          <w:tcPr>
            <w:tcW w:w="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180,716</w:t>
            </w:r>
          </w:p>
        </w:tc>
        <w:tc>
          <w:tcPr>
            <w:tcW w:w="2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262,203</w:t>
            </w:r>
          </w:p>
        </w:tc>
        <w:tc>
          <w:tcPr>
            <w:tcW w:w="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322,181</w:t>
            </w:r>
          </w:p>
        </w:tc>
      </w:tr>
      <w:tr>
        <w:trPr>
          <w:trHeight w:val="207"/>
        </w:trPr>
        <w:tc>
          <w:tcPr>
            <w:tcW w:w="3960" w:type="dxa"/>
            <w:vAlign w:val="bottom"/>
          </w:tcPr>
          <w:p>
            <w:pPr>
              <w:ind w:left="140"/>
              <w:spacing w:after="0" w:line="207"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0"/>
                <w:szCs w:val="20"/>
                <w:color w:val="auto"/>
                <w:vertAlign w:val="superscript"/>
              </w:rPr>
              <w:t>1</w:t>
            </w:r>
          </w:p>
        </w:tc>
        <w:tc>
          <w:tcPr>
            <w:tcW w:w="1140" w:type="dxa"/>
            <w:vAlign w:val="bottom"/>
          </w:tcPr>
          <w:p>
            <w:pPr>
              <w:spacing w:after="0"/>
              <w:rPr>
                <w:sz w:val="17"/>
                <w:szCs w:val="17"/>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1,736</w:t>
            </w:r>
          </w:p>
        </w:tc>
        <w:tc>
          <w:tcPr>
            <w:tcW w:w="240" w:type="dxa"/>
            <w:vAlign w:val="bottom"/>
          </w:tcPr>
          <w:p>
            <w:pPr>
              <w:spacing w:after="0"/>
              <w:rPr>
                <w:sz w:val="17"/>
                <w:szCs w:val="17"/>
                <w:color w:val="auto"/>
              </w:rPr>
            </w:pPr>
          </w:p>
        </w:tc>
        <w:tc>
          <w:tcPr>
            <w:tcW w:w="13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2,752</w:t>
            </w:r>
          </w:p>
        </w:tc>
        <w:tc>
          <w:tcPr>
            <w:tcW w:w="24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960" w:type="dxa"/>
            <w:vAlign w:val="bottom"/>
            <w:tcBorders>
              <w:bottom w:val="single" w:sz="8" w:color="auto"/>
            </w:tcBorders>
            <w:shd w:val="clear" w:color="auto" w:fill="CCEEFF"/>
          </w:tcPr>
          <w:p>
            <w:pPr>
              <w:ind w:left="140"/>
              <w:spacing w:after="0" w:line="207" w:lineRule="exact"/>
              <w:rPr>
                <w:sz w:val="20"/>
                <w:szCs w:val="20"/>
                <w:color w:val="auto"/>
              </w:rPr>
            </w:pPr>
            <w:r>
              <w:rPr>
                <w:rFonts w:ascii="Times New Roman" w:cs="Times New Roman" w:eastAsia="Times New Roman" w:hAnsi="Times New Roman"/>
                <w:sz w:val="16"/>
                <w:szCs w:val="16"/>
                <w:color w:val="auto"/>
              </w:rPr>
              <w:t>Litigation settlement, net</w:t>
            </w:r>
            <w:r>
              <w:rPr>
                <w:rFonts w:ascii="Times New Roman" w:cs="Times New Roman" w:eastAsia="Times New Roman" w:hAnsi="Times New Roman"/>
                <w:sz w:val="20"/>
                <w:szCs w:val="20"/>
                <w:color w:val="auto"/>
                <w:vertAlign w:val="superscript"/>
              </w:rPr>
              <w:t>2</w:t>
            </w:r>
          </w:p>
        </w:tc>
        <w:tc>
          <w:tcPr>
            <w:tcW w:w="1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(17,075)</w:t>
            </w:r>
          </w:p>
        </w:tc>
      </w:tr>
      <w:tr>
        <w:trPr>
          <w:trHeight w:val="197"/>
        </w:trPr>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Non-GAAP operating earnings</w:t>
            </w:r>
          </w:p>
        </w:tc>
        <w:tc>
          <w:tcPr>
            <w:tcW w:w="11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172,313</w:t>
            </w:r>
          </w:p>
        </w:tc>
        <w:tc>
          <w:tcPr>
            <w:tcW w:w="2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180,716</w:t>
            </w:r>
          </w:p>
        </w:tc>
        <w:tc>
          <w:tcPr>
            <w:tcW w:w="2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264,955</w:t>
            </w:r>
          </w:p>
        </w:tc>
        <w:tc>
          <w:tcPr>
            <w:tcW w:w="2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305,106</w:t>
            </w:r>
          </w:p>
        </w:tc>
      </w:tr>
      <w:tr>
        <w:trPr>
          <w:trHeight w:val="86"/>
        </w:trPr>
        <w:tc>
          <w:tcPr>
            <w:tcW w:w="3960" w:type="dxa"/>
            <w:vAlign w:val="bottom"/>
            <w:tcBorders>
              <w:bottom w:val="single" w:sz="8" w:color="auto"/>
            </w:tcBorders>
            <w:shd w:val="clear" w:color="auto" w:fill="CCEEFF"/>
          </w:tcPr>
          <w:p>
            <w:pPr>
              <w:spacing w:after="0"/>
              <w:rPr>
                <w:sz w:val="7"/>
                <w:szCs w:val="7"/>
                <w:color w:val="auto"/>
              </w:rPr>
            </w:pPr>
          </w:p>
        </w:tc>
        <w:tc>
          <w:tcPr>
            <w:tcW w:w="1140" w:type="dxa"/>
            <w:vAlign w:val="bottom"/>
            <w:tcBorders>
              <w:bottom w:val="single" w:sz="8" w:color="auto"/>
            </w:tcBorders>
            <w:shd w:val="clear" w:color="auto" w:fill="CCEEFF"/>
          </w:tcPr>
          <w:p>
            <w:pPr>
              <w:spacing w:after="0"/>
              <w:rPr>
                <w:sz w:val="7"/>
                <w:szCs w:val="7"/>
                <w:color w:val="auto"/>
              </w:rPr>
            </w:pPr>
          </w:p>
        </w:tc>
        <w:tc>
          <w:tcPr>
            <w:tcW w:w="134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380" w:type="dxa"/>
            <w:vAlign w:val="bottom"/>
            <w:tcBorders>
              <w:bottom w:val="single" w:sz="8" w:color="auto"/>
            </w:tcBorders>
            <w:shd w:val="clear" w:color="auto" w:fill="CCEEFF"/>
          </w:tcPr>
          <w:p>
            <w:pPr>
              <w:spacing w:after="0"/>
              <w:rPr>
                <w:sz w:val="7"/>
                <w:szCs w:val="7"/>
                <w:color w:val="auto"/>
              </w:rPr>
            </w:pPr>
          </w:p>
        </w:tc>
        <w:tc>
          <w:tcPr>
            <w:tcW w:w="28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r>
      <w:tr>
        <w:trPr>
          <w:trHeight w:val="197"/>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165,056</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177,243</w:t>
            </w:r>
          </w:p>
        </w:tc>
        <w:tc>
          <w:tcPr>
            <w:tcW w:w="2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252,203</w:t>
            </w:r>
          </w:p>
        </w:tc>
        <w:tc>
          <w:tcPr>
            <w:tcW w:w="2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313,069</w:t>
            </w:r>
          </w:p>
        </w:tc>
      </w:tr>
      <w:tr>
        <w:trPr>
          <w:trHeight w:val="210"/>
        </w:trPr>
        <w:tc>
          <w:tcPr>
            <w:tcW w:w="3960" w:type="dxa"/>
            <w:vAlign w:val="bottom"/>
            <w:shd w:val="clear" w:color="auto" w:fill="CCEEFF"/>
          </w:tcPr>
          <w:p>
            <w:pPr>
              <w:ind w:left="140"/>
              <w:spacing w:after="0" w:line="209"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0"/>
                <w:szCs w:val="20"/>
                <w:color w:val="auto"/>
                <w:vertAlign w:val="superscript"/>
              </w:rPr>
              <w:t>1</w:t>
            </w: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1,736</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2,752</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960" w:type="dxa"/>
            <w:vAlign w:val="bottom"/>
            <w:tcBorders>
              <w:bottom w:val="single" w:sz="8" w:color="auto"/>
            </w:tcBorders>
          </w:tcPr>
          <w:p>
            <w:pPr>
              <w:ind w:left="140"/>
              <w:spacing w:after="0" w:line="207" w:lineRule="exact"/>
              <w:rPr>
                <w:sz w:val="20"/>
                <w:szCs w:val="20"/>
                <w:color w:val="auto"/>
              </w:rPr>
            </w:pPr>
            <w:r>
              <w:rPr>
                <w:rFonts w:ascii="Times New Roman" w:cs="Times New Roman" w:eastAsia="Times New Roman" w:hAnsi="Times New Roman"/>
                <w:sz w:val="16"/>
                <w:szCs w:val="16"/>
                <w:color w:val="auto"/>
              </w:rPr>
              <w:t>Litigation settlement, net</w:t>
            </w:r>
            <w:r>
              <w:rPr>
                <w:rFonts w:ascii="Times New Roman" w:cs="Times New Roman" w:eastAsia="Times New Roman" w:hAnsi="Times New Roman"/>
                <w:sz w:val="20"/>
                <w:szCs w:val="20"/>
                <w:color w:val="auto"/>
                <w:vertAlign w:val="superscript"/>
              </w:rPr>
              <w:t>2</w:t>
            </w:r>
          </w:p>
        </w:tc>
        <w:tc>
          <w:tcPr>
            <w:tcW w:w="1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(17,075)</w:t>
            </w:r>
          </w:p>
        </w:tc>
      </w:tr>
      <w:tr>
        <w:trPr>
          <w:trHeight w:val="197"/>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earnings before income taxes</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166,792</w:t>
            </w:r>
          </w:p>
        </w:tc>
        <w:tc>
          <w:tcPr>
            <w:tcW w:w="2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177,243</w:t>
            </w:r>
          </w:p>
        </w:tc>
        <w:tc>
          <w:tcPr>
            <w:tcW w:w="2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254,955</w:t>
            </w:r>
          </w:p>
        </w:tc>
        <w:tc>
          <w:tcPr>
            <w:tcW w:w="2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295,994</w:t>
            </w:r>
          </w:p>
        </w:tc>
      </w:tr>
      <w:tr>
        <w:trPr>
          <w:trHeight w:val="86"/>
        </w:trPr>
        <w:tc>
          <w:tcPr>
            <w:tcW w:w="396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r>
      <w:tr>
        <w:trPr>
          <w:trHeight w:val="20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131,125</w:t>
            </w:r>
          </w:p>
        </w:tc>
        <w:tc>
          <w:tcPr>
            <w:tcW w:w="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142,171</w:t>
            </w:r>
          </w:p>
        </w:tc>
        <w:tc>
          <w:tcPr>
            <w:tcW w:w="2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200,635</w:t>
            </w:r>
          </w:p>
        </w:tc>
        <w:tc>
          <w:tcPr>
            <w:tcW w:w="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253,452</w:t>
            </w:r>
          </w:p>
        </w:tc>
      </w:tr>
      <w:tr>
        <w:trPr>
          <w:trHeight w:val="207"/>
        </w:trPr>
        <w:tc>
          <w:tcPr>
            <w:tcW w:w="3960" w:type="dxa"/>
            <w:vAlign w:val="bottom"/>
          </w:tcPr>
          <w:p>
            <w:pPr>
              <w:ind w:left="140"/>
              <w:spacing w:after="0" w:line="207"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0"/>
                <w:szCs w:val="20"/>
                <w:color w:val="auto"/>
                <w:vertAlign w:val="superscript"/>
              </w:rPr>
              <w:t>1</w:t>
            </w:r>
          </w:p>
        </w:tc>
        <w:tc>
          <w:tcPr>
            <w:tcW w:w="1140" w:type="dxa"/>
            <w:vAlign w:val="bottom"/>
          </w:tcPr>
          <w:p>
            <w:pPr>
              <w:spacing w:after="0"/>
              <w:rPr>
                <w:sz w:val="17"/>
                <w:szCs w:val="17"/>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1,375</w:t>
            </w:r>
          </w:p>
        </w:tc>
        <w:tc>
          <w:tcPr>
            <w:tcW w:w="240" w:type="dxa"/>
            <w:vAlign w:val="bottom"/>
          </w:tcPr>
          <w:p>
            <w:pPr>
              <w:spacing w:after="0"/>
              <w:rPr>
                <w:sz w:val="17"/>
                <w:szCs w:val="17"/>
                <w:color w:val="auto"/>
              </w:rPr>
            </w:pPr>
          </w:p>
        </w:tc>
        <w:tc>
          <w:tcPr>
            <w:tcW w:w="13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2,179</w:t>
            </w:r>
          </w:p>
        </w:tc>
        <w:tc>
          <w:tcPr>
            <w:tcW w:w="24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960" w:type="dxa"/>
            <w:vAlign w:val="bottom"/>
            <w:shd w:val="clear" w:color="auto" w:fill="CCEEFF"/>
          </w:tcPr>
          <w:p>
            <w:pPr>
              <w:ind w:left="140"/>
              <w:spacing w:after="0" w:line="207" w:lineRule="exact"/>
              <w:rPr>
                <w:sz w:val="20"/>
                <w:szCs w:val="20"/>
                <w:color w:val="auto"/>
              </w:rPr>
            </w:pPr>
            <w:r>
              <w:rPr>
                <w:rFonts w:ascii="Times New Roman" w:cs="Times New Roman" w:eastAsia="Times New Roman" w:hAnsi="Times New Roman"/>
                <w:sz w:val="16"/>
                <w:szCs w:val="16"/>
                <w:color w:val="auto"/>
              </w:rPr>
              <w:t>Litigation settlement, net</w:t>
            </w:r>
            <w:r>
              <w:rPr>
                <w:rFonts w:ascii="Times New Roman" w:cs="Times New Roman" w:eastAsia="Times New Roman" w:hAnsi="Times New Roman"/>
                <w:sz w:val="20"/>
                <w:szCs w:val="20"/>
                <w:color w:val="auto"/>
                <w:vertAlign w:val="superscript"/>
              </w:rPr>
              <w:t>2</w:t>
            </w:r>
          </w:p>
        </w:tc>
        <w:tc>
          <w:tcPr>
            <w:tcW w:w="1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(17)</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(13,472)</w:t>
            </w:r>
          </w:p>
        </w:tc>
      </w:tr>
      <w:tr>
        <w:trPr>
          <w:trHeight w:val="207"/>
        </w:trPr>
        <w:tc>
          <w:tcPr>
            <w:tcW w:w="3960" w:type="dxa"/>
            <w:vAlign w:val="bottom"/>
            <w:tcBorders>
              <w:bottom w:val="single" w:sz="8" w:color="auto"/>
            </w:tcBorders>
          </w:tcPr>
          <w:p>
            <w:pPr>
              <w:ind w:left="140"/>
              <w:spacing w:after="0" w:line="207"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0"/>
                <w:szCs w:val="20"/>
                <w:color w:val="auto"/>
                <w:vertAlign w:val="superscript"/>
              </w:rPr>
              <w:t>3</w:t>
            </w:r>
          </w:p>
        </w:tc>
        <w:tc>
          <w:tcPr>
            <w:tcW w:w="1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(367)</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(1,871)</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(987)</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(6,449)</w:t>
            </w:r>
          </w:p>
        </w:tc>
      </w:tr>
      <w:tr>
        <w:trPr>
          <w:trHeight w:val="222"/>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earnings</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132,133</w:t>
            </w:r>
          </w:p>
        </w:tc>
        <w:tc>
          <w:tcPr>
            <w:tcW w:w="2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140,283</w:t>
            </w:r>
          </w:p>
        </w:tc>
        <w:tc>
          <w:tcPr>
            <w:tcW w:w="2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201,827</w:t>
            </w:r>
          </w:p>
        </w:tc>
        <w:tc>
          <w:tcPr>
            <w:tcW w:w="2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233,531</w:t>
            </w: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39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0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per diluted share</w:t>
            </w: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1.24</w:t>
            </w:r>
          </w:p>
        </w:tc>
        <w:tc>
          <w:tcPr>
            <w:tcW w:w="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1.31</w:t>
            </w:r>
          </w:p>
        </w:tc>
        <w:tc>
          <w:tcPr>
            <w:tcW w:w="2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1.89</w:t>
            </w:r>
          </w:p>
        </w:tc>
        <w:tc>
          <w:tcPr>
            <w:tcW w:w="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2.32</w:t>
            </w:r>
          </w:p>
        </w:tc>
      </w:tr>
      <w:tr>
        <w:trPr>
          <w:trHeight w:val="207"/>
        </w:trPr>
        <w:tc>
          <w:tcPr>
            <w:tcW w:w="3960" w:type="dxa"/>
            <w:vAlign w:val="bottom"/>
          </w:tcPr>
          <w:p>
            <w:pPr>
              <w:ind w:left="140"/>
              <w:spacing w:after="0" w:line="207" w:lineRule="exact"/>
              <w:rPr>
                <w:sz w:val="20"/>
                <w:szCs w:val="20"/>
                <w:color w:val="auto"/>
              </w:rPr>
            </w:pPr>
            <w:r>
              <w:rPr>
                <w:rFonts w:ascii="Times New Roman" w:cs="Times New Roman" w:eastAsia="Times New Roman" w:hAnsi="Times New Roman"/>
                <w:sz w:val="16"/>
                <w:szCs w:val="16"/>
                <w:color w:val="auto"/>
              </w:rPr>
              <w:t>Acquisition-related costs</w:t>
            </w:r>
            <w:r>
              <w:rPr>
                <w:rFonts w:ascii="Times New Roman" w:cs="Times New Roman" w:eastAsia="Times New Roman" w:hAnsi="Times New Roman"/>
                <w:sz w:val="20"/>
                <w:szCs w:val="20"/>
                <w:color w:val="auto"/>
                <w:vertAlign w:val="superscript"/>
              </w:rPr>
              <w:t>1</w:t>
            </w:r>
          </w:p>
        </w:tc>
        <w:tc>
          <w:tcPr>
            <w:tcW w:w="1140" w:type="dxa"/>
            <w:vAlign w:val="bottom"/>
          </w:tcPr>
          <w:p>
            <w:pPr>
              <w:spacing w:after="0"/>
              <w:rPr>
                <w:sz w:val="17"/>
                <w:szCs w:val="17"/>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0.01</w:t>
            </w:r>
          </w:p>
        </w:tc>
        <w:tc>
          <w:tcPr>
            <w:tcW w:w="240" w:type="dxa"/>
            <w:vAlign w:val="bottom"/>
          </w:tcPr>
          <w:p>
            <w:pPr>
              <w:spacing w:after="0"/>
              <w:rPr>
                <w:sz w:val="17"/>
                <w:szCs w:val="17"/>
                <w:color w:val="auto"/>
              </w:rPr>
            </w:pPr>
          </w:p>
        </w:tc>
        <w:tc>
          <w:tcPr>
            <w:tcW w:w="138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3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0.03</w:t>
            </w:r>
          </w:p>
        </w:tc>
        <w:tc>
          <w:tcPr>
            <w:tcW w:w="240" w:type="dxa"/>
            <w:vAlign w:val="bottom"/>
          </w:tcPr>
          <w:p>
            <w:pPr>
              <w:spacing w:after="0"/>
              <w:rPr>
                <w:sz w:val="17"/>
                <w:szCs w:val="17"/>
                <w:color w:val="auto"/>
              </w:rPr>
            </w:pPr>
          </w:p>
        </w:tc>
        <w:tc>
          <w:tcPr>
            <w:tcW w:w="130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3960" w:type="dxa"/>
            <w:vAlign w:val="bottom"/>
            <w:shd w:val="clear" w:color="auto" w:fill="CCEEFF"/>
          </w:tcPr>
          <w:p>
            <w:pPr>
              <w:ind w:left="140"/>
              <w:spacing w:after="0" w:line="207" w:lineRule="exact"/>
              <w:rPr>
                <w:sz w:val="20"/>
                <w:szCs w:val="20"/>
                <w:color w:val="auto"/>
              </w:rPr>
            </w:pPr>
            <w:r>
              <w:rPr>
                <w:rFonts w:ascii="Times New Roman" w:cs="Times New Roman" w:eastAsia="Times New Roman" w:hAnsi="Times New Roman"/>
                <w:sz w:val="16"/>
                <w:szCs w:val="16"/>
                <w:color w:val="auto"/>
              </w:rPr>
              <w:t>Litigation settlement, net</w:t>
            </w:r>
            <w:r>
              <w:rPr>
                <w:rFonts w:ascii="Times New Roman" w:cs="Times New Roman" w:eastAsia="Times New Roman" w:hAnsi="Times New Roman"/>
                <w:sz w:val="20"/>
                <w:szCs w:val="20"/>
                <w:color w:val="auto"/>
                <w:vertAlign w:val="superscript"/>
              </w:rPr>
              <w:t>2</w:t>
            </w:r>
          </w:p>
        </w:tc>
        <w:tc>
          <w:tcPr>
            <w:tcW w:w="1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(0.13)</w:t>
            </w:r>
          </w:p>
        </w:tc>
      </w:tr>
      <w:tr>
        <w:trPr>
          <w:trHeight w:val="207"/>
        </w:trPr>
        <w:tc>
          <w:tcPr>
            <w:tcW w:w="3960" w:type="dxa"/>
            <w:vAlign w:val="bottom"/>
            <w:tcBorders>
              <w:bottom w:val="single" w:sz="8" w:color="auto"/>
            </w:tcBorders>
          </w:tcPr>
          <w:p>
            <w:pPr>
              <w:ind w:left="140"/>
              <w:spacing w:after="0" w:line="207"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0"/>
                <w:szCs w:val="20"/>
                <w:color w:val="auto"/>
                <w:vertAlign w:val="superscript"/>
              </w:rPr>
              <w:t>3</w:t>
            </w:r>
          </w:p>
        </w:tc>
        <w:tc>
          <w:tcPr>
            <w:tcW w:w="1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(0.02)</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rPr>
              <w:t>(0.01)</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(0.05)</w:t>
            </w:r>
          </w:p>
        </w:tc>
      </w:tr>
      <w:tr>
        <w:trPr>
          <w:trHeight w:val="222"/>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earnings per diluted share</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1.25</w:t>
            </w:r>
          </w:p>
        </w:tc>
        <w:tc>
          <w:tcPr>
            <w:tcW w:w="2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1.29</w:t>
            </w:r>
          </w:p>
        </w:tc>
        <w:tc>
          <w:tcPr>
            <w:tcW w:w="2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1.91</w:t>
            </w:r>
          </w:p>
        </w:tc>
        <w:tc>
          <w:tcPr>
            <w:tcW w:w="2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2.14</w:t>
            </w: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2"/>
        </w:trPr>
        <w:tc>
          <w:tcPr>
            <w:tcW w:w="39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0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14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20.6 %</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19.8 %</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20.4 %</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19.0 %</w:t>
            </w:r>
          </w:p>
        </w:tc>
      </w:tr>
      <w:tr>
        <w:trPr>
          <w:trHeight w:val="207"/>
        </w:trPr>
        <w:tc>
          <w:tcPr>
            <w:tcW w:w="3960" w:type="dxa"/>
            <w:vAlign w:val="bottom"/>
            <w:tcBorders>
              <w:bottom w:val="single" w:sz="8" w:color="auto"/>
            </w:tcBorders>
          </w:tcPr>
          <w:p>
            <w:pPr>
              <w:ind w:left="140"/>
              <w:spacing w:after="0" w:line="207" w:lineRule="exact"/>
              <w:rPr>
                <w:sz w:val="20"/>
                <w:szCs w:val="20"/>
                <w:color w:val="auto"/>
              </w:rPr>
            </w:pPr>
            <w:r>
              <w:rPr>
                <w:rFonts w:ascii="Times New Roman" w:cs="Times New Roman" w:eastAsia="Times New Roman" w:hAnsi="Times New Roman"/>
                <w:sz w:val="16"/>
                <w:szCs w:val="16"/>
                <w:color w:val="auto"/>
              </w:rPr>
              <w:t>Tax impact of stock-based compensation</w:t>
            </w:r>
            <w:r>
              <w:rPr>
                <w:rFonts w:ascii="Times New Roman" w:cs="Times New Roman" w:eastAsia="Times New Roman" w:hAnsi="Times New Roman"/>
                <w:sz w:val="20"/>
                <w:szCs w:val="20"/>
                <w:color w:val="auto"/>
                <w:vertAlign w:val="superscript"/>
              </w:rPr>
              <w:t>3</w:t>
            </w:r>
          </w:p>
        </w:tc>
        <w:tc>
          <w:tcPr>
            <w:tcW w:w="1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0.2 %</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1.1 %</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0.4 %</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22"/>
        </w:trPr>
        <w:tc>
          <w:tcPr>
            <w:tcW w:w="3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effective tax rate</w:t>
            </w:r>
          </w:p>
        </w:tc>
        <w:tc>
          <w:tcPr>
            <w:tcW w:w="1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20.8 %</w:t>
            </w: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20.9 %</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20.8 %</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r>
      <w:tr>
        <w:trPr>
          <w:trHeight w:val="20"/>
        </w:trPr>
        <w:tc>
          <w:tcPr>
            <w:tcW w:w="39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left="240" w:right="160" w:hanging="159"/>
        <w:spacing w:after="0" w:line="234" w:lineRule="auto"/>
        <w:tabs>
          <w:tab w:leader="none" w:pos="227"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On January 13, 2022, we completed our acquisition of Intimidator. Acquisition-related costs for the three month period ended April 29, 2022 represent integration costs incurred for our acquisition of Intimidator. Acquisition-related costs for the six month period ended April 29, 2022 represent transaction and integration costs incurred for our acquisition of Intimidator. No acquisition-related costs were incurred during the three and six month periods ended April 30, 2021. For additional information regarding the acquisition of Intimidator, refer to Note 2, </w:t>
      </w:r>
      <w:r>
        <w:rPr>
          <w:rFonts w:ascii="Times New Roman" w:cs="Times New Roman" w:eastAsia="Times New Roman" w:hAnsi="Times New Roman"/>
          <w:sz w:val="15"/>
          <w:szCs w:val="15"/>
          <w:i w:val="1"/>
          <w:iCs w:val="1"/>
          <w:color w:val="auto"/>
        </w:rPr>
        <w:t>Business Combination</w:t>
      </w:r>
      <w:r>
        <w:rPr>
          <w:rFonts w:ascii="Times New Roman" w:cs="Times New Roman" w:eastAsia="Times New Roman" w:hAnsi="Times New Roman"/>
          <w:sz w:val="15"/>
          <w:szCs w:val="15"/>
          <w:color w:val="auto"/>
        </w:rPr>
        <w:t>, within the Notes to Condensed Consolidated Financial Statements included within Part I, Item 1, "Financial Statements" of this Quarterly Report on Form 10-Q.</w:t>
      </w:r>
    </w:p>
    <w:p>
      <w:pPr>
        <w:spacing w:after="0" w:line="96" w:lineRule="exact"/>
        <w:rPr>
          <w:sz w:val="20"/>
          <w:szCs w:val="20"/>
          <w:color w:val="auto"/>
        </w:rPr>
      </w:pPr>
    </w:p>
    <w:p>
      <w:pPr>
        <w:jc w:val="both"/>
        <w:ind w:left="240" w:right="160" w:hanging="159"/>
        <w:spacing w:after="0" w:line="239" w:lineRule="auto"/>
        <w:tabs>
          <w:tab w:leader="none" w:pos="316"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On November 19, 2020, Exmark Manufacturing Company Incorporated ("Exmark"), a wholly-owned subsidiary of TTC,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The Settlement Agreement provided, among other things, that upon approval by the bankruptcy court, and such approval becoming final and nonappealable, BGG agreed to pay Exmark $33.65 million ("Settlement Amount"). During January 2021, the first quarter of fiscal 2021, the Settlement Amount was received by Exmark in connection with the settlement of the Infringement Action and at such time, the underlying events and contingencies associated with the gain contingency related to the Infringement Action were satisfied. As such, we recognized in selling, general and administrative expense within the Condensed Consolidated Statements of Earnings during the first quarter of fiscal 2021 (i) the gain associated with the Infringement Action and (ii) a corresponding expense related to the contingent fee arrangement with our external legal counsel customary in patent infringement cases equal to approximately 50 percent of the Settlement Amount. Accordingly, litigation settlement, net represents the net amount recorded within selling, general and administrative expense in the Condensed Consolidated Statements of Earnings for the settlement of the Infringement Action during the six month period ended April 30, 2021. No amounts were recorded for litigation settlement, net during the three month period ended April 30, 2021 or the three and six month periods ended April 29, 2022. Refer to Note 14, </w:t>
      </w:r>
      <w:r>
        <w:rPr>
          <w:rFonts w:ascii="Times New Roman" w:cs="Times New Roman" w:eastAsia="Times New Roman" w:hAnsi="Times New Roman"/>
          <w:sz w:val="15"/>
          <w:szCs w:val="15"/>
          <w:i w:val="1"/>
          <w:iCs w:val="1"/>
          <w:color w:val="auto"/>
        </w:rPr>
        <w:t>Contingencies</w:t>
      </w:r>
      <w:r>
        <w:rPr>
          <w:rFonts w:ascii="Times New Roman" w:cs="Times New Roman" w:eastAsia="Times New Roman" w:hAnsi="Times New Roman"/>
          <w:sz w:val="15"/>
          <w:szCs w:val="15"/>
          <w:color w:val="auto"/>
        </w:rPr>
        <w:t>, for additional information regarding the settlement of the Infringement Action.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240" w:right="160" w:hanging="159"/>
        <w:spacing w:after="0" w:line="234" w:lineRule="auto"/>
        <w:tabs>
          <w:tab w:leader="none" w:pos="266"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can be unpredictable and can significantly impact our net earnings, net earnings per diluted share, and effective tax rate. These amounts represent the discrete tax benefits recorded as excess tax deductions for stock-based compensation during the three and six month periods ended April 29, 2022 and April 30, 2021.</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Reconciliation of Non-GAAP Liquidity Measures</w:t>
      </w:r>
    </w:p>
    <w:p>
      <w:pPr>
        <w:spacing w:after="0" w:line="17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define non-GAAP free cash flow as net cash provided by operating activities less purchases of property, plant and equipment. Non-GAAP free cash flow conversion percentage represents non-GAAP free cash flow as a percentage of net earnings. We consider non-GAAP free cash flow and non-GAAP free cash flow conversion percentage to be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Condensed Consolidated Balance Sheets, after reinvesting in necessary capital expenditures required to maintain and grow our business. The following table provides a reconciliation of net cash provided by operating activities, the most directly comparable GAAP financial measure, to non-GAAP free cash flow for the six month periods ended April 29, 2022 and April 30, 2021:</w:t>
      </w:r>
    </w:p>
    <w:p>
      <w:pPr>
        <w:spacing w:after="0" w:line="113"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0"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5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w:t>
            </w:r>
          </w:p>
        </w:tc>
        <w:tc>
          <w:tcPr>
            <w:tcW w:w="25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April 29, 2022</w:t>
            </w:r>
          </w:p>
        </w:tc>
        <w:tc>
          <w:tcPr>
            <w:tcW w:w="2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April 30, 2021</w:t>
            </w:r>
          </w:p>
        </w:tc>
      </w:tr>
      <w:tr>
        <w:trPr>
          <w:trHeight w:val="20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5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42,864</w:t>
            </w:r>
          </w:p>
        </w:tc>
        <w:tc>
          <w:tcPr>
            <w:tcW w:w="2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318,619</w:t>
            </w:r>
          </w:p>
        </w:tc>
      </w:tr>
      <w:tr>
        <w:trPr>
          <w:trHeight w:val="204"/>
        </w:trPr>
        <w:tc>
          <w:tcPr>
            <w:tcW w:w="5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Less: Purchases of property, plant and equipment</w:t>
            </w:r>
          </w:p>
        </w:tc>
        <w:tc>
          <w:tcPr>
            <w:tcW w:w="2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35,969</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26,198</w:t>
            </w:r>
          </w:p>
        </w:tc>
      </w:tr>
      <w:tr>
        <w:trPr>
          <w:trHeight w:val="20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free cash flow</w:t>
            </w:r>
          </w:p>
        </w:tc>
        <w:tc>
          <w:tcPr>
            <w:tcW w:w="25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6,895</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292,421</w:t>
            </w:r>
          </w:p>
        </w:tc>
      </w:tr>
      <w:tr>
        <w:trPr>
          <w:trHeight w:val="204"/>
        </w:trPr>
        <w:tc>
          <w:tcPr>
            <w:tcW w:w="5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5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rPr>
              <w:t>200,635</w:t>
            </w:r>
          </w:p>
        </w:tc>
        <w:tc>
          <w:tcPr>
            <w:tcW w:w="2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253,452</w:t>
            </w:r>
          </w:p>
        </w:tc>
      </w:tr>
      <w:tr>
        <w:trPr>
          <w:trHeight w:val="225"/>
        </w:trPr>
        <w:tc>
          <w:tcPr>
            <w:tcW w:w="5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free cash flow conversion percentage</w:t>
            </w:r>
          </w:p>
        </w:tc>
        <w:tc>
          <w:tcPr>
            <w:tcW w:w="2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115.4 %</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There have been no material changes to our critical accounting policies and estimates since our most recent Annual Report on Form 10-K for the fiscal year ended October 31, 2021. Refer to Part II, Item 7, "Management’s Discussion and Analysis of Financial Condition and Results of Operations", and Part II, Item 8, Note 1, </w:t>
      </w:r>
      <w:r>
        <w:rPr>
          <w:rFonts w:ascii="Times New Roman" w:cs="Times New Roman" w:eastAsia="Times New Roman" w:hAnsi="Times New Roman"/>
          <w:sz w:val="17"/>
          <w:szCs w:val="17"/>
          <w:i w:val="1"/>
          <w:iCs w:val="1"/>
          <w:color w:val="auto"/>
        </w:rPr>
        <w:t>Summary of Significant Accounting Policies and Related Data</w:t>
      </w:r>
      <w:r>
        <w:rPr>
          <w:rFonts w:ascii="Times New Roman" w:cs="Times New Roman" w:eastAsia="Times New Roman" w:hAnsi="Times New Roman"/>
          <w:sz w:val="17"/>
          <w:szCs w:val="17"/>
          <w:color w:val="auto"/>
        </w:rPr>
        <w:t>, within our Annual Report on Form 10-K for the fiscal year ended October 31, 2021 for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discussion of our critical accounting policies and estimates.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 QUANTITATIVE AND QUALITATIVE DISCLOSURES ABOUT MARKET RISK</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2021. Refer to Part II, Item 7A, "Quantitative and Qualitative Disclosures about Market Risk", within our Annual Report on Form 10-K for the fiscal year ended October 31, 2021 for a complete discussion of our market risk. Refer below for further discussion on foreign currency exchange rate risk, interest rate risk, and commodity cost risk.</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Exchange Rate Risk</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7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To reduce our exposure to foreign currency exchange rate risk, we enter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see Note 16, </w:t>
      </w:r>
      <w:r>
        <w:rPr>
          <w:rFonts w:ascii="Times New Roman" w:cs="Times New Roman" w:eastAsia="Times New Roman" w:hAnsi="Times New Roman"/>
          <w:sz w:val="17"/>
          <w:szCs w:val="17"/>
          <w:i w:val="1"/>
          <w:iCs w:val="1"/>
          <w:color w:val="auto"/>
        </w:rPr>
        <w:t>Derivative Instruments and Hedging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Activities</w:t>
      </w:r>
      <w:r>
        <w:rPr>
          <w:rFonts w:ascii="Times New Roman" w:cs="Times New Roman" w:eastAsia="Times New Roman" w:hAnsi="Times New Roman"/>
          <w:sz w:val="17"/>
          <w:szCs w:val="17"/>
          <w:color w:val="auto"/>
        </w:rPr>
        <w:t>, in our Notes to Condensed Consolidated Financial Statements included in Part I, Item 1 of this Quarterly Report on Form 10-Q.</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foreign currency exchange contracts in the table below have maturity dates in fiscal 2022 through fiscal 2024. All items are non-trading and stated in U.S. dollars. As of April 29, 2022, the average contracted rate, notional amount, fair value, and the gain at fair value of outstanding derivative instruments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8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Average Contracted</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18"/>
        </w:trPr>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(Dollars in thousands, except average contracted rate)</w:t>
            </w:r>
          </w:p>
        </w:tc>
        <w:tc>
          <w:tcPr>
            <w:tcW w:w="2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Rate</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Notional Amount</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Gain at Fair Value</w:t>
            </w:r>
          </w:p>
        </w:tc>
      </w:tr>
      <w:tr>
        <w:trPr>
          <w:trHeight w:val="201"/>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Australian dollar</w:t>
            </w:r>
          </w:p>
        </w:tc>
        <w:tc>
          <w:tcPr>
            <w:tcW w:w="2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0.7296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104,182</w:t>
            </w:r>
          </w:p>
        </w:tc>
        <w:tc>
          <w:tcPr>
            <w:tcW w:w="3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106,569</w:t>
            </w:r>
          </w:p>
        </w:tc>
        <w:tc>
          <w:tcPr>
            <w:tcW w:w="6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w:t>
            </w: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Canadian dollar</w:t>
            </w:r>
          </w:p>
        </w:tc>
        <w:tc>
          <w:tcPr>
            <w:tcW w:w="2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1.2703</w:t>
            </w:r>
          </w:p>
        </w:tc>
        <w:tc>
          <w:tcPr>
            <w:tcW w:w="16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39,236</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39,599</w:t>
            </w: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07"/>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U.S. dollar/Sell Euro</w:t>
            </w:r>
          </w:p>
        </w:tc>
        <w:tc>
          <w:tcPr>
            <w:tcW w:w="2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1.1750</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159,758</w:t>
            </w: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172,683</w:t>
            </w:r>
          </w:p>
        </w:tc>
        <w:tc>
          <w:tcPr>
            <w:tcW w:w="6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12,925</w:t>
            </w: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Buy U.S. dollar/Sell British pound</w:t>
            </w:r>
          </w:p>
        </w:tc>
        <w:tc>
          <w:tcPr>
            <w:tcW w:w="2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1.3190</w:t>
            </w:r>
          </w:p>
        </w:tc>
        <w:tc>
          <w:tcPr>
            <w:tcW w:w="16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47,643</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49,728</w:t>
            </w: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w:t>
            </w:r>
          </w:p>
        </w:tc>
      </w:tr>
      <w:tr>
        <w:trPr>
          <w:trHeight w:val="207"/>
        </w:trPr>
        <w:tc>
          <w:tcPr>
            <w:tcW w:w="4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Buy Mexican peso/Sell U.S. dollar</w:t>
            </w:r>
          </w:p>
        </w:tc>
        <w:tc>
          <w:tcPr>
            <w:tcW w:w="2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22.2973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40,384</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41,553</w:t>
            </w:r>
          </w:p>
        </w:tc>
        <w:tc>
          <w:tcPr>
            <w:tcW w:w="60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r>
    </w:tbl>
    <w:p>
      <w:pPr>
        <w:spacing w:after="0" w:line="17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Condensed Consolidated Balance Sheets, and would not impact net earnings.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Our interest rate risk relates primarily to fluctuations in variable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 Our indebtedness as of April 29, 2022 includes $424.1 million of gross fixed-rate long-term debt that is not subject to variable interest rate fluctuations, $470.0 million of gross variable rate debt under our term loan credit agreements, and $200.0 million outstanding on our variable rate revolving credit facility.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Commodity Cost Risk</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as a result of inflation; deflation; changing prices; foreign currency fluctuations; tariffs; duties; trade regulatory actions; industry actions; the inability of suppliers to absorb incremental costs resulting from COVID-19 related inefficiencies, continue operations or otherwise remain in business as a result of COVID-19, financial difficulties, or otherwise; and changes to international trade policies, agreements, and/or regulation and competitor activity, including antidumping and countervailing duties on certain products imported from foreign countries, including certain engines imported into the U.S. from China.</w:t>
      </w:r>
    </w:p>
    <w:p>
      <w:pPr>
        <w:spacing w:after="0" w:line="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primary cost exposures for commodities, components, parts, and accessories used in our products are with steel, aluminum, petroleum and natural gas-based resins, linerboard, copper, lead, rubber, engines, transmissions, transaxles, hydraulics, electrification components, and others. Our largest spend for commodities, components, parts, and accessories are generally for steel, engines, hydraulic components, transmissions, resin, aluminum, and electrification components,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any given period, we strategically work to mitigate any potential unfavorable impact as a result of changes to the cost of commodities, components, parts, and accessories that affect our product lines through our productivity initiatives; however, our productivity initiatives may not be as effective as anticipated depending on macroeconomic cost trends for commodities, components, parts, and accessories costs and/or other factors. Our productivity initiatives include, but are not limited to, collaborating with suppliers, reviewing alternative sourcing options, substituting materials, utilizing Lean methods, engaging in internal cost reduction efforts, and utilizing tariff exclusions and duty drawback mechanisms, all as appropriate. When appropriate, we may also increase prices on some of our products to offset changes in the cost of commodities, components, parts, and accessories. To the extent that commodity or component costs increase and we do not have firm pricing from our suppliers, or our suppliers are not able to honor such prices, and/or our productivity initiatives and/or product price increases are less effective than anticipated and/or do not fully offset cost increases, we may experience a decline in our gross margins. In the first six months of fiscal 2022, the average cost of commodities, components, parts, and accessories purchased, including the impact of inflation and tariff costs, was significantly higher compared to the average cost of commodities, components, parts, and accessories purchased in the first six months of fiscal 2021. We anticipate that the average cost of commodities,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components, parts, and accessories purchased, including the impact of inflation and tariff costs, for the remainder of fiscal 2022 will continue to be significantly higher than the average costs experienced during the comparable period of fiscal 2021.</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Our management evaluated, with the participation of our Chairman of the Board, President and Chief Executive Officer and our Vice President, Chief Financial Officer, the effectiveness of the design and operation of our disclosure controls and procedures as of the end of the period covered by this Quarterly Report on Form 10-Q. Based on that evaluation, our Chairman of the Board, President and Chief Executive Officer and our Vice President,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the Chairman of the Board, President and Chief Executive Officer and Vice President, Chief Financial Officer, as appropriate, to allow timely decisions regarding required disclosures.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1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On January 13, 2022, during the first quarter of fiscal 2022, we completed the acquisition of Intimidator. Prior to this acquisition, Intimidator was a privately-held company not subject to the Sarbanes-Oxley Act of 2002, the rules and regulations of the SEC, or other corporate governance requirements to which public companies may be subject. In accordance with guidance issued by the SEC, companies are permitted to exclude acquisitions from their final assessment of internal control over financial reporting during the year of acquisition. As part of our ongoing integration activities, we are in the process of incorporating internal controls over significant processes specific to Intimidator that we believe are appropriate and necessary to account for the acquisition and to consolidate and report our financial results. We expect to complete our integration activities related to internal control over financial reporting for Intimidator during fiscal 2023. Accordingly, we do not expect to include Intimidator within our assessment of internal control over financial reporting as of October 31, 2022.</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With the exception of internal control related integration activities associated with our acquisition of Intimidator, there was no change in our internal control over financial reporting that occurred during the three month period ended April 29, 2022 that has materially affected, or is reasonably likely to materially affect, our internal control over financial reporting.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 LEGAL PROCEEDINGS</w:t>
      </w:r>
    </w:p>
    <w:p>
      <w:pPr>
        <w:spacing w:after="0" w:line="1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 xml:space="preserve">From time to time, 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and employment-related disputes, and patent litigation cases. For a description of our material legal proceedings, see Note 14,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in our Notes to Condensed Consolidated Financial Statements under the headings titled "Litigation" and "Litigation Settlement" included in Part I, Item 1 of this Quarterly Report on Form 10-Q, which is incorporated into this Part II, Item 1 by reference.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1A. RISK FACTORS</w:t>
      </w:r>
    </w:p>
    <w:p>
      <w:pPr>
        <w:spacing w:after="0" w:line="1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7"/>
          <w:szCs w:val="17"/>
          <w:color w:val="auto"/>
        </w:rPr>
        <w:t>We are affected by risks specific to us, as well as factors that affect all businesses operating in a global market. The material risk factors known to us that could materially adversely affect our business, reputation, industry, operating results, or financial position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 with the exception of the addition of the following risk factor:</w:t>
      </w:r>
    </w:p>
    <w:p>
      <w:pPr>
        <w:spacing w:after="0" w:line="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Our recent acquisition of Intimidator involves a number of risks, the occurrence of which could adversely affect our business, financial condition, and results of operations.</w:t>
      </w:r>
    </w:p>
    <w:p>
      <w:pPr>
        <w:spacing w:after="0" w:line="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On January 13, 2022, we acquired privately-held Intimidator. The acquisition involves certain risks, the occurrence of which could adversely affect our business, financial condition, and results of operations, including:</w:t>
      </w:r>
    </w:p>
    <w:p>
      <w:pPr>
        <w:spacing w:after="0" w:line="61" w:lineRule="exact"/>
        <w:rPr>
          <w:sz w:val="20"/>
          <w:szCs w:val="20"/>
          <w:color w:val="auto"/>
        </w:rPr>
      </w:pPr>
    </w:p>
    <w:p>
      <w:pPr>
        <w:ind w:left="620" w:hanging="307"/>
        <w:spacing w:after="0" w:line="233"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Intimidator may have undisclosed, contingent, or other liabilities and we may not be able to recover some of the costs and expenses associated with these liabilities from insurance we obtained to cover breaches of representations and warranties or from indemnities in the equity agreement;</w:t>
      </w:r>
    </w:p>
    <w:p>
      <w:pPr>
        <w:ind w:left="620" w:hanging="307"/>
        <w:spacing w:after="0" w:line="237"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events occurring after the acquisition could result in costs and expenses that we cannot recover from the sellers or third-party sources;</w:t>
      </w:r>
    </w:p>
    <w:p>
      <w:pPr>
        <w:ind w:left="620" w:hanging="307"/>
        <w:spacing w:after="0" w:line="222"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our policies and procedures at Intimidator could be more costly than we anticipated and may be disruptive to Intimidator's operations;</w:t>
      </w:r>
    </w:p>
    <w:p>
      <w:pPr>
        <w:ind w:left="620" w:hanging="307"/>
        <w:spacing w:after="0" w:line="222"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to integrate Intimidator's business and operations and/or reallocation of amounts of capital from our other strategic initiatives;</w:t>
      </w:r>
    </w:p>
    <w:p>
      <w:pPr>
        <w:ind w:left="620" w:hanging="307"/>
        <w:spacing w:after="0" w:line="237"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 to our existing operations and plans or inability to effectively manage our expanded operations;</w:t>
      </w:r>
    </w:p>
    <w:p>
      <w:pPr>
        <w:ind w:left="620" w:hanging="307"/>
        <w:spacing w:after="0" w:line="222"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difficulties, or delays in securing, integrating, and assimilating information, financial systems, internal controls, operations, manufacturing processes, products, or the distribution channel for Intimidator's businesses and product lines;</w:t>
      </w:r>
    </w:p>
    <w:p>
      <w:pPr>
        <w:ind w:left="620" w:hanging="307"/>
        <w:spacing w:after="0" w:line="230"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loss of key Intimidator employees, suppliers, customers, or dealers or other adverse effects on existing business relationships with suppliers, customers, and dealers;</w:t>
      </w:r>
    </w:p>
    <w:p>
      <w:pPr>
        <w:ind w:left="620" w:hanging="307"/>
        <w:spacing w:after="0" w:line="222"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impact on overall profitability if our expanded operations do not achieve the growth prospects, net sales, earnings, cost or revenue synergies, or other financial results projected in our valuation models, or delays in the realization thereof;</w:t>
      </w:r>
    </w:p>
    <w:p>
      <w:pPr>
        <w:ind w:left="620" w:hanging="307"/>
        <w:spacing w:after="0" w:line="230"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incorrect estimates made in the accounting for the acquisition or the potential write-off of significant amounts of goodwill, intangible assets, and/or other tangible assets if the Intimidator business does not perform in the future as expected;</w:t>
      </w:r>
    </w:p>
    <w:p>
      <w:pPr>
        <w:jc w:val="both"/>
        <w:ind w:left="620" w:hanging="307"/>
        <w:spacing w:after="0" w:line="227"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 of our borrowing capacity under our existing unsecured senior revolving credit facility and the increase in our leverage and debt service requirements could restrict our ability to access additional capital when needed or to pursue other important elements of our business strategy because we financed a portion of the acquisition and related transaction expenses with borrowings under our existing unsecured senior revolving credit facility; and</w:t>
      </w: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mentioned in our most recently filed Annual Report on Form 10-K, Part 1, Item 1A, "Risk Factors".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p>
      <w:pPr>
        <w:spacing w:after="0" w:line="115"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The following table sets forth information with respect to shares of the company's common stock purchased by the company during each of the three fiscal months in the company's second quarter ended April 29,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820" w:type="dxa"/>
            <w:vAlign w:val="bottom"/>
            <w:tcBorders>
              <w:top w:val="single" w:sz="8" w:color="auto"/>
            </w:tcBorders>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Total Number of Shares</w:t>
            </w:r>
          </w:p>
        </w:tc>
        <w:tc>
          <w:tcPr>
            <w:tcW w:w="18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Maximum Number of</w:t>
            </w: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(or Units)</w:t>
            </w: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820" w:type="dxa"/>
            <w:vAlign w:val="bottom"/>
          </w:tcPr>
          <w:p>
            <w:pPr>
              <w:spacing w:after="0"/>
              <w:rPr>
                <w:sz w:val="14"/>
                <w:szCs w:val="14"/>
                <w:color w:val="auto"/>
              </w:rPr>
            </w:pPr>
          </w:p>
        </w:tc>
        <w:tc>
          <w:tcPr>
            <w:tcW w:w="2520" w:type="dxa"/>
            <w:vAlign w:val="bottom"/>
            <w:vMerge w:val="restart"/>
          </w:tcPr>
          <w:p>
            <w:pPr>
              <w:jc w:val="center"/>
              <w:ind w:left="94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220" w:type="dxa"/>
            <w:vAlign w:val="bottom"/>
          </w:tcPr>
          <w:p>
            <w:pPr>
              <w:spacing w:after="0"/>
              <w:rPr>
                <w:sz w:val="14"/>
                <w:szCs w:val="14"/>
                <w:color w:val="auto"/>
              </w:rPr>
            </w:pPr>
          </w:p>
        </w:tc>
        <w:tc>
          <w:tcPr>
            <w:tcW w:w="1000" w:type="dxa"/>
            <w:vAlign w:val="bottom"/>
          </w:tcPr>
          <w:p>
            <w:pPr>
              <w:jc w:val="center"/>
              <w:ind w:right="100"/>
              <w:spacing w:after="0" w:line="168"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18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Purchased As</w:t>
            </w:r>
          </w:p>
        </w:tc>
        <w:tc>
          <w:tcPr>
            <w:tcW w:w="180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w w:val="98"/>
              </w:rPr>
              <w:t>Shares (or Units) that</w:t>
            </w: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25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8"/>
              </w:rPr>
              <w:t>Price Paid</w:t>
            </w:r>
          </w:p>
        </w:tc>
        <w:tc>
          <w:tcPr>
            <w:tcW w:w="1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Part of Publicly</w:t>
            </w:r>
          </w:p>
        </w:tc>
        <w:tc>
          <w:tcPr>
            <w:tcW w:w="18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8"/>
              </w:rPr>
              <w:t>May Yet Be Purchased</w:t>
            </w:r>
          </w:p>
        </w:tc>
        <w:tc>
          <w:tcPr>
            <w:tcW w:w="0" w:type="dxa"/>
            <w:vAlign w:val="bottom"/>
          </w:tcPr>
          <w:p>
            <w:pPr>
              <w:spacing w:after="0"/>
              <w:rPr>
                <w:sz w:val="1"/>
                <w:szCs w:val="1"/>
                <w:color w:val="auto"/>
              </w:rPr>
            </w:pPr>
          </w:p>
        </w:tc>
      </w:tr>
      <w:tr>
        <w:trPr>
          <w:trHeight w:val="155"/>
        </w:trPr>
        <w:tc>
          <w:tcPr>
            <w:tcW w:w="3820" w:type="dxa"/>
            <w:vAlign w:val="bottom"/>
          </w:tcPr>
          <w:p>
            <w:pPr>
              <w:spacing w:after="0"/>
              <w:rPr>
                <w:sz w:val="13"/>
                <w:szCs w:val="13"/>
                <w:color w:val="auto"/>
              </w:rPr>
            </w:pPr>
          </w:p>
        </w:tc>
        <w:tc>
          <w:tcPr>
            <w:tcW w:w="2520" w:type="dxa"/>
            <w:vAlign w:val="bottom"/>
          </w:tcPr>
          <w:p>
            <w:pPr>
              <w:jc w:val="center"/>
              <w:ind w:left="940"/>
              <w:spacing w:after="0" w:line="155" w:lineRule="exact"/>
              <w:rPr>
                <w:sz w:val="20"/>
                <w:szCs w:val="20"/>
                <w:color w:val="auto"/>
              </w:rPr>
            </w:pPr>
            <w:r>
              <w:rPr>
                <w:rFonts w:ascii="Times New Roman" w:cs="Times New Roman" w:eastAsia="Times New Roman" w:hAnsi="Times New Roman"/>
                <w:sz w:val="16"/>
                <w:szCs w:val="16"/>
                <w:b w:val="1"/>
                <w:bCs w:val="1"/>
                <w:color w:val="auto"/>
                <w:w w:val="97"/>
              </w:rPr>
              <w:t>Shares (or Units)</w:t>
            </w:r>
          </w:p>
        </w:tc>
        <w:tc>
          <w:tcPr>
            <w:tcW w:w="220" w:type="dxa"/>
            <w:vAlign w:val="bottom"/>
          </w:tcPr>
          <w:p>
            <w:pPr>
              <w:spacing w:after="0"/>
              <w:rPr>
                <w:sz w:val="13"/>
                <w:szCs w:val="13"/>
                <w:color w:val="auto"/>
              </w:rPr>
            </w:pPr>
          </w:p>
        </w:tc>
        <w:tc>
          <w:tcPr>
            <w:tcW w:w="1000" w:type="dxa"/>
            <w:vAlign w:val="bottom"/>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w w:val="98"/>
              </w:rPr>
              <w:t>per Share</w:t>
            </w:r>
          </w:p>
        </w:tc>
        <w:tc>
          <w:tcPr>
            <w:tcW w:w="1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Announced Plans or</w:t>
            </w:r>
          </w:p>
        </w:tc>
        <w:tc>
          <w:tcPr>
            <w:tcW w:w="180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20"/>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520" w:type="dxa"/>
            <w:vAlign w:val="bottom"/>
            <w:tcBorders>
              <w:bottom w:val="single" w:sz="8" w:color="auto"/>
            </w:tcBorders>
          </w:tcPr>
          <w:p>
            <w:pPr>
              <w:jc w:val="center"/>
              <w:ind w:left="960"/>
              <w:spacing w:after="0" w:line="220" w:lineRule="exact"/>
              <w:rPr>
                <w:sz w:val="20"/>
                <w:szCs w:val="20"/>
                <w:color w:val="auto"/>
              </w:rPr>
            </w:pPr>
            <w:r>
              <w:rPr>
                <w:rFonts w:ascii="Times New Roman" w:cs="Times New Roman" w:eastAsia="Times New Roman" w:hAnsi="Times New Roman"/>
                <w:sz w:val="16"/>
                <w:szCs w:val="16"/>
                <w:b w:val="1"/>
                <w:bCs w:val="1"/>
                <w:color w:val="auto"/>
                <w:w w:val="94"/>
              </w:rPr>
              <w:t>Purchased</w:t>
            </w:r>
            <w:r>
              <w:rPr>
                <w:rFonts w:ascii="Times New Roman" w:cs="Times New Roman" w:eastAsia="Times New Roman" w:hAnsi="Times New Roman"/>
                <w:sz w:val="20"/>
                <w:szCs w:val="20"/>
                <w:b w:val="1"/>
                <w:bCs w:val="1"/>
                <w:color w:val="auto"/>
                <w:w w:val="94"/>
                <w:vertAlign w:val="superscript"/>
              </w:rPr>
              <w:t>1,2</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(or Unit)</w:t>
            </w:r>
          </w:p>
        </w:tc>
        <w:tc>
          <w:tcPr>
            <w:tcW w:w="186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0"/>
                <w:szCs w:val="20"/>
                <w:b w:val="1"/>
                <w:bCs w:val="1"/>
                <w:color w:val="auto"/>
                <w:w w:val="96"/>
                <w:vertAlign w:val="superscript"/>
              </w:rPr>
              <w:t>1</w:t>
            </w:r>
          </w:p>
        </w:tc>
        <w:tc>
          <w:tcPr>
            <w:tcW w:w="1800" w:type="dxa"/>
            <w:vAlign w:val="bottom"/>
            <w:tcBorders>
              <w:bottom w:val="single" w:sz="8" w:color="auto"/>
            </w:tcBorders>
          </w:tcPr>
          <w:p>
            <w:pPr>
              <w:jc w:val="center"/>
              <w:spacing w:after="0" w:line="220" w:lineRule="exact"/>
              <w:rPr>
                <w:sz w:val="20"/>
                <w:szCs w:val="20"/>
                <w:color w:val="auto"/>
              </w:rPr>
            </w:pPr>
            <w:r>
              <w:rPr>
                <w:rFonts w:ascii="Times New Roman" w:cs="Times New Roman" w:eastAsia="Times New Roman" w:hAnsi="Times New Roman"/>
                <w:sz w:val="16"/>
                <w:szCs w:val="16"/>
                <w:b w:val="1"/>
                <w:bCs w:val="1"/>
                <w:color w:val="auto"/>
                <w:w w:val="96"/>
              </w:rPr>
              <w:t>Programs</w:t>
            </w:r>
            <w:r>
              <w:rPr>
                <w:rFonts w:ascii="Times New Roman" w:cs="Times New Roman" w:eastAsia="Times New Roman" w:hAnsi="Times New Roman"/>
                <w:sz w:val="20"/>
                <w:szCs w:val="20"/>
                <w:b w:val="1"/>
                <w:bCs w:val="1"/>
                <w:color w:val="auto"/>
                <w:w w:val="96"/>
                <w:vertAlign w:val="superscript"/>
              </w:rPr>
              <w:t>1</w:t>
            </w:r>
          </w:p>
        </w:tc>
        <w:tc>
          <w:tcPr>
            <w:tcW w:w="0" w:type="dxa"/>
            <w:vAlign w:val="bottom"/>
          </w:tcPr>
          <w:p>
            <w:pPr>
              <w:spacing w:after="0"/>
              <w:rPr>
                <w:sz w:val="1"/>
                <w:szCs w:val="1"/>
                <w:color w:val="auto"/>
              </w:rPr>
            </w:pPr>
          </w:p>
        </w:tc>
      </w:tr>
      <w:tr>
        <w:trPr>
          <w:trHeight w:val="20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29, 2022 through March 4, 2022</w:t>
            </w:r>
          </w:p>
        </w:tc>
        <w:tc>
          <w:tcPr>
            <w:tcW w:w="25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3,313,830</w:t>
            </w:r>
          </w:p>
        </w:tc>
        <w:tc>
          <w:tcPr>
            <w:tcW w:w="0" w:type="dxa"/>
            <w:vAlign w:val="bottom"/>
          </w:tcPr>
          <w:p>
            <w:pPr>
              <w:spacing w:after="0"/>
              <w:rPr>
                <w:sz w:val="1"/>
                <w:szCs w:val="1"/>
                <w:color w:val="auto"/>
              </w:rPr>
            </w:pPr>
          </w:p>
        </w:tc>
      </w:tr>
      <w:tr>
        <w:trPr>
          <w:trHeight w:val="20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5, 2022 through April 1, 2022</w:t>
            </w:r>
          </w:p>
        </w:tc>
        <w:tc>
          <w:tcPr>
            <w:tcW w:w="25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3,313,830</w:t>
            </w:r>
          </w:p>
        </w:tc>
        <w:tc>
          <w:tcPr>
            <w:tcW w:w="0" w:type="dxa"/>
            <w:vAlign w:val="bottom"/>
          </w:tcPr>
          <w:p>
            <w:pPr>
              <w:spacing w:after="0"/>
              <w:rPr>
                <w:sz w:val="1"/>
                <w:szCs w:val="1"/>
                <w:color w:val="auto"/>
              </w:rPr>
            </w:pPr>
          </w:p>
        </w:tc>
      </w:tr>
      <w:tr>
        <w:trPr>
          <w:trHeight w:val="207"/>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2, 2022 through April 29, 2022</w:t>
            </w:r>
          </w:p>
        </w:tc>
        <w:tc>
          <w:tcPr>
            <w:tcW w:w="25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1,313</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86.77</w:t>
            </w:r>
          </w:p>
        </w:tc>
        <w:tc>
          <w:tcPr>
            <w:tcW w:w="1860" w:type="dxa"/>
            <w:vAlign w:val="bottom"/>
            <w:tcBorders>
              <w:bottom w:val="single" w:sz="8" w:color="auto"/>
            </w:tcBorders>
            <w:shd w:val="clear" w:color="auto" w:fill="CCEEFF"/>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3,313,830</w:t>
            </w:r>
          </w:p>
        </w:tc>
        <w:tc>
          <w:tcPr>
            <w:tcW w:w="0" w:type="dxa"/>
            <w:vAlign w:val="bottom"/>
          </w:tcPr>
          <w:p>
            <w:pPr>
              <w:spacing w:after="0"/>
              <w:rPr>
                <w:sz w:val="1"/>
                <w:szCs w:val="1"/>
                <w:color w:val="auto"/>
              </w:rPr>
            </w:pPr>
          </w:p>
        </w:tc>
      </w:tr>
      <w:tr>
        <w:trPr>
          <w:trHeight w:val="200"/>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5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1,313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86.77</w:t>
            </w:r>
          </w:p>
        </w:tc>
        <w:tc>
          <w:tcPr>
            <w:tcW w:w="18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60" w:hanging="157"/>
        <w:spacing w:after="0" w:line="234" w:lineRule="auto"/>
        <w:tabs>
          <w:tab w:leader="none" w:pos="148"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4, 2018, the company’s Board of Directors authorized the repurchase of 5,000,000 shares of the company’s common stock in open-market or privately negotiated transactions. This authorized stock repurchase program has no expiration date but may be terminated by the company’s Board of Directors at any time. The company did not repurchase any shares under this authorized stock repurchase program during the period indicated above and 3,313,830 shares remained available to repurchase under this authorized stock repurchase program as of April 29, 2022.</w:t>
      </w:r>
    </w:p>
    <w:p>
      <w:pPr>
        <w:spacing w:after="0" w:line="96" w:lineRule="exact"/>
        <w:rPr>
          <w:sz w:val="20"/>
          <w:szCs w:val="20"/>
          <w:color w:val="auto"/>
        </w:rPr>
      </w:pPr>
    </w:p>
    <w:p>
      <w:pPr>
        <w:jc w:val="both"/>
        <w:ind w:left="160" w:hanging="157"/>
        <w:spacing w:after="0" w:line="229" w:lineRule="auto"/>
        <w:tabs>
          <w:tab w:leader="none" w:pos="199"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1,313 shares of the company’s common stock purchased in open-market transactions at an average price of $86.77 per share on behalf of a rabbi trust formed to pay benefit obligations of the company to participants in the company's deferred compensation plans. These 1,313 shares were not repurchased under the company’s authorized stock repurchase program described in note 1 above.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6. EXHIBITS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w:t>
            </w:r>
          </w:p>
        </w:tc>
        <w:tc>
          <w:tcPr>
            <w:tcW w:w="12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spacing w:after="0"/>
              <w:rPr>
                <w:sz w:val="20"/>
                <w:szCs w:val="20"/>
                <w:color w:val="auto"/>
              </w:rPr>
            </w:pPr>
          </w:p>
        </w:tc>
        <w:tc>
          <w:tcPr>
            <w:tcW w:w="6340" w:type="dxa"/>
            <w:vAlign w:val="bottom"/>
            <w:tcBorders>
              <w:top w:val="single" w:sz="8" w:color="auto"/>
              <w:bottom w:val="single" w:sz="8" w:color="auto"/>
            </w:tcBorders>
            <w:gridSpan w:val="29"/>
          </w:tcPr>
          <w:p>
            <w:pPr>
              <w:ind w:left="8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3"/>
                <w:szCs w:val="13"/>
                <w:color w:val="auto"/>
              </w:rPr>
            </w:pPr>
          </w:p>
        </w:tc>
        <w:tc>
          <w:tcPr>
            <w:tcW w:w="128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b w:val="1"/>
                <w:bCs w:val="1"/>
                <w:color w:val="auto"/>
              </w:rPr>
              <w:t>3.1 and 4.1</w:t>
            </w:r>
          </w:p>
        </w:tc>
        <w:tc>
          <w:tcPr>
            <w:tcW w:w="9880" w:type="dxa"/>
            <w:vAlign w:val="bottom"/>
            <w:gridSpan w:val="32"/>
          </w:tcPr>
          <w:p>
            <w:pPr>
              <w:spacing w:after="0" w:line="161" w:lineRule="exact"/>
              <w:rPr>
                <w:rFonts w:ascii="Times New Roman" w:cs="Times New Roman" w:eastAsia="Times New Roman" w:hAnsi="Times New Roman"/>
                <w:sz w:val="16"/>
                <w:szCs w:val="16"/>
                <w:color w:val="0000FF"/>
              </w:rPr>
            </w:pPr>
            <w:hyperlink r:id="rId62">
              <w:r>
                <w:rPr>
                  <w:rFonts w:ascii="Times New Roman" w:cs="Times New Roman" w:eastAsia="Times New Roman" w:hAnsi="Times New Roman"/>
                  <w:sz w:val="16"/>
                  <w:szCs w:val="16"/>
                  <w:color w:val="0000FF"/>
                </w:rPr>
                <w:t>Restated Certificate of Incorporation of The Toro Company (incorporated by reference to Exhibit 3.1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820" w:type="dxa"/>
            <w:vAlign w:val="bottom"/>
            <w:tcBorders>
              <w:top w:val="single" w:sz="8" w:color="0000FF"/>
              <w:bottom w:val="single" w:sz="8" w:color="0000FF"/>
            </w:tcBorders>
            <w:gridSpan w:val="8"/>
          </w:tcPr>
          <w:p>
            <w:pPr>
              <w:spacing w:after="0" w:line="135" w:lineRule="exact"/>
              <w:rPr>
                <w:rFonts w:ascii="Times New Roman" w:cs="Times New Roman" w:eastAsia="Times New Roman" w:hAnsi="Times New Roman"/>
                <w:sz w:val="15"/>
                <w:szCs w:val="15"/>
                <w:color w:val="0000FF"/>
              </w:rPr>
            </w:pPr>
            <w:hyperlink r:id="rId62">
              <w:r>
                <w:rPr>
                  <w:rFonts w:ascii="Times New Roman" w:cs="Times New Roman" w:eastAsia="Times New Roman" w:hAnsi="Times New Roman"/>
                  <w:sz w:val="15"/>
                  <w:szCs w:val="15"/>
                  <w:color w:val="0000FF"/>
                </w:rPr>
                <w:t>as filed with the Securities and Exchange Commission on June 18, 2008, Commission File No. 1-8649).</w:t>
              </w:r>
            </w:hyperlink>
          </w:p>
        </w:tc>
        <w:tc>
          <w:tcPr>
            <w:tcW w:w="2880" w:type="dxa"/>
            <w:vAlign w:val="bottom"/>
            <w:tcBorders>
              <w:top w:val="single" w:sz="8" w:color="0000FF"/>
            </w:tcBorders>
            <w:gridSpan w:val="1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 and 4.2</w:t>
            </w:r>
          </w:p>
        </w:tc>
        <w:tc>
          <w:tcPr>
            <w:tcW w:w="9880" w:type="dxa"/>
            <w:vAlign w:val="bottom"/>
            <w:gridSpan w:val="32"/>
          </w:tcPr>
          <w:p>
            <w:pPr>
              <w:spacing w:after="0"/>
              <w:rPr>
                <w:rFonts w:ascii="Times New Roman" w:cs="Times New Roman" w:eastAsia="Times New Roman" w:hAnsi="Times New Roman"/>
                <w:sz w:val="16"/>
                <w:szCs w:val="16"/>
                <w:color w:val="0000FF"/>
              </w:rPr>
            </w:pPr>
            <w:hyperlink r:id="rId63">
              <w:r>
                <w:rPr>
                  <w:rFonts w:ascii="Times New Roman" w:cs="Times New Roman" w:eastAsia="Times New Roman" w:hAnsi="Times New Roman"/>
                  <w:sz w:val="16"/>
                  <w:szCs w:val="16"/>
                  <w:color w:val="0000FF"/>
                </w:rPr>
                <w:t>Certificate of Amendment to Restated Certificate of Incorporation of The Toro Company (incorporated by reference to Exhibit 3.1 to Registrant’s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0" w:type="dxa"/>
            <w:vAlign w:val="bottom"/>
            <w:tcBorders>
              <w:top w:val="single" w:sz="8" w:color="0000FF"/>
            </w:tcBorders>
            <w:gridSpan w:val="28"/>
          </w:tcPr>
          <w:p>
            <w:pPr>
              <w:spacing w:after="0" w:line="135" w:lineRule="exact"/>
              <w:rPr>
                <w:rFonts w:ascii="Times New Roman" w:cs="Times New Roman" w:eastAsia="Times New Roman" w:hAnsi="Times New Roman"/>
                <w:sz w:val="15"/>
                <w:szCs w:val="15"/>
                <w:color w:val="0000FF"/>
              </w:rPr>
            </w:pPr>
            <w:hyperlink r:id="rId63">
              <w:r>
                <w:rPr>
                  <w:rFonts w:ascii="Times New Roman" w:cs="Times New Roman" w:eastAsia="Times New Roman" w:hAnsi="Times New Roman"/>
                  <w:sz w:val="15"/>
                  <w:szCs w:val="15"/>
                  <w:color w:val="0000FF"/>
                </w:rPr>
                <w:t>Current Report on Form 8-K as filed with the Securities and Exchange Commission on March 13, 2013, Commission File No. 1-8649).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3.3 and 4.3</w:t>
            </w:r>
          </w:p>
        </w:tc>
        <w:tc>
          <w:tcPr>
            <w:tcW w:w="1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880" w:type="dxa"/>
            <w:vAlign w:val="bottom"/>
            <w:gridSpan w:val="32"/>
          </w:tcPr>
          <w:p>
            <w:pPr>
              <w:spacing w:after="0"/>
              <w:rPr>
                <w:rFonts w:ascii="Times New Roman" w:cs="Times New Roman" w:eastAsia="Times New Roman" w:hAnsi="Times New Roman"/>
                <w:sz w:val="16"/>
                <w:szCs w:val="16"/>
                <w:color w:val="0000FF"/>
              </w:rPr>
            </w:pPr>
            <w:hyperlink r:id="rId64">
              <w:r>
                <w:rPr>
                  <w:rFonts w:ascii="Times New Roman" w:cs="Times New Roman" w:eastAsia="Times New Roman" w:hAnsi="Times New Roman"/>
                  <w:sz w:val="16"/>
                  <w:szCs w:val="16"/>
                  <w:color w:val="0000FF"/>
                </w:rPr>
                <w:t>Amended and Restated Bylaws of The Toro Company (incorporated by reference to Exhibit 3.1 to Registrant’s Current Report on Form 8-K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620" w:type="dxa"/>
            <w:vAlign w:val="bottom"/>
            <w:tcBorders>
              <w:top w:val="single" w:sz="8" w:color="0000FF"/>
              <w:bottom w:val="single" w:sz="8" w:color="0000FF"/>
            </w:tcBorders>
            <w:gridSpan w:val="5"/>
          </w:tcPr>
          <w:p>
            <w:pPr>
              <w:spacing w:after="0" w:line="135" w:lineRule="exact"/>
              <w:rPr>
                <w:rFonts w:ascii="Times New Roman" w:cs="Times New Roman" w:eastAsia="Times New Roman" w:hAnsi="Times New Roman"/>
                <w:sz w:val="15"/>
                <w:szCs w:val="15"/>
                <w:color w:val="0000FF"/>
              </w:rPr>
            </w:pPr>
            <w:hyperlink r:id="rId64">
              <w:r>
                <w:rPr>
                  <w:rFonts w:ascii="Times New Roman" w:cs="Times New Roman" w:eastAsia="Times New Roman" w:hAnsi="Times New Roman"/>
                  <w:sz w:val="15"/>
                  <w:szCs w:val="15"/>
                  <w:color w:val="0000FF"/>
                </w:rPr>
                <w:t>filed with the Securities and Exchange Commission on July 19, 2016, Commission File No. 1-8649).</w:t>
              </w:r>
            </w:hyperlink>
          </w:p>
        </w:tc>
        <w:tc>
          <w:tcPr>
            <w:tcW w:w="3180" w:type="dxa"/>
            <w:vAlign w:val="bottom"/>
            <w:tcBorders>
              <w:top w:val="single" w:sz="8" w:color="0000FF"/>
            </w:tcBorders>
            <w:gridSpan w:val="2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4.4</w:t>
            </w:r>
          </w:p>
        </w:tc>
        <w:tc>
          <w:tcPr>
            <w:tcW w:w="988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Indenture dated as of January 31, 1997, between The Toro Company and First National Trust Association, as Trustee, relating to The Toro</w:t>
            </w: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880" w:type="dxa"/>
            <w:vAlign w:val="bottom"/>
            <w:gridSpan w:val="32"/>
          </w:tcPr>
          <w:p>
            <w:pPr>
              <w:spacing w:after="0" w:line="159" w:lineRule="exact"/>
              <w:rPr>
                <w:sz w:val="20"/>
                <w:szCs w:val="20"/>
                <w:color w:val="auto"/>
              </w:rPr>
            </w:pPr>
            <w:r>
              <w:rPr>
                <w:rFonts w:ascii="Times New Roman" w:cs="Times New Roman" w:eastAsia="Times New Roman" w:hAnsi="Times New Roman"/>
                <w:sz w:val="16"/>
                <w:szCs w:val="16"/>
                <w:color w:val="auto"/>
              </w:rPr>
              <w:t>Company’s 7.80% Debentures due June 15, 2027 (incorporated by reference to Exhibit 4(a) to Registrant’s Current Report on Form 8-K as filed</w:t>
            </w:r>
          </w:p>
        </w:tc>
        <w:tc>
          <w:tcPr>
            <w:tcW w:w="0" w:type="dxa"/>
            <w:vAlign w:val="bottom"/>
          </w:tcPr>
          <w:p>
            <w:pPr>
              <w:spacing w:after="0"/>
              <w:rPr>
                <w:sz w:val="1"/>
                <w:szCs w:val="1"/>
                <w:color w:val="auto"/>
              </w:rPr>
            </w:pPr>
          </w:p>
        </w:tc>
      </w:tr>
      <w:tr>
        <w:trPr>
          <w:trHeight w:val="168"/>
        </w:trPr>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880" w:type="dxa"/>
            <w:vAlign w:val="bottom"/>
            <w:gridSpan w:val="32"/>
          </w:tcPr>
          <w:p>
            <w:pPr>
              <w:spacing w:after="0" w:line="168" w:lineRule="exact"/>
              <w:rPr>
                <w:sz w:val="20"/>
                <w:szCs w:val="20"/>
                <w:color w:val="auto"/>
              </w:rPr>
            </w:pPr>
            <w:r>
              <w:rPr>
                <w:rFonts w:ascii="Times New Roman" w:cs="Times New Roman" w:eastAsia="Times New Roman" w:hAnsi="Times New Roman"/>
                <w:sz w:val="16"/>
                <w:szCs w:val="16"/>
                <w:color w:val="auto"/>
              </w:rPr>
              <w:t>with the Securities and Exchange Commission on June 27, 1997, Commission File No. 1-8649). (Filed on paper - hyperlink is not required</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880" w:type="dxa"/>
            <w:vAlign w:val="bottom"/>
            <w:gridSpan w:val="32"/>
          </w:tcPr>
          <w:p>
            <w:pPr>
              <w:spacing w:after="0"/>
              <w:rPr>
                <w:sz w:val="20"/>
                <w:szCs w:val="20"/>
                <w:color w:val="auto"/>
              </w:rPr>
            </w:pPr>
            <w:r>
              <w:rPr>
                <w:rFonts w:ascii="Times New Roman" w:cs="Times New Roman" w:eastAsia="Times New Roman" w:hAnsi="Times New Roman"/>
                <w:sz w:val="16"/>
                <w:szCs w:val="16"/>
                <w:color w:val="auto"/>
              </w:rPr>
              <w:t>pursuant to Rule 105 of Regulation S-T).</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4.5</w:t>
            </w:r>
          </w:p>
        </w:tc>
        <w:tc>
          <w:tcPr>
            <w:tcW w:w="9880" w:type="dxa"/>
            <w:vAlign w:val="bottom"/>
            <w:gridSpan w:val="32"/>
          </w:tcPr>
          <w:p>
            <w:pPr>
              <w:spacing w:after="0"/>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Indenture dated as of April 20, 2007, between The Toro Company and The Bank of New York Trust Company, N.A., as Trustee, relating to The</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560" w:type="dxa"/>
            <w:vAlign w:val="bottom"/>
            <w:tcBorders>
              <w:top w:val="single" w:sz="8" w:color="0000FF"/>
              <w:bottom w:val="single" w:sz="8" w:color="0000FF"/>
            </w:tcBorders>
            <w:gridSpan w:val="16"/>
          </w:tcPr>
          <w:p>
            <w:pPr>
              <w:spacing w:after="0" w:line="135" w:lineRule="exact"/>
              <w:rPr>
                <w:rFonts w:ascii="Times New Roman" w:cs="Times New Roman" w:eastAsia="Times New Roman" w:hAnsi="Times New Roman"/>
                <w:sz w:val="15"/>
                <w:szCs w:val="15"/>
                <w:color w:val="0000FF"/>
              </w:rPr>
            </w:pPr>
            <w:hyperlink r:id="rId65">
              <w:r>
                <w:rPr>
                  <w:rFonts w:ascii="Times New Roman" w:cs="Times New Roman" w:eastAsia="Times New Roman" w:hAnsi="Times New Roman"/>
                  <w:sz w:val="15"/>
                  <w:szCs w:val="15"/>
                  <w:color w:val="0000FF"/>
                </w:rPr>
                <w:t>Toro Company’s 6.625% Notes due May 1, 2037 (incorporated by reference to Exhibit 4.3 to Registrant’s Registration Statement on Form S-3</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60" w:type="dxa"/>
            <w:vAlign w:val="bottom"/>
            <w:gridSpan w:val="21"/>
          </w:tcPr>
          <w:p>
            <w:pPr>
              <w:spacing w:after="0" w:line="148" w:lineRule="exact"/>
              <w:rPr>
                <w:rFonts w:ascii="Times New Roman" w:cs="Times New Roman" w:eastAsia="Times New Roman" w:hAnsi="Times New Roman"/>
                <w:sz w:val="16"/>
                <w:szCs w:val="16"/>
                <w:color w:val="0000FF"/>
              </w:rPr>
            </w:pPr>
            <w:hyperlink r:id="rId65">
              <w:r>
                <w:rPr>
                  <w:rFonts w:ascii="Times New Roman" w:cs="Times New Roman" w:eastAsia="Times New Roman" w:hAnsi="Times New Roman"/>
                  <w:sz w:val="16"/>
                  <w:szCs w:val="16"/>
                  <w:color w:val="0000FF"/>
                </w:rPr>
                <w:t>filed with the Securities and Exchange Commission on April 23, 2007, Registration No. 333-142282).</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4.6</w:t>
            </w:r>
          </w:p>
        </w:tc>
        <w:tc>
          <w:tcPr>
            <w:tcW w:w="1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880" w:type="dxa"/>
            <w:vAlign w:val="bottom"/>
            <w:gridSpan w:val="32"/>
          </w:tcPr>
          <w:p>
            <w:pPr>
              <w:spacing w:after="0"/>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First Supplemental Indenture dated as of April 26, 2007, between The Toro Company and The Bank of New York Trust Company, N.A.,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20" w:type="dxa"/>
            <w:vAlign w:val="bottom"/>
            <w:tcBorders>
              <w:top w:val="single" w:sz="8" w:color="0000FF"/>
            </w:tcBorders>
            <w:gridSpan w:val="29"/>
          </w:tcPr>
          <w:p>
            <w:pPr>
              <w:spacing w:after="0" w:line="135" w:lineRule="exact"/>
              <w:rPr>
                <w:rFonts w:ascii="Times New Roman" w:cs="Times New Roman" w:eastAsia="Times New Roman" w:hAnsi="Times New Roman"/>
                <w:sz w:val="15"/>
                <w:szCs w:val="15"/>
                <w:color w:val="0000FF"/>
              </w:rPr>
            </w:pPr>
            <w:hyperlink r:id="rId66">
              <w:r>
                <w:rPr>
                  <w:rFonts w:ascii="Times New Roman" w:cs="Times New Roman" w:eastAsia="Times New Roman" w:hAnsi="Times New Roman"/>
                  <w:sz w:val="15"/>
                  <w:szCs w:val="15"/>
                  <w:color w:val="0000FF"/>
                </w:rPr>
                <w:t>Trustee, relating to The Toro Company’s 6.625% Notes due May 1, 2037 (incorporated by reference to Exhibit 4.1 to Registrant’s Current Report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760" w:type="dxa"/>
            <w:vAlign w:val="bottom"/>
            <w:tcBorders>
              <w:top w:val="single" w:sz="8" w:color="0000FF"/>
              <w:bottom w:val="single" w:sz="8" w:color="0000FF"/>
            </w:tcBorders>
            <w:gridSpan w:val="11"/>
          </w:tcPr>
          <w:p>
            <w:pPr>
              <w:spacing w:after="0" w:line="148" w:lineRule="exact"/>
              <w:rPr>
                <w:rFonts w:ascii="Times New Roman" w:cs="Times New Roman" w:eastAsia="Times New Roman" w:hAnsi="Times New Roman"/>
                <w:sz w:val="16"/>
                <w:szCs w:val="16"/>
                <w:color w:val="0000FF"/>
              </w:rPr>
            </w:pPr>
            <w:hyperlink r:id="rId66">
              <w:r>
                <w:rPr>
                  <w:rFonts w:ascii="Times New Roman" w:cs="Times New Roman" w:eastAsia="Times New Roman" w:hAnsi="Times New Roman"/>
                  <w:sz w:val="16"/>
                  <w:szCs w:val="16"/>
                  <w:color w:val="0000FF"/>
                </w:rPr>
                <w:t>on Form 8-K as filed with the Securities and Exchange Commission on April 26, 2007, Commission File No. 1-8649).</w:t>
              </w:r>
            </w:hyperlink>
          </w:p>
        </w:tc>
        <w:tc>
          <w:tcPr>
            <w:tcW w:w="1880" w:type="dxa"/>
            <w:vAlign w:val="bottom"/>
            <w:tcBorders>
              <w:top w:val="single" w:sz="8" w:color="0000FF"/>
            </w:tcBorders>
            <w:gridSpan w:val="9"/>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4.7</w:t>
            </w:r>
          </w:p>
        </w:tc>
        <w:tc>
          <w:tcPr>
            <w:tcW w:w="9880" w:type="dxa"/>
            <w:vAlign w:val="bottom"/>
            <w:gridSpan w:val="32"/>
          </w:tcPr>
          <w:p>
            <w:pPr>
              <w:spacing w:after="0"/>
              <w:rPr>
                <w:rFonts w:ascii="Times New Roman" w:cs="Times New Roman" w:eastAsia="Times New Roman" w:hAnsi="Times New Roman"/>
                <w:sz w:val="16"/>
                <w:szCs w:val="16"/>
                <w:color w:val="0000FF"/>
              </w:rPr>
            </w:pPr>
            <w:hyperlink r:id="rId67">
              <w:r>
                <w:rPr>
                  <w:rFonts w:ascii="Times New Roman" w:cs="Times New Roman" w:eastAsia="Times New Roman" w:hAnsi="Times New Roman"/>
                  <w:sz w:val="16"/>
                  <w:szCs w:val="16"/>
                  <w:color w:val="0000FF"/>
                </w:rPr>
                <w:t>Form of The Toro Company 6.625% Note due May 1, 2037 (incorporated by reference to Exhibit 4.2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60" w:type="dxa"/>
            <w:vAlign w:val="bottom"/>
            <w:tcBorders>
              <w:top w:val="single" w:sz="8" w:color="0000FF"/>
            </w:tcBorders>
            <w:gridSpan w:val="31"/>
          </w:tcPr>
          <w:p>
            <w:pPr>
              <w:spacing w:after="0" w:line="135" w:lineRule="exact"/>
              <w:rPr>
                <w:rFonts w:ascii="Times New Roman" w:cs="Times New Roman" w:eastAsia="Times New Roman" w:hAnsi="Times New Roman"/>
                <w:sz w:val="15"/>
                <w:szCs w:val="15"/>
                <w:color w:val="0000FF"/>
              </w:rPr>
            </w:pPr>
            <w:hyperlink r:id="rId67">
              <w:r>
                <w:rPr>
                  <w:rFonts w:ascii="Times New Roman" w:cs="Times New Roman" w:eastAsia="Times New Roman" w:hAnsi="Times New Roman"/>
                  <w:sz w:val="15"/>
                  <w:szCs w:val="15"/>
                  <w:color w:val="0000FF"/>
                </w:rPr>
                <w:t>as filed with the Securities and Exchange Commission on April 26, 2007, Commission File No. 1-8649).</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10.1</w:t>
            </w:r>
          </w:p>
        </w:tc>
        <w:tc>
          <w:tcPr>
            <w:tcW w:w="1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880" w:type="dxa"/>
            <w:vAlign w:val="bottom"/>
            <w:gridSpan w:val="32"/>
          </w:tcPr>
          <w:p>
            <w:pPr>
              <w:spacing w:after="0"/>
              <w:rPr>
                <w:rFonts w:ascii="Times New Roman" w:cs="Times New Roman" w:eastAsia="Times New Roman" w:hAnsi="Times New Roman"/>
                <w:sz w:val="16"/>
                <w:szCs w:val="16"/>
                <w:color w:val="0000FF"/>
              </w:rPr>
            </w:pPr>
            <w:hyperlink r:id="rId68">
              <w:r>
                <w:rPr>
                  <w:rFonts w:ascii="Times New Roman" w:cs="Times New Roman" w:eastAsia="Times New Roman" w:hAnsi="Times New Roman"/>
                  <w:sz w:val="16"/>
                  <w:szCs w:val="16"/>
                  <w:color w:val="0000FF"/>
                </w:rPr>
                <w:t>The Toro Company 2022 Equity and Incentive Plan (incorporated by reference to Exhibit 10.1 to Registrant’s Current Report on Form 8-K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700" w:type="dxa"/>
            <w:vAlign w:val="bottom"/>
            <w:tcBorders>
              <w:top w:val="single" w:sz="8" w:color="0000FF"/>
            </w:tcBorders>
            <w:gridSpan w:val="23"/>
          </w:tcPr>
          <w:p>
            <w:pPr>
              <w:spacing w:after="0" w:line="135" w:lineRule="exact"/>
              <w:rPr>
                <w:rFonts w:ascii="Times New Roman" w:cs="Times New Roman" w:eastAsia="Times New Roman" w:hAnsi="Times New Roman"/>
                <w:sz w:val="15"/>
                <w:szCs w:val="15"/>
                <w:color w:val="0000FF"/>
              </w:rPr>
            </w:pPr>
            <w:hyperlink r:id="rId68">
              <w:r>
                <w:rPr>
                  <w:rFonts w:ascii="Times New Roman" w:cs="Times New Roman" w:eastAsia="Times New Roman" w:hAnsi="Times New Roman"/>
                  <w:sz w:val="15"/>
                  <w:szCs w:val="15"/>
                  <w:color w:val="0000FF"/>
                </w:rPr>
                <w:t>filed with the Securities and Exchange Commission on March 16, 2022, Commission File No. 1-8649).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10.2</w:t>
            </w:r>
          </w:p>
        </w:tc>
        <w:tc>
          <w:tcPr>
            <w:tcW w:w="11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880" w:type="dxa"/>
            <w:vAlign w:val="bottom"/>
            <w:gridSpan w:val="32"/>
          </w:tcPr>
          <w:p>
            <w:pPr>
              <w:spacing w:after="0"/>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Form of Nonqualified Stock Option Agreement for use with The Toro Company 2022 Equity and Incentive Plan (incorporated by reference to</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20" w:type="dxa"/>
            <w:vAlign w:val="bottom"/>
            <w:tcBorders>
              <w:top w:val="single" w:sz="8" w:color="0000FF"/>
              <w:bottom w:val="single" w:sz="8" w:color="0000FF"/>
            </w:tcBorders>
            <w:gridSpan w:val="19"/>
          </w:tcPr>
          <w:p>
            <w:pPr>
              <w:spacing w:after="0" w:line="135" w:lineRule="exact"/>
              <w:rPr>
                <w:rFonts w:ascii="Times New Roman" w:cs="Times New Roman" w:eastAsia="Times New Roman" w:hAnsi="Times New Roman"/>
                <w:sz w:val="15"/>
                <w:szCs w:val="15"/>
                <w:color w:val="0000FF"/>
              </w:rPr>
            </w:pPr>
            <w:hyperlink r:id="rId69">
              <w:r>
                <w:rPr>
                  <w:rFonts w:ascii="Times New Roman" w:cs="Times New Roman" w:eastAsia="Times New Roman" w:hAnsi="Times New Roman"/>
                  <w:sz w:val="15"/>
                  <w:szCs w:val="15"/>
                  <w:color w:val="0000FF"/>
                </w:rPr>
                <w:t>Exhibit 10.2 to Registrant’s Current Report on Form 8-K as filed with the Securities and Exchange Commission on March 16, 2022, Commission</w:t>
              </w:r>
            </w:hyperlink>
          </w:p>
        </w:tc>
        <w:tc>
          <w:tcPr>
            <w:tcW w:w="60" w:type="dxa"/>
            <w:vAlign w:val="bottom"/>
            <w:tcBorders>
              <w:bottom w:val="single" w:sz="8" w:color="0000FF"/>
            </w:tcBorders>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80" w:type="dxa"/>
            <w:vAlign w:val="bottom"/>
            <w:gridSpan w:val="22"/>
          </w:tcPr>
          <w:p>
            <w:pPr>
              <w:spacing w:after="0" w:line="148" w:lineRule="exact"/>
              <w:rPr>
                <w:rFonts w:ascii="Times New Roman" w:cs="Times New Roman" w:eastAsia="Times New Roman" w:hAnsi="Times New Roman"/>
                <w:sz w:val="16"/>
                <w:szCs w:val="16"/>
                <w:color w:val="0000FF"/>
              </w:rPr>
            </w:pPr>
            <w:hyperlink r:id="rId69">
              <w:r>
                <w:rPr>
                  <w:rFonts w:ascii="Times New Roman" w:cs="Times New Roman" w:eastAsia="Times New Roman" w:hAnsi="Times New Roman"/>
                  <w:sz w:val="16"/>
                  <w:szCs w:val="16"/>
                  <w:color w:val="0000FF"/>
                </w:rPr>
                <w:t>File No. 1-8649).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10.3</w:t>
            </w:r>
          </w:p>
        </w:tc>
        <w:tc>
          <w:tcPr>
            <w:tcW w:w="11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880" w:type="dxa"/>
            <w:vAlign w:val="bottom"/>
            <w:gridSpan w:val="32"/>
          </w:tcPr>
          <w:p>
            <w:pPr>
              <w:spacing w:after="0"/>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Form of Nonemployee Director Stock Option Agreement for use with The Toro Company 2022 Equity and Incentive Plan (incorporated by</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760" w:type="dxa"/>
            <w:vAlign w:val="bottom"/>
            <w:tcBorders>
              <w:top w:val="single" w:sz="8" w:color="0000FF"/>
            </w:tcBorders>
            <w:gridSpan w:val="26"/>
          </w:tcPr>
          <w:p>
            <w:pPr>
              <w:spacing w:after="0" w:line="135" w:lineRule="exact"/>
              <w:rPr>
                <w:rFonts w:ascii="Times New Roman" w:cs="Times New Roman" w:eastAsia="Times New Roman" w:hAnsi="Times New Roman"/>
                <w:sz w:val="15"/>
                <w:szCs w:val="15"/>
                <w:color w:val="0000FF"/>
              </w:rPr>
            </w:pPr>
            <w:hyperlink r:id="rId70">
              <w:r>
                <w:rPr>
                  <w:rFonts w:ascii="Times New Roman" w:cs="Times New Roman" w:eastAsia="Times New Roman" w:hAnsi="Times New Roman"/>
                  <w:sz w:val="15"/>
                  <w:szCs w:val="15"/>
                  <w:color w:val="0000FF"/>
                </w:rPr>
                <w:t>reference to Exhibit 10.3 to Registrant’s Current Report on Form 8-K as filed with the Securities and Exchange Commission on March 16, 2022,</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20" w:type="dxa"/>
            <w:vAlign w:val="bottom"/>
            <w:tcBorders>
              <w:top w:val="single" w:sz="8" w:color="0000FF"/>
              <w:bottom w:val="single" w:sz="8" w:color="0000FF"/>
            </w:tcBorders>
            <w:gridSpan w:val="2"/>
          </w:tcPr>
          <w:p>
            <w:pPr>
              <w:spacing w:after="0" w:line="148" w:lineRule="exact"/>
              <w:rPr>
                <w:rFonts w:ascii="Times New Roman" w:cs="Times New Roman" w:eastAsia="Times New Roman" w:hAnsi="Times New Roman"/>
                <w:sz w:val="16"/>
                <w:szCs w:val="16"/>
                <w:color w:val="0000FF"/>
              </w:rPr>
            </w:pPr>
            <w:hyperlink r:id="rId70">
              <w:r>
                <w:rPr>
                  <w:rFonts w:ascii="Times New Roman" w:cs="Times New Roman" w:eastAsia="Times New Roman" w:hAnsi="Times New Roman"/>
                  <w:sz w:val="16"/>
                  <w:szCs w:val="16"/>
                  <w:color w:val="0000FF"/>
                </w:rPr>
                <w:t>Commission File No. 1-8649).</w:t>
              </w:r>
            </w:hyperlink>
          </w:p>
        </w:tc>
        <w:tc>
          <w:tcPr>
            <w:tcW w:w="770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10.4</w:t>
            </w:r>
          </w:p>
        </w:tc>
        <w:tc>
          <w:tcPr>
            <w:tcW w:w="9880" w:type="dxa"/>
            <w:vAlign w:val="bottom"/>
            <w:gridSpan w:val="32"/>
          </w:tcPr>
          <w:p>
            <w:pPr>
              <w:spacing w:after="0"/>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Form of Restricted Stock Unit Award Agreement for use with The Toro Company 2022 Equity and Incentive Plan (incorporated by reference to</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760" w:type="dxa"/>
            <w:vAlign w:val="bottom"/>
            <w:tcBorders>
              <w:top w:val="single" w:sz="8" w:color="0000FF"/>
            </w:tcBorders>
            <w:gridSpan w:val="26"/>
          </w:tcPr>
          <w:p>
            <w:pPr>
              <w:spacing w:after="0" w:line="135" w:lineRule="exact"/>
              <w:rPr>
                <w:rFonts w:ascii="Times New Roman" w:cs="Times New Roman" w:eastAsia="Times New Roman" w:hAnsi="Times New Roman"/>
                <w:sz w:val="15"/>
                <w:szCs w:val="15"/>
                <w:color w:val="0000FF"/>
              </w:rPr>
            </w:pPr>
            <w:hyperlink r:id="rId71">
              <w:r>
                <w:rPr>
                  <w:rFonts w:ascii="Times New Roman" w:cs="Times New Roman" w:eastAsia="Times New Roman" w:hAnsi="Times New Roman"/>
                  <w:sz w:val="15"/>
                  <w:szCs w:val="15"/>
                  <w:color w:val="0000FF"/>
                </w:rPr>
                <w:t>Exhibit 10.4 to Registrant’s Current Report on Form 8-K as filed with the Securities and Exchange Commission on March 16, 2022, Commission</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80" w:type="dxa"/>
            <w:vAlign w:val="bottom"/>
            <w:tcBorders>
              <w:top w:val="single" w:sz="8" w:color="0000FF"/>
            </w:tcBorders>
            <w:gridSpan w:val="22"/>
          </w:tcPr>
          <w:p>
            <w:pPr>
              <w:spacing w:after="0" w:line="148" w:lineRule="exact"/>
              <w:rPr>
                <w:rFonts w:ascii="Times New Roman" w:cs="Times New Roman" w:eastAsia="Times New Roman" w:hAnsi="Times New Roman"/>
                <w:sz w:val="16"/>
                <w:szCs w:val="16"/>
                <w:color w:val="0000FF"/>
              </w:rPr>
            </w:pPr>
            <w:hyperlink r:id="rId71">
              <w:r>
                <w:rPr>
                  <w:rFonts w:ascii="Times New Roman" w:cs="Times New Roman" w:eastAsia="Times New Roman" w:hAnsi="Times New Roman"/>
                  <w:sz w:val="16"/>
                  <w:szCs w:val="16"/>
                  <w:color w:val="0000FF"/>
                </w:rPr>
                <w:t>File No. 1-8649).</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10.5</w:t>
            </w:r>
          </w:p>
        </w:tc>
        <w:tc>
          <w:tcPr>
            <w:tcW w:w="114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880" w:type="dxa"/>
            <w:vAlign w:val="bottom"/>
            <w:gridSpan w:val="32"/>
          </w:tcPr>
          <w:p>
            <w:pPr>
              <w:spacing w:after="0"/>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Form of Performance Share Award Agreement for use with The Toro Company 2022 Equity and Incentive Plan (incorporated by reference to</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00" w:type="dxa"/>
            <w:vAlign w:val="bottom"/>
            <w:tcBorders>
              <w:top w:val="single" w:sz="8" w:color="0000FF"/>
            </w:tcBorders>
            <w:gridSpan w:val="18"/>
          </w:tcPr>
          <w:p>
            <w:pPr>
              <w:spacing w:after="0" w:line="135" w:lineRule="exact"/>
              <w:rPr>
                <w:rFonts w:ascii="Times New Roman" w:cs="Times New Roman" w:eastAsia="Times New Roman" w:hAnsi="Times New Roman"/>
                <w:sz w:val="15"/>
                <w:szCs w:val="15"/>
                <w:color w:val="0000FF"/>
              </w:rPr>
            </w:pPr>
            <w:hyperlink r:id="rId72">
              <w:r>
                <w:rPr>
                  <w:rFonts w:ascii="Times New Roman" w:cs="Times New Roman" w:eastAsia="Times New Roman" w:hAnsi="Times New Roman"/>
                  <w:sz w:val="15"/>
                  <w:szCs w:val="15"/>
                  <w:color w:val="0000FF"/>
                </w:rPr>
                <w:t>Exhibit 10.5 to Registrant’s Current Report on Form 8-K as filed with the Securities and Exchange Commission on March 16, 2022, Commission</w:t>
              </w:r>
            </w:hyperlink>
          </w:p>
        </w:tc>
        <w:tc>
          <w:tcPr>
            <w:tcW w:w="140" w:type="dxa"/>
            <w:vAlign w:val="bottom"/>
            <w:gridSpan w:val="7"/>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80" w:type="dxa"/>
            <w:vAlign w:val="bottom"/>
            <w:tcBorders>
              <w:top w:val="single" w:sz="8" w:color="0000FF"/>
            </w:tcBorders>
            <w:gridSpan w:val="22"/>
          </w:tcPr>
          <w:p>
            <w:pPr>
              <w:spacing w:after="0" w:line="148" w:lineRule="exact"/>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File No. 1-8649).</w:t>
              </w:r>
            </w:hyperlink>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10.6</w:t>
            </w:r>
          </w:p>
        </w:tc>
        <w:tc>
          <w:tcPr>
            <w:tcW w:w="114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880" w:type="dxa"/>
            <w:vAlign w:val="bottom"/>
            <w:gridSpan w:val="32"/>
          </w:tcPr>
          <w:p>
            <w:pPr>
              <w:spacing w:after="0"/>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Form of Annual Performance Award Agreement for use with The Toro Company 2022 Equity and Incentive Plan (incorporated by reference to</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780" w:type="dxa"/>
            <w:vAlign w:val="bottom"/>
            <w:tcBorders>
              <w:top w:val="single" w:sz="8" w:color="0000FF"/>
            </w:tcBorders>
            <w:gridSpan w:val="27"/>
          </w:tcPr>
          <w:p>
            <w:pPr>
              <w:spacing w:after="0" w:line="135" w:lineRule="exact"/>
              <w:rPr>
                <w:rFonts w:ascii="Times New Roman" w:cs="Times New Roman" w:eastAsia="Times New Roman" w:hAnsi="Times New Roman"/>
                <w:sz w:val="15"/>
                <w:szCs w:val="15"/>
                <w:color w:val="0000FF"/>
              </w:rPr>
            </w:pPr>
            <w:hyperlink r:id="rId73">
              <w:r>
                <w:rPr>
                  <w:rFonts w:ascii="Times New Roman" w:cs="Times New Roman" w:eastAsia="Times New Roman" w:hAnsi="Times New Roman"/>
                  <w:sz w:val="15"/>
                  <w:szCs w:val="15"/>
                  <w:color w:val="0000FF"/>
                </w:rPr>
                <w:t>Exhibit 10.6 to Registrant’s Current Report on Form 8-K as filed with the Securities and Exchange Commission on March 16, 2022, Commission</w:t>
              </w:r>
            </w:hyperlink>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80" w:type="dxa"/>
            <w:vAlign w:val="bottom"/>
            <w:tcBorders>
              <w:top w:val="single" w:sz="8" w:color="0000FF"/>
            </w:tcBorders>
            <w:gridSpan w:val="22"/>
          </w:tcPr>
          <w:p>
            <w:pPr>
              <w:spacing w:after="0" w:line="148"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File No. 1-8649).</w:t>
              </w:r>
            </w:hyperlink>
          </w:p>
        </w:tc>
        <w:tc>
          <w:tcPr>
            <w:tcW w:w="60" w:type="dxa"/>
            <w:vAlign w:val="bottom"/>
            <w:gridSpan w:val="3"/>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10.7</w:t>
            </w:r>
          </w:p>
        </w:tc>
        <w:tc>
          <w:tcPr>
            <w:tcW w:w="114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880" w:type="dxa"/>
            <w:vAlign w:val="bottom"/>
            <w:gridSpan w:val="32"/>
          </w:tcPr>
          <w:p>
            <w:pPr>
              <w:spacing w:after="0"/>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Term Loan Credit Agreement dated as of April 27, 2022, by and among The Toro Company, as Borrower, Bank of America, N.A.,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700" w:type="dxa"/>
            <w:vAlign w:val="bottom"/>
            <w:tcBorders>
              <w:top w:val="single" w:sz="8" w:color="0000FF"/>
              <w:bottom w:val="single" w:sz="8" w:color="0000FF"/>
            </w:tcBorders>
            <w:gridSpan w:val="23"/>
          </w:tcPr>
          <w:p>
            <w:pPr>
              <w:spacing w:after="0" w:line="135" w:lineRule="exact"/>
              <w:rPr>
                <w:rFonts w:ascii="Times New Roman" w:cs="Times New Roman" w:eastAsia="Times New Roman" w:hAnsi="Times New Roman"/>
                <w:sz w:val="15"/>
                <w:szCs w:val="15"/>
                <w:color w:val="0000FF"/>
              </w:rPr>
            </w:pPr>
            <w:hyperlink r:id="rId74">
              <w:r>
                <w:rPr>
                  <w:rFonts w:ascii="Times New Roman" w:cs="Times New Roman" w:eastAsia="Times New Roman" w:hAnsi="Times New Roman"/>
                  <w:sz w:val="15"/>
                  <w:szCs w:val="15"/>
                  <w:color w:val="0000FF"/>
                </w:rPr>
                <w:t>Administrative Agent, Wells Fargo Bank, National Association and U.S. Bank National Association, as Co-Syndication Agents and the Other</w:t>
              </w:r>
            </w:hyperlink>
          </w:p>
        </w:tc>
        <w:tc>
          <w:tcPr>
            <w:tcW w:w="40" w:type="dxa"/>
            <w:vAlign w:val="bottom"/>
            <w:tcBorders>
              <w:bottom w:val="single" w:sz="8" w:color="0000FF"/>
            </w:tcBorders>
            <w:gridSpan w:val="2"/>
          </w:tcPr>
          <w:p>
            <w:pPr>
              <w:spacing w:after="0"/>
              <w:rPr>
                <w:sz w:val="11"/>
                <w:szCs w:val="11"/>
                <w:color w:val="auto"/>
              </w:rPr>
            </w:pPr>
          </w:p>
        </w:tc>
        <w:tc>
          <w:tcPr>
            <w:tcW w:w="100" w:type="dxa"/>
            <w:vAlign w:val="bottom"/>
            <w:tcBorders>
              <w:bottom w:val="single" w:sz="8" w:color="0000FF"/>
            </w:tcBorders>
            <w:gridSpan w:val="5"/>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40" w:type="dxa"/>
            <w:vAlign w:val="bottom"/>
            <w:gridSpan w:val="30"/>
          </w:tcPr>
          <w:p>
            <w:pPr>
              <w:spacing w:after="0" w:line="148"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Lenders Party Thereto (incorporated by reference to Exhibit 10.1 to Registrant’s Current Report on Form 8-K as filed with the Securities and</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540" w:type="dxa"/>
            <w:vAlign w:val="bottom"/>
            <w:tcBorders>
              <w:top w:val="single" w:sz="8" w:color="0000FF"/>
            </w:tcBorders>
            <w:gridSpan w:val="15"/>
          </w:tcPr>
          <w:p>
            <w:pPr>
              <w:spacing w:after="0" w:line="148"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Exchange Commission on April 28, 2022, Commission File No. 1-8649).</w:t>
              </w:r>
            </w:hyperlink>
          </w:p>
        </w:tc>
        <w:tc>
          <w:tcPr>
            <w:tcW w:w="40" w:type="dxa"/>
            <w:vAlign w:val="bottom"/>
            <w:gridSpan w:val="2"/>
          </w:tcPr>
          <w:p>
            <w:pPr>
              <w:spacing w:after="0"/>
              <w:rPr>
                <w:sz w:val="12"/>
                <w:szCs w:val="12"/>
                <w:color w:val="auto"/>
              </w:rPr>
            </w:pPr>
          </w:p>
        </w:tc>
        <w:tc>
          <w:tcPr>
            <w:tcW w:w="160" w:type="dxa"/>
            <w:vAlign w:val="bottom"/>
            <w:gridSpan w:val="8"/>
          </w:tcPr>
          <w:p>
            <w:pPr>
              <w:spacing w:after="0"/>
              <w:rPr>
                <w:sz w:val="12"/>
                <w:szCs w:val="12"/>
                <w:color w:val="auto"/>
              </w:rPr>
            </w:pPr>
          </w:p>
        </w:tc>
        <w:tc>
          <w:tcPr>
            <w:tcW w:w="14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10.8</w:t>
            </w:r>
          </w:p>
        </w:tc>
        <w:tc>
          <w:tcPr>
            <w:tcW w:w="3540" w:type="dxa"/>
            <w:vAlign w:val="bottom"/>
            <w:gridSpan w:val="3"/>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988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Amendment No. 1 to Amended and Restated Credit Agreement dated as of April 27, 2022, by and among The Toro Company, Toro Luxembourg</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560" w:type="dxa"/>
            <w:vAlign w:val="bottom"/>
            <w:tcBorders>
              <w:top w:val="single" w:sz="8" w:color="0000FF"/>
              <w:bottom w:val="single" w:sz="8" w:color="0000FF"/>
            </w:tcBorders>
            <w:gridSpan w:val="10"/>
          </w:tcPr>
          <w:p>
            <w:pPr>
              <w:spacing w:after="0" w:line="135" w:lineRule="exact"/>
              <w:rPr>
                <w:sz w:val="20"/>
                <w:szCs w:val="20"/>
                <w:color w:val="auto"/>
              </w:rPr>
            </w:pPr>
            <w:r>
              <w:rPr>
                <w:rFonts w:ascii="Times New Roman" w:cs="Times New Roman" w:eastAsia="Times New Roman" w:hAnsi="Times New Roman"/>
                <w:sz w:val="15"/>
                <w:szCs w:val="15"/>
                <w:color w:val="0000FF"/>
              </w:rPr>
              <w:t>S.A.R.L., each of the Lenders Party Thereto and Bank of America , N.A., as Administrative Agent (filed herewith).</w:t>
            </w:r>
          </w:p>
        </w:tc>
        <w:tc>
          <w:tcPr>
            <w:tcW w:w="2020" w:type="dxa"/>
            <w:vAlign w:val="bottom"/>
            <w:tcBorders>
              <w:top w:val="single" w:sz="8" w:color="0000FF"/>
            </w:tcBorders>
            <w:gridSpan w:val="7"/>
          </w:tcPr>
          <w:p>
            <w:pPr>
              <w:spacing w:after="0"/>
              <w:rPr>
                <w:sz w:val="11"/>
                <w:szCs w:val="11"/>
                <w:color w:val="auto"/>
              </w:rPr>
            </w:pPr>
          </w:p>
        </w:tc>
        <w:tc>
          <w:tcPr>
            <w:tcW w:w="160" w:type="dxa"/>
            <w:vAlign w:val="bottom"/>
            <w:gridSpan w:val="8"/>
          </w:tcPr>
          <w:p>
            <w:pPr>
              <w:spacing w:after="0"/>
              <w:rPr>
                <w:sz w:val="11"/>
                <w:szCs w:val="11"/>
                <w:color w:val="auto"/>
              </w:rPr>
            </w:pPr>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31.1</w:t>
            </w:r>
          </w:p>
        </w:tc>
        <w:tc>
          <w:tcPr>
            <w:tcW w:w="988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Rule 13a-14(a) (Section 302 of the Sarbanes-Oxley Act of 2002) (filed herewith).</w:t>
            </w: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31.2</w:t>
            </w:r>
          </w:p>
        </w:tc>
        <w:tc>
          <w:tcPr>
            <w:tcW w:w="87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Rule 13a-14(a) (Section 302 of the Sarbanes-Oxley Act of 2002) (filed herewith).</w:t>
            </w:r>
          </w:p>
        </w:tc>
        <w:tc>
          <w:tcPr>
            <w:tcW w:w="40" w:type="dxa"/>
            <w:vAlign w:val="bottom"/>
            <w:tcBorders>
              <w:top w:val="single" w:sz="8" w:color="0000FF"/>
            </w:tcBorders>
          </w:tcPr>
          <w:p>
            <w:pPr>
              <w:spacing w:after="0"/>
              <w:rPr>
                <w:sz w:val="21"/>
                <w:szCs w:val="21"/>
                <w:color w:val="auto"/>
              </w:rPr>
            </w:pPr>
          </w:p>
        </w:tc>
        <w:tc>
          <w:tcPr>
            <w:tcW w:w="1100" w:type="dxa"/>
            <w:vAlign w:val="bottom"/>
            <w:gridSpan w:val="19"/>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32</w:t>
            </w:r>
          </w:p>
        </w:tc>
        <w:tc>
          <w:tcPr>
            <w:tcW w:w="9880" w:type="dxa"/>
            <w:vAlign w:val="bottom"/>
            <w:gridSpan w:val="32"/>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540" w:type="dxa"/>
            <w:vAlign w:val="bottom"/>
            <w:tcBorders>
              <w:top w:val="single" w:sz="8" w:color="0000FF"/>
              <w:bottom w:val="single" w:sz="8" w:color="0000FF"/>
            </w:tcBorders>
            <w:gridSpan w:val="3"/>
          </w:tcPr>
          <w:p>
            <w:pPr>
              <w:spacing w:after="0" w:line="135" w:lineRule="exact"/>
              <w:rPr>
                <w:sz w:val="20"/>
                <w:szCs w:val="20"/>
                <w:color w:val="auto"/>
              </w:rPr>
            </w:pPr>
            <w:r>
              <w:rPr>
                <w:rFonts w:ascii="Times New Roman" w:cs="Times New Roman" w:eastAsia="Times New Roman" w:hAnsi="Times New Roman"/>
                <w:sz w:val="15"/>
                <w:szCs w:val="15"/>
                <w:color w:val="0000FF"/>
              </w:rPr>
              <w:t>the Sarbanes-Oxley Act of 2002 (furnished herewith).</w:t>
            </w:r>
          </w:p>
        </w:tc>
        <w:tc>
          <w:tcPr>
            <w:tcW w:w="6200" w:type="dxa"/>
            <w:vAlign w:val="bottom"/>
            <w:tcBorders>
              <w:top w:val="single" w:sz="8" w:color="0000FF"/>
            </w:tcBorders>
            <w:gridSpan w:val="22"/>
          </w:tcPr>
          <w:p>
            <w:pPr>
              <w:spacing w:after="0"/>
              <w:rPr>
                <w:sz w:val="11"/>
                <w:szCs w:val="11"/>
                <w:color w:val="auto"/>
              </w:rPr>
            </w:pPr>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680" w:hanging="1259"/>
        <w:spacing w:after="0" w:line="222" w:lineRule="auto"/>
        <w:tabs>
          <w:tab w:leader="none" w:pos="1680"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financial information from The Toro Company’s Quarterly Report on Form 10-Q for the quarterly period ended April 29, 2022, filed with the SEC on June 2, 2022, formatted in Inline eXtensible Business Reporting Language (Inline XBRL): (i) Condensed Consolidated Statements of Earnings for the three and six month periods ended April 29, 2022 and April 30, 2021, (ii) Condensed Consolidated Statements of Comprehensive Income for the three and six month periods ended April 29, 2022 and April 30, 2021, (iii) Condensed Consolidated Balance Sheets as of April 29, 2022, April 30, 2021, and October 31, 2021, (iv) Condensed Consolidated Statement of Cash Flows for the six month periods ended April 29, 2022 and April 30, 2021, (v) Condensed Consolidated Statements of Stockholders' Equity for the three and six month periods ended April 29, 2022 and April 30, 2021, and (vi) Notes to Condensed Consolidated Financial Statements (filed herewith).</w:t>
      </w:r>
    </w:p>
    <w:p>
      <w:pPr>
        <w:spacing w:after="0" w:line="62" w:lineRule="exact"/>
        <w:rPr>
          <w:sz w:val="20"/>
          <w:szCs w:val="20"/>
          <w:color w:val="auto"/>
        </w:rPr>
      </w:pPr>
    </w:p>
    <w:p>
      <w:pPr>
        <w:ind w:left="1680" w:hanging="1259"/>
        <w:spacing w:after="0"/>
        <w:tabs>
          <w:tab w:leader="none" w:pos="1680"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00" w:lineRule="exact"/>
        <w:rPr>
          <w:rFonts w:ascii="Times New Roman" w:cs="Times New Roman" w:eastAsia="Times New Roman" w:hAnsi="Times New Roman"/>
          <w:sz w:val="16"/>
          <w:szCs w:val="16"/>
          <w:b w:val="1"/>
          <w:bCs w:val="1"/>
          <w:color w:val="auto"/>
        </w:rPr>
      </w:pPr>
    </w:p>
    <w:p>
      <w:pPr>
        <w:spacing w:after="0" w:line="261" w:lineRule="exact"/>
        <w:rPr>
          <w:rFonts w:ascii="Times New Roman" w:cs="Times New Roman" w:eastAsia="Times New Roman" w:hAnsi="Times New Roman"/>
          <w:sz w:val="16"/>
          <w:szCs w:val="16"/>
          <w:b w:val="1"/>
          <w:bCs w:val="1"/>
          <w:color w:val="auto"/>
        </w:rPr>
      </w:pPr>
    </w:p>
    <w:p>
      <w:pPr>
        <w:ind w:left="554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70485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4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8200" w:type="dxa"/>
            <w:vAlign w:val="bottom"/>
            <w:gridSpan w:val="2"/>
          </w:tcPr>
          <w:p>
            <w:pPr>
              <w:jc w:val="center"/>
              <w:ind w:right="2934"/>
              <w:spacing w:after="0"/>
              <w:rPr>
                <w:sz w:val="20"/>
                <w:szCs w:val="20"/>
                <w:color w:val="auto"/>
              </w:rPr>
            </w:pPr>
            <w:r>
              <w:rPr>
                <w:rFonts w:ascii="Times New Roman" w:cs="Times New Roman" w:eastAsia="Times New Roman" w:hAnsi="Times New Roman"/>
                <w:sz w:val="17"/>
                <w:szCs w:val="17"/>
                <w:color w:val="auto"/>
              </w:rPr>
              <w:t>THE TORO COMPANY</w:t>
            </w:r>
          </w:p>
        </w:tc>
      </w:tr>
      <w:tr>
        <w:trPr>
          <w:trHeight w:val="223"/>
        </w:trPr>
        <w:tc>
          <w:tcPr>
            <w:tcW w:w="3020" w:type="dxa"/>
            <w:vAlign w:val="bottom"/>
          </w:tcPr>
          <w:p>
            <w:pPr>
              <w:spacing w:after="0"/>
              <w:rPr>
                <w:sz w:val="19"/>
                <w:szCs w:val="19"/>
                <w:color w:val="auto"/>
              </w:rPr>
            </w:pPr>
          </w:p>
        </w:tc>
        <w:tc>
          <w:tcPr>
            <w:tcW w:w="8200" w:type="dxa"/>
            <w:vAlign w:val="bottom"/>
            <w:gridSpan w:val="2"/>
          </w:tcPr>
          <w:p>
            <w:pPr>
              <w:jc w:val="center"/>
              <w:ind w:right="2934"/>
              <w:spacing w:after="0"/>
              <w:rPr>
                <w:sz w:val="20"/>
                <w:szCs w:val="20"/>
                <w:color w:val="auto"/>
              </w:rPr>
            </w:pPr>
            <w:r>
              <w:rPr>
                <w:rFonts w:ascii="Times New Roman" w:cs="Times New Roman" w:eastAsia="Times New Roman" w:hAnsi="Times New Roman"/>
                <w:sz w:val="17"/>
                <w:szCs w:val="17"/>
                <w:color w:val="auto"/>
              </w:rPr>
              <w:t>(Registrant)</w:t>
            </w:r>
          </w:p>
        </w:tc>
      </w:tr>
      <w:tr>
        <w:trPr>
          <w:trHeight w:val="400"/>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Date: June 2, 2022</w:t>
            </w:r>
          </w:p>
        </w:tc>
        <w:tc>
          <w:tcPr>
            <w:tcW w:w="8200" w:type="dxa"/>
            <w:vAlign w:val="bottom"/>
            <w:gridSpan w:val="2"/>
          </w:tcPr>
          <w:p>
            <w:pPr>
              <w:ind w:left="2540"/>
              <w:spacing w:after="0"/>
              <w:rPr>
                <w:sz w:val="20"/>
                <w:szCs w:val="20"/>
                <w:color w:val="auto"/>
              </w:rPr>
            </w:pPr>
            <w:r>
              <w:rPr>
                <w:rFonts w:ascii="Times New Roman" w:cs="Times New Roman" w:eastAsia="Times New Roman" w:hAnsi="Times New Roman"/>
                <w:sz w:val="17"/>
                <w:szCs w:val="17"/>
                <w:color w:val="auto"/>
              </w:rPr>
              <w:t>By:   /s/ Renee J. Peterson</w:t>
            </w:r>
          </w:p>
        </w:tc>
      </w:tr>
      <w:tr>
        <w:trPr>
          <w:trHeight w:val="209"/>
        </w:trPr>
        <w:tc>
          <w:tcPr>
            <w:tcW w:w="3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Renee J. Peterson</w:t>
            </w:r>
          </w:p>
        </w:tc>
      </w:tr>
      <w:tr>
        <w:trPr>
          <w:trHeight w:val="220"/>
        </w:trPr>
        <w:tc>
          <w:tcPr>
            <w:tcW w:w="30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tc>
      </w:tr>
      <w:tr>
        <w:trPr>
          <w:trHeight w:val="171"/>
        </w:trPr>
        <w:tc>
          <w:tcPr>
            <w:tcW w:w="30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16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(duly authorized officer, principal financial officer, and principal</w:t>
            </w:r>
          </w:p>
        </w:tc>
      </w:tr>
      <w:tr>
        <w:trPr>
          <w:trHeight w:val="223"/>
        </w:trPr>
        <w:tc>
          <w:tcPr>
            <w:tcW w:w="30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1240"/>
          </w:cols>
          <w:pgMar w:left="320" w:top="12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Execution Version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AMENDMENT NO. 1 TO AMENDED AND RESTATED CREDIT AGREEMENT</w:t>
      </w:r>
    </w:p>
    <w:p>
      <w:pPr>
        <w:spacing w:after="0" w:line="172" w:lineRule="exact"/>
        <w:rPr>
          <w:sz w:val="20"/>
          <w:szCs w:val="20"/>
          <w:color w:val="auto"/>
        </w:rPr>
      </w:pPr>
    </w:p>
    <w:p>
      <w:pPr>
        <w:jc w:val="both"/>
        <w:ind w:firstLine="620"/>
        <w:spacing w:after="0" w:line="227" w:lineRule="auto"/>
        <w:rPr>
          <w:sz w:val="20"/>
          <w:szCs w:val="20"/>
          <w:color w:val="auto"/>
        </w:rPr>
      </w:pPr>
      <w:r>
        <w:rPr>
          <w:rFonts w:ascii="Times New Roman" w:cs="Times New Roman" w:eastAsia="Times New Roman" w:hAnsi="Times New Roman"/>
          <w:sz w:val="20"/>
          <w:szCs w:val="20"/>
          <w:b w:val="1"/>
          <w:bCs w:val="1"/>
          <w:color w:val="auto"/>
        </w:rPr>
        <w:t xml:space="preserve">THIS AMENDMENT NO. 1 TO AMENDED AND RESTATED CREDIT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made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entered into as of April 27, 2022 by and among </w:t>
      </w:r>
      <w:r>
        <w:rPr>
          <w:rFonts w:ascii="Times New Roman" w:cs="Times New Roman" w:eastAsia="Times New Roman" w:hAnsi="Times New Roman"/>
          <w:sz w:val="20"/>
          <w:szCs w:val="20"/>
          <w:b w:val="1"/>
          <w:bCs w:val="1"/>
          <w:color w:val="auto"/>
        </w:rPr>
        <w:t>THE TORO COMPANY</w:t>
      </w:r>
      <w:r>
        <w:rPr>
          <w:rFonts w:ascii="Times New Roman" w:cs="Times New Roman" w:eastAsia="Times New Roman" w:hAnsi="Times New Roman"/>
          <w:sz w:val="20"/>
          <w:szCs w:val="20"/>
          <w:color w:val="auto"/>
        </w:rPr>
        <w:t>, a Delaware corporation (“</w:t>
      </w:r>
      <w:r>
        <w:rPr>
          <w:rFonts w:ascii="Times New Roman" w:cs="Times New Roman" w:eastAsia="Times New Roman" w:hAnsi="Times New Roman"/>
          <w:sz w:val="20"/>
          <w:szCs w:val="20"/>
          <w:u w:val="single" w:color="auto"/>
          <w:color w:val="auto"/>
        </w:rPr>
        <w:t>Toro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TORO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LUXEMBOURG S.A.R.L</w:t>
      </w:r>
      <w:r>
        <w:rPr>
          <w:rFonts w:ascii="Times New Roman" w:cs="Times New Roman" w:eastAsia="Times New Roman" w:hAnsi="Times New Roman"/>
          <w:sz w:val="20"/>
          <w:szCs w:val="20"/>
          <w:color w:val="auto"/>
        </w:rPr>
        <w:t>., a Luxembourg limited liability company (</w:t>
      </w:r>
      <w:r>
        <w:rPr>
          <w:rFonts w:ascii="Times New Roman" w:cs="Times New Roman" w:eastAsia="Times New Roman" w:hAnsi="Times New Roman"/>
          <w:sz w:val="20"/>
          <w:szCs w:val="20"/>
          <w:i w:val="1"/>
          <w:iCs w:val="1"/>
          <w:color w:val="auto"/>
        </w:rPr>
        <w:t>société à responsabilité limitée</w:t>
      </w:r>
      <w:r>
        <w:rPr>
          <w:rFonts w:ascii="Times New Roman" w:cs="Times New Roman" w:eastAsia="Times New Roman" w:hAnsi="Times New Roman"/>
          <w:sz w:val="20"/>
          <w:szCs w:val="20"/>
          <w:color w:val="auto"/>
        </w:rPr>
        <w:t>) incorporated and existing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laws of the Grand Duchy of Luxembourg, and registered with the Luxembourg trade and companies register (</w:t>
      </w:r>
      <w:r>
        <w:rPr>
          <w:rFonts w:ascii="Times New Roman" w:cs="Times New Roman" w:eastAsia="Times New Roman" w:hAnsi="Times New Roman"/>
          <w:sz w:val="20"/>
          <w:szCs w:val="20"/>
          <w:i w:val="1"/>
          <w:iCs w:val="1"/>
          <w:color w:val="auto"/>
        </w:rPr>
        <w:t>Registre de Commerce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et des Sociétés de Luxembourg</w:t>
      </w:r>
      <w:r>
        <w:rPr>
          <w:rFonts w:ascii="Times New Roman" w:cs="Times New Roman" w:eastAsia="Times New Roman" w:hAnsi="Times New Roman"/>
          <w:sz w:val="20"/>
          <w:szCs w:val="20"/>
          <w:color w:val="auto"/>
        </w:rPr>
        <w:t>) under registration number B 131.092, (“Toro Luxembourg”), each of the Lenders (as defined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Credit Agreement) party hereto, and </w:t>
      </w: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Administrative Agent (the “</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 I T N E S S E T H:</w:t>
      </w:r>
    </w:p>
    <w:p>
      <w:pPr>
        <w:spacing w:after="0" w:line="172" w:lineRule="exact"/>
        <w:rPr>
          <w:sz w:val="20"/>
          <w:szCs w:val="20"/>
          <w:color w:val="auto"/>
        </w:rPr>
      </w:pPr>
    </w:p>
    <w:p>
      <w:pPr>
        <w:jc w:val="both"/>
        <w:ind w:firstLine="620"/>
        <w:spacing w:after="0" w:line="229"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Toro, Toro Luxembourg, the Designated Borrowers from time to time party thereto (together with Toro and Toro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Luxembourg,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the Administrative Agent and the Lenders from time to time party thereto have entered into that certain Amended and Restated Credit Agreement dated as of October 5, 2021 (as amended hereby and as may be amended, restated, amended and restated, extended, supplemented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all capitalized terms not otherwise defined herein shall have the respective meanings given thereto in the Credit Agreement); and</w:t>
      </w:r>
    </w:p>
    <w:p>
      <w:pPr>
        <w:spacing w:after="0" w:line="143" w:lineRule="exact"/>
        <w:rPr>
          <w:sz w:val="20"/>
          <w:szCs w:val="20"/>
          <w:color w:val="auto"/>
        </w:rPr>
      </w:pPr>
    </w:p>
    <w:p>
      <w:pPr>
        <w:jc w:val="both"/>
        <w:ind w:firstLine="620"/>
        <w:spacing w:after="0" w:line="237"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Toro has requested that the Credit Agreement be amended as set forth herein, and the Lenders party hereto have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agreed to such amendments subject to the conditions set forth herein;</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premises and the terms hereof, the parties hereto agree as follows:</w:t>
      </w:r>
    </w:p>
    <w:p>
      <w:pPr>
        <w:spacing w:after="0" w:line="172" w:lineRule="exact"/>
        <w:rPr>
          <w:sz w:val="20"/>
          <w:szCs w:val="20"/>
          <w:color w:val="auto"/>
        </w:rPr>
      </w:pPr>
    </w:p>
    <w:p>
      <w:pPr>
        <w:ind w:left="980" w:hanging="356"/>
        <w:spacing w:after="0"/>
        <w:tabs>
          <w:tab w:leader="none" w:pos="98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Amendments to Credit Agreement</w:t>
      </w:r>
      <w:r>
        <w:rPr>
          <w:rFonts w:ascii="Times New Roman" w:cs="Times New Roman" w:eastAsia="Times New Roman" w:hAnsi="Times New Roman"/>
          <w:sz w:val="21"/>
          <w:szCs w:val="21"/>
          <w:color w:val="auto"/>
        </w:rPr>
        <w:t>. Subject to the terms and conditions set forth herein,</w:t>
      </w:r>
    </w:p>
    <w:p>
      <w:pPr>
        <w:spacing w:after="0" w:line="175" w:lineRule="exact"/>
        <w:rPr>
          <w:rFonts w:ascii="Times New Roman" w:cs="Times New Roman" w:eastAsia="Times New Roman" w:hAnsi="Times New Roman"/>
          <w:sz w:val="21"/>
          <w:szCs w:val="21"/>
          <w:color w:val="auto"/>
        </w:rPr>
      </w:pPr>
    </w:p>
    <w:p>
      <w:pPr>
        <w:ind w:left="620" w:firstLine="624"/>
        <w:spacing w:after="0" w:line="236" w:lineRule="auto"/>
        <w:tabs>
          <w:tab w:leader="none" w:pos="1724"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Credit Agreement is hereby amended such that, after giving effect to all such amendments, it shall read in its entirety as set forth on </w:t>
      </w:r>
      <w:r>
        <w:rPr>
          <w:rFonts w:ascii="Times New Roman" w:cs="Times New Roman" w:eastAsia="Times New Roman" w:hAnsi="Times New Roman"/>
          <w:sz w:val="21"/>
          <w:szCs w:val="21"/>
          <w:u w:val="single" w:color="auto"/>
          <w:color w:val="auto"/>
        </w:rPr>
        <w:t>Annex I</w:t>
      </w:r>
      <w:r>
        <w:rPr>
          <w:rFonts w:ascii="Times New Roman" w:cs="Times New Roman" w:eastAsia="Times New Roman" w:hAnsi="Times New Roman"/>
          <w:sz w:val="21"/>
          <w:szCs w:val="21"/>
          <w:color w:val="auto"/>
        </w:rPr>
        <w:t xml:space="preserve"> attached hereto; and</w:t>
      </w:r>
    </w:p>
    <w:p>
      <w:pPr>
        <w:spacing w:after="0" w:line="145" w:lineRule="exact"/>
        <w:rPr>
          <w:rFonts w:ascii="Times New Roman" w:cs="Times New Roman" w:eastAsia="Times New Roman" w:hAnsi="Times New Roman"/>
          <w:sz w:val="21"/>
          <w:szCs w:val="21"/>
          <w:color w:val="auto"/>
        </w:rPr>
      </w:pPr>
    </w:p>
    <w:p>
      <w:pPr>
        <w:ind w:left="620" w:firstLine="624"/>
        <w:spacing w:after="0" w:line="236" w:lineRule="auto"/>
        <w:tabs>
          <w:tab w:leader="none" w:pos="1766"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the Credit Agreement (Form of Loan Notice) is amended such that, after giving effect to all such amendments, it shall read in its entirety as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 hereto.</w:t>
      </w:r>
    </w:p>
    <w:p>
      <w:pPr>
        <w:spacing w:after="0" w:line="141" w:lineRule="exact"/>
        <w:rPr>
          <w:rFonts w:ascii="Times New Roman" w:cs="Times New Roman" w:eastAsia="Times New Roman" w:hAnsi="Times New Roman"/>
          <w:sz w:val="21"/>
          <w:szCs w:val="21"/>
          <w:color w:val="auto"/>
        </w:rPr>
      </w:pPr>
    </w:p>
    <w:p>
      <w:pPr>
        <w:ind w:right="20" w:firstLine="624"/>
        <w:spacing w:after="0" w:line="227" w:lineRule="auto"/>
        <w:tabs>
          <w:tab w:leader="none" w:pos="982"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Effectiveness; Conditions Precedent</w:t>
      </w:r>
      <w:r>
        <w:rPr>
          <w:rFonts w:ascii="Times New Roman" w:cs="Times New Roman" w:eastAsia="Times New Roman" w:hAnsi="Times New Roman"/>
          <w:sz w:val="21"/>
          <w:szCs w:val="21"/>
          <w:color w:val="auto"/>
        </w:rPr>
        <w:t>. This Amendment, and the amendments to the Credit Agreement provided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1</w:t>
      </w:r>
      <w:r>
        <w:rPr>
          <w:rFonts w:ascii="Times New Roman" w:cs="Times New Roman" w:eastAsia="Times New Roman" w:hAnsi="Times New Roman"/>
          <w:sz w:val="21"/>
          <w:szCs w:val="21"/>
          <w:color w:val="auto"/>
        </w:rPr>
        <w:t xml:space="preserve"> hereof, shall become effective on the first Business Day on which the following conditions are satisfied or waived (such date,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jc w:val="both"/>
        <w:ind w:left="620" w:firstLine="624"/>
        <w:spacing w:after="0" w:line="220" w:lineRule="auto"/>
        <w:tabs>
          <w:tab w:leader="none" w:pos="1724"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have received counterparts of this Amendment, duly executed by the Borrowers, the Administrative Agent and the Lenders, which counterparts may be delivered by telefacsimile or other electronic means (including .pdf), but such delivery will be promptly followed by the delivery of original signature pages by each Person party hereto unless waived by the Administrative Agent.</w:t>
      </w:r>
    </w:p>
    <w:p>
      <w:pPr>
        <w:sectPr>
          <w:pgSz w:w="11900" w:h="16838" w:orient="portrait"/>
          <w:cols w:equalWidth="0" w:num="1">
            <w:col w:w="11240"/>
          </w:cols>
          <w:pgMar w:left="320" w:top="1336" w:right="339" w:bottom="1440" w:gutter="0" w:footer="0" w:header="0"/>
        </w:sectPr>
      </w:pPr>
    </w:p>
    <w:bookmarkStart w:id="50" w:name="page51"/>
    <w:bookmarkEnd w:id="50"/>
    <w:p>
      <w:pPr>
        <w:jc w:val="both"/>
        <w:ind w:left="620" w:firstLine="624"/>
        <w:spacing w:after="0" w:line="215" w:lineRule="auto"/>
        <w:tabs>
          <w:tab w:leader="none" w:pos="1796" w:val="left"/>
        </w:tabs>
        <w:numPr>
          <w:ilvl w:val="1"/>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fees and expenses payable to the Administrative Agent (including the fees, charges and disbursements of counsel (directly to such counsel if requested by the Administrative Agent) to the Administrative Agent (to the extent due and payable under </w:t>
      </w:r>
      <w:r>
        <w:rPr>
          <w:rFonts w:ascii="Times New Roman" w:cs="Times New Roman" w:eastAsia="Times New Roman" w:hAnsi="Times New Roman"/>
          <w:sz w:val="21"/>
          <w:szCs w:val="21"/>
          <w:u w:val="single" w:color="auto"/>
          <w:color w:val="auto"/>
        </w:rPr>
        <w:t>Section 11.04</w:t>
      </w:r>
      <w:r>
        <w:rPr>
          <w:rFonts w:ascii="Times New Roman" w:cs="Times New Roman" w:eastAsia="Times New Roman" w:hAnsi="Times New Roman"/>
          <w:sz w:val="21"/>
          <w:szCs w:val="21"/>
          <w:color w:val="auto"/>
        </w:rPr>
        <w:t xml:space="preserve"> of the Credit Agreement) to the extent invoiced prior to or on the date hereof, plus such additional amounts of such fees, charges and disbursements as shall constitute its reasonable estimate of such fees, charges and disbursements incurred or to be incurred by it through the date hereof shall have been paid in full (provided that such estimate shall not thereafter preclude a final settling of accounts between Toro and the Administrative Agent).</w:t>
      </w:r>
    </w:p>
    <w:p>
      <w:pPr>
        <w:spacing w:after="0" w:line="145" w:lineRule="exact"/>
        <w:rPr>
          <w:rFonts w:ascii="Times New Roman" w:cs="Times New Roman" w:eastAsia="Times New Roman" w:hAnsi="Times New Roman"/>
          <w:sz w:val="21"/>
          <w:szCs w:val="21"/>
          <w:color w:val="auto"/>
        </w:rPr>
      </w:pPr>
    </w:p>
    <w:p>
      <w:pPr>
        <w:ind w:firstLine="624"/>
        <w:spacing w:after="0" w:line="237" w:lineRule="auto"/>
        <w:tabs>
          <w:tab w:leader="none" w:pos="115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Representations and Warranties</w:t>
      </w:r>
      <w:r>
        <w:rPr>
          <w:rFonts w:ascii="Times New Roman" w:cs="Times New Roman" w:eastAsia="Times New Roman" w:hAnsi="Times New Roman"/>
          <w:sz w:val="21"/>
          <w:szCs w:val="21"/>
          <w:color w:val="auto"/>
        </w:rPr>
        <w:t>. In order to induce the Administrative Agent and the Lenders to enter into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each Borrower represents and warrants to the Administrative Agent and the Lenders, as follows:</w:t>
      </w:r>
    </w:p>
    <w:p>
      <w:pPr>
        <w:spacing w:after="0" w:line="134" w:lineRule="exact"/>
        <w:rPr>
          <w:rFonts w:ascii="Times New Roman" w:cs="Times New Roman" w:eastAsia="Times New Roman" w:hAnsi="Times New Roman"/>
          <w:sz w:val="21"/>
          <w:szCs w:val="21"/>
          <w:color w:val="auto"/>
        </w:rPr>
      </w:pPr>
    </w:p>
    <w:p>
      <w:pPr>
        <w:ind w:left="1800" w:hanging="556"/>
        <w:spacing w:after="0"/>
        <w:tabs>
          <w:tab w:leader="none" w:pos="180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exists as of the date hereof or will result from the amendments contemplated</w:t>
      </w: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hereby;</w:t>
      </w:r>
    </w:p>
    <w:p>
      <w:pPr>
        <w:spacing w:after="0" w:line="149" w:lineRule="exact"/>
        <w:rPr>
          <w:rFonts w:ascii="Times New Roman" w:cs="Times New Roman" w:eastAsia="Times New Roman" w:hAnsi="Times New Roman"/>
          <w:sz w:val="21"/>
          <w:szCs w:val="21"/>
          <w:color w:val="auto"/>
        </w:rPr>
      </w:pPr>
    </w:p>
    <w:p>
      <w:pPr>
        <w:jc w:val="both"/>
        <w:ind w:left="620" w:firstLine="624"/>
        <w:spacing w:after="0" w:line="212" w:lineRule="auto"/>
        <w:tabs>
          <w:tab w:leader="none" w:pos="175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of the Borrowers contained in Article V of the Credit Agreement and in each other Loan Document and other document furnished at any time under or in connection therewith, are true and correct in all material respects on and as of the date hereof, except (w) if a qualifier relating to materiality, Material Adverse Effect or other similar concept applies, such representation or warranty is true and correct in all respects, (x) to the extent that such representations and warranties specifically refer to an earlier date, in which case they shall be true and correct as of such earlier date, and (y) for purposes of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the representations and warranties contained in subsections (a) and (b)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5.05</w:t>
      </w:r>
      <w:r>
        <w:rPr>
          <w:rFonts w:ascii="Times New Roman" w:cs="Times New Roman" w:eastAsia="Times New Roman" w:hAnsi="Times New Roman"/>
          <w:sz w:val="21"/>
          <w:szCs w:val="21"/>
          <w:color w:val="auto"/>
        </w:rPr>
        <w:t xml:space="preserve"> of the Credit Agreement shall be deemed to refer to the most recent statements furnished pursuant to clauses (a) and (b), respectively, of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of the Credit Agreement, and excluding the representation and warranty set forth in </w:t>
      </w:r>
      <w:r>
        <w:rPr>
          <w:rFonts w:ascii="Times New Roman" w:cs="Times New Roman" w:eastAsia="Times New Roman" w:hAnsi="Times New Roman"/>
          <w:sz w:val="21"/>
          <w:szCs w:val="21"/>
          <w:u w:val="single" w:color="auto"/>
          <w:color w:val="auto"/>
        </w:rPr>
        <w:t>Section 5.22</w:t>
      </w:r>
      <w:r>
        <w:rPr>
          <w:rFonts w:ascii="Times New Roman" w:cs="Times New Roman" w:eastAsia="Times New Roman" w:hAnsi="Times New Roman"/>
          <w:sz w:val="21"/>
          <w:szCs w:val="21"/>
          <w:color w:val="auto"/>
        </w:rPr>
        <w:t xml:space="preserve"> of the Credit Agreement;</w:t>
      </w:r>
    </w:p>
    <w:p>
      <w:pPr>
        <w:spacing w:after="0" w:line="147" w:lineRule="exact"/>
        <w:rPr>
          <w:rFonts w:ascii="Times New Roman" w:cs="Times New Roman" w:eastAsia="Times New Roman" w:hAnsi="Times New Roman"/>
          <w:sz w:val="21"/>
          <w:szCs w:val="21"/>
          <w:color w:val="auto"/>
        </w:rPr>
      </w:pPr>
    </w:p>
    <w:p>
      <w:pPr>
        <w:ind w:left="620" w:firstLine="624"/>
        <w:spacing w:after="0" w:line="236" w:lineRule="auto"/>
        <w:tabs>
          <w:tab w:leader="none" w:pos="1826"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all requisite power and authority and all requisite governmental licenses, authorizations, consents and approvals to execute, deliver and perform its obligations under this Amendment;</w:t>
      </w:r>
    </w:p>
    <w:p>
      <w:pPr>
        <w:spacing w:after="0" w:line="145" w:lineRule="exact"/>
        <w:rPr>
          <w:rFonts w:ascii="Times New Roman" w:cs="Times New Roman" w:eastAsia="Times New Roman" w:hAnsi="Times New Roman"/>
          <w:sz w:val="21"/>
          <w:szCs w:val="21"/>
          <w:color w:val="auto"/>
        </w:rPr>
      </w:pPr>
    </w:p>
    <w:p>
      <w:pPr>
        <w:jc w:val="both"/>
        <w:ind w:left="620" w:firstLine="624"/>
        <w:spacing w:after="0" w:line="213" w:lineRule="auto"/>
        <w:tabs>
          <w:tab w:leader="none" w:pos="1745"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by each Borrower of this Amendment have been duly authorized by all necessary corporate or other organizational action, and do not and will not (i) contravene the terms of any of the Borrower’s Organization Documents; (ii) conflict with or result in any breach or contravention of, or the creation of any Lien under, or require any payment to be made under (A) any Contractual Obligation to which such Borrower is a party or affecting such Borrower or the properties of such Borrower or any of its Subsidiaries except to the extent that such conflict, breach, contravention, Lien or violation could not reasonably be expected to have a Material Adverse Effect or (B) any order, injunction, writ or decree of any Governmental Authority or any arbitral award to which such Borrower or its property is subject; or (iii) violate any Law; and</w:t>
      </w:r>
    </w:p>
    <w:p>
      <w:pPr>
        <w:spacing w:after="0" w:line="146" w:lineRule="exact"/>
        <w:rPr>
          <w:rFonts w:ascii="Times New Roman" w:cs="Times New Roman" w:eastAsia="Times New Roman" w:hAnsi="Times New Roman"/>
          <w:sz w:val="21"/>
          <w:szCs w:val="21"/>
          <w:color w:val="auto"/>
        </w:rPr>
      </w:pPr>
    </w:p>
    <w:p>
      <w:pPr>
        <w:ind w:left="620" w:firstLine="624"/>
        <w:spacing w:after="0" w:line="236" w:lineRule="auto"/>
        <w:tabs>
          <w:tab w:leader="none" w:pos="1806"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constitutes a legal, valid and binding obligation of each Borrower, enforceable against such Borrower in accordance with its terms.</w:t>
      </w:r>
    </w:p>
    <w:p>
      <w:pPr>
        <w:spacing w:after="0" w:line="141" w:lineRule="exact"/>
        <w:rPr>
          <w:rFonts w:ascii="Times New Roman" w:cs="Times New Roman" w:eastAsia="Times New Roman" w:hAnsi="Times New Roman"/>
          <w:sz w:val="21"/>
          <w:szCs w:val="21"/>
          <w:color w:val="auto"/>
        </w:rPr>
      </w:pPr>
    </w:p>
    <w:p>
      <w:pPr>
        <w:jc w:val="both"/>
        <w:ind w:firstLine="624"/>
        <w:spacing w:after="0" w:line="221" w:lineRule="auto"/>
        <w:tabs>
          <w:tab w:leader="none" w:pos="12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 This Amendment, together with all the other Loan Documents (collectively, the “</w:t>
      </w:r>
      <w:r>
        <w:rPr>
          <w:rFonts w:ascii="Times New Roman" w:cs="Times New Roman" w:eastAsia="Times New Roman" w:hAnsi="Times New Roman"/>
          <w:sz w:val="21"/>
          <w:szCs w:val="21"/>
          <w:u w:val="single" w:color="auto"/>
          <w:color w:val="auto"/>
        </w:rPr>
        <w:t>Relevant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Documents</w:t>
      </w:r>
      <w:r>
        <w:rPr>
          <w:rFonts w:ascii="Times New Roman" w:cs="Times New Roman" w:eastAsia="Times New Roman" w:hAnsi="Times New Roman"/>
          <w:sz w:val="21"/>
          <w:szCs w:val="21"/>
          <w:color w:val="auto"/>
        </w:rPr>
        <w:t>”),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42" w:right="339" w:bottom="1440" w:gutter="0" w:footer="0" w:header="0"/>
        </w:sectPr>
      </w:pPr>
    </w:p>
    <w:bookmarkStart w:id="51" w:name="page52"/>
    <w:bookmarkEnd w:id="51"/>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xml:space="preserve"> of the Credit Agreement.</w:t>
      </w:r>
    </w:p>
    <w:p>
      <w:pPr>
        <w:spacing w:after="0" w:line="145" w:lineRule="exact"/>
        <w:rPr>
          <w:sz w:val="20"/>
          <w:szCs w:val="20"/>
          <w:color w:val="auto"/>
        </w:rPr>
      </w:pPr>
    </w:p>
    <w:p>
      <w:pPr>
        <w:jc w:val="both"/>
        <w:ind w:firstLine="624"/>
        <w:spacing w:after="0" w:line="227" w:lineRule="auto"/>
        <w:tabs>
          <w:tab w:leader="none" w:pos="1008"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Full Force and Effect of Credit Agreement</w:t>
      </w:r>
      <w:r>
        <w:rPr>
          <w:rFonts w:ascii="Times New Roman" w:cs="Times New Roman" w:eastAsia="Times New Roman" w:hAnsi="Times New Roman"/>
          <w:sz w:val="21"/>
          <w:szCs w:val="21"/>
          <w:color w:val="auto"/>
        </w:rPr>
        <w:t>. Except as hereby specifically amended, waived, modified or supplemented,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Credit Agreement is hereby confirmed and ratified in all respects and shall be and remain in full force and effect according to its terms.</w:t>
      </w:r>
    </w:p>
    <w:p>
      <w:pPr>
        <w:spacing w:after="0" w:line="141" w:lineRule="exact"/>
        <w:rPr>
          <w:rFonts w:ascii="Times New Roman" w:cs="Times New Roman" w:eastAsia="Times New Roman" w:hAnsi="Times New Roman"/>
          <w:sz w:val="21"/>
          <w:szCs w:val="21"/>
          <w:color w:val="auto"/>
        </w:rPr>
      </w:pPr>
    </w:p>
    <w:p>
      <w:pPr>
        <w:ind w:right="200" w:firstLine="624"/>
        <w:spacing w:after="0" w:line="237" w:lineRule="auto"/>
        <w:tabs>
          <w:tab w:leader="none" w:pos="98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Amendment shall in all respects be governed by, and construed in accordance with, the laws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State of New York, and shall be further subject to the provisions of </w:t>
      </w:r>
      <w:r>
        <w:rPr>
          <w:rFonts w:ascii="Times New Roman" w:cs="Times New Roman" w:eastAsia="Times New Roman" w:hAnsi="Times New Roman"/>
          <w:sz w:val="21"/>
          <w:szCs w:val="21"/>
          <w:u w:val="single" w:color="auto"/>
          <w:color w:val="auto"/>
        </w:rPr>
        <w:t>Sections 11.14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11.15</w:t>
      </w:r>
      <w:r>
        <w:rPr>
          <w:rFonts w:ascii="Times New Roman" w:cs="Times New Roman" w:eastAsia="Times New Roman" w:hAnsi="Times New Roman"/>
          <w:sz w:val="21"/>
          <w:szCs w:val="21"/>
          <w:color w:val="auto"/>
        </w:rPr>
        <w:t xml:space="preserve"> of the Credit Agreement.</w:t>
      </w:r>
    </w:p>
    <w:p>
      <w:pPr>
        <w:spacing w:after="0" w:line="143" w:lineRule="exact"/>
        <w:rPr>
          <w:rFonts w:ascii="Times New Roman" w:cs="Times New Roman" w:eastAsia="Times New Roman" w:hAnsi="Times New Roman"/>
          <w:sz w:val="21"/>
          <w:szCs w:val="21"/>
          <w:color w:val="auto"/>
        </w:rPr>
      </w:pPr>
    </w:p>
    <w:p>
      <w:pPr>
        <w:jc w:val="both"/>
        <w:ind w:firstLine="624"/>
        <w:spacing w:after="0" w:line="218" w:lineRule="auto"/>
        <w:tabs>
          <w:tab w:leader="none" w:pos="1008"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Enforceability</w:t>
      </w:r>
      <w:r>
        <w:rPr>
          <w:rFonts w:ascii="Times New Roman" w:cs="Times New Roman" w:eastAsia="Times New Roman" w:hAnsi="Times New Roman"/>
          <w:sz w:val="21"/>
          <w:szCs w:val="21"/>
          <w:color w:val="auto"/>
        </w:rPr>
        <w:t>. If any provision of this Amendment is held to be illegal, invalid or unenforceable, (a) the legality, validity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enforceability of the remaining provisions of this Amendment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43" w:lineRule="exact"/>
        <w:rPr>
          <w:rFonts w:ascii="Times New Roman" w:cs="Times New Roman" w:eastAsia="Times New Roman" w:hAnsi="Times New Roman"/>
          <w:sz w:val="21"/>
          <w:szCs w:val="21"/>
          <w:color w:val="auto"/>
        </w:rPr>
      </w:pPr>
    </w:p>
    <w:p>
      <w:pPr>
        <w:jc w:val="both"/>
        <w:ind w:firstLine="624"/>
        <w:spacing w:after="0" w:line="221" w:lineRule="auto"/>
        <w:tabs>
          <w:tab w:leader="none" w:pos="98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References; Interpretation</w:t>
      </w:r>
      <w:r>
        <w:rPr>
          <w:rFonts w:ascii="Times New Roman" w:cs="Times New Roman" w:eastAsia="Times New Roman" w:hAnsi="Times New Roman"/>
          <w:sz w:val="21"/>
          <w:szCs w:val="21"/>
          <w:color w:val="auto"/>
        </w:rPr>
        <w:t>. All references in any of the Loan Documents to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shall mean the Credit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Agreement, as amended hereby. This Amendment shall be deemed incorporated into, and a part of, the Credit Agreement, and shall constitute a “Loan Document” under and as defined in the Credit Agreement. The rules of interpretation set forth in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of the Credit Agreement shall be applicable to this Amendment.</w:t>
      </w:r>
    </w:p>
    <w:p>
      <w:pPr>
        <w:spacing w:after="0" w:line="144" w:lineRule="exact"/>
        <w:rPr>
          <w:rFonts w:ascii="Times New Roman" w:cs="Times New Roman" w:eastAsia="Times New Roman" w:hAnsi="Times New Roman"/>
          <w:sz w:val="21"/>
          <w:szCs w:val="21"/>
          <w:color w:val="auto"/>
        </w:rPr>
      </w:pPr>
    </w:p>
    <w:p>
      <w:pPr>
        <w:jc w:val="both"/>
        <w:ind w:firstLine="624"/>
        <w:spacing w:after="0" w:line="227" w:lineRule="auto"/>
        <w:tabs>
          <w:tab w:leader="none" w:pos="1189"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Successors and Assigns</w:t>
      </w:r>
      <w:r>
        <w:rPr>
          <w:rFonts w:ascii="Times New Roman" w:cs="Times New Roman" w:eastAsia="Times New Roman" w:hAnsi="Times New Roman"/>
          <w:sz w:val="21"/>
          <w:szCs w:val="21"/>
          <w:color w:val="auto"/>
        </w:rPr>
        <w:t>. This Amendment shall be binding upon and inure to the benefit of the Company,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Administrative Agent and each of the Lenders, and their respective successors, legal representatives, and assignees to the extent such assignees are permitted assignees as provided in </w:t>
      </w:r>
      <w:r>
        <w:rPr>
          <w:rFonts w:ascii="Times New Roman" w:cs="Times New Roman" w:eastAsia="Times New Roman" w:hAnsi="Times New Roman"/>
          <w:sz w:val="21"/>
          <w:szCs w:val="21"/>
          <w:u w:val="single" w:color="auto"/>
          <w:color w:val="auto"/>
        </w:rPr>
        <w:t>Section 11.06</w:t>
      </w:r>
      <w:r>
        <w:rPr>
          <w:rFonts w:ascii="Times New Roman" w:cs="Times New Roman" w:eastAsia="Times New Roman" w:hAnsi="Times New Roman"/>
          <w:sz w:val="21"/>
          <w:szCs w:val="21"/>
          <w:color w:val="auto"/>
        </w:rPr>
        <w:t xml:space="preserve"> of the Credit Agreement.</w:t>
      </w:r>
    </w:p>
    <w:p>
      <w:pPr>
        <w:spacing w:after="0" w:line="141" w:lineRule="exact"/>
        <w:rPr>
          <w:rFonts w:ascii="Times New Roman" w:cs="Times New Roman" w:eastAsia="Times New Roman" w:hAnsi="Times New Roman"/>
          <w:sz w:val="21"/>
          <w:szCs w:val="21"/>
          <w:color w:val="auto"/>
        </w:rPr>
      </w:pPr>
    </w:p>
    <w:p>
      <w:pPr>
        <w:jc w:val="both"/>
        <w:ind w:firstLine="624"/>
        <w:spacing w:after="0" w:line="218" w:lineRule="auto"/>
        <w:tabs>
          <w:tab w:leader="none" w:pos="1098"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Novation; Reaffirmation</w:t>
      </w:r>
      <w:r>
        <w:rPr>
          <w:rFonts w:ascii="Times New Roman" w:cs="Times New Roman" w:eastAsia="Times New Roman" w:hAnsi="Times New Roman"/>
          <w:sz w:val="21"/>
          <w:szCs w:val="21"/>
          <w:color w:val="auto"/>
        </w:rPr>
        <w:t>. Neither the execution and delivery of this Amendment nor the consummation of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transaction contemplated hereunder is intended to constitute a novation of the Credit Agreement or of any of the other Loan Documents or any obligations thereunder. Each Borrower hereby (a) affirms and confirms each of the Loan Documents to which it is a party and its Obligations thereunder, and (b) agrees that, notwithstanding the effectiveness of this Amendment, each Loan Document shall continue to be in full force and effect.</w:t>
      </w:r>
    </w:p>
    <w:p>
      <w:pPr>
        <w:spacing w:after="0" w:line="143" w:lineRule="exact"/>
        <w:rPr>
          <w:rFonts w:ascii="Times New Roman" w:cs="Times New Roman" w:eastAsia="Times New Roman" w:hAnsi="Times New Roman"/>
          <w:sz w:val="21"/>
          <w:szCs w:val="21"/>
          <w:color w:val="auto"/>
        </w:rPr>
      </w:pPr>
    </w:p>
    <w:p>
      <w:pPr>
        <w:jc w:val="both"/>
        <w:ind w:firstLine="624"/>
        <w:spacing w:after="0" w:line="221" w:lineRule="auto"/>
        <w:tabs>
          <w:tab w:leader="none" w:pos="1181"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 This Amendment may be executed in any number of counterparts, each of which shall be deemed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original as against any party whose signature appears thereon, and all of which shall together constitute one and the same instrument. Delivery of an executed counterpart of a signature page of this Amendment by telecopy or other electronic means (including .pdf) shall be effective as delivery of a manually executed counterpart of this Amendment.</w:t>
      </w:r>
    </w:p>
    <w:p>
      <w:pPr>
        <w:spacing w:after="0" w:line="144" w:lineRule="exact"/>
        <w:rPr>
          <w:rFonts w:ascii="Times New Roman" w:cs="Times New Roman" w:eastAsia="Times New Roman" w:hAnsi="Times New Roman"/>
          <w:sz w:val="21"/>
          <w:szCs w:val="21"/>
          <w:color w:val="auto"/>
        </w:rPr>
      </w:pPr>
    </w:p>
    <w:p>
      <w:pPr>
        <w:ind w:right="120" w:firstLine="624"/>
        <w:spacing w:after="0" w:line="227" w:lineRule="auto"/>
        <w:tabs>
          <w:tab w:leader="none" w:pos="1085"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Outstanding Loans; Continuation of Existing Interest Periods</w:t>
      </w:r>
      <w:r>
        <w:rPr>
          <w:rFonts w:ascii="Times New Roman" w:cs="Times New Roman" w:eastAsia="Times New Roman" w:hAnsi="Times New Roman"/>
          <w:sz w:val="21"/>
          <w:szCs w:val="21"/>
          <w:color w:val="auto"/>
        </w:rPr>
        <w:t>. On the date hereof, Toro will prepay Revolving Credit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Loans pursuant to </w:t>
      </w:r>
      <w:r>
        <w:rPr>
          <w:rFonts w:ascii="Times New Roman" w:cs="Times New Roman" w:eastAsia="Times New Roman" w:hAnsi="Times New Roman"/>
          <w:sz w:val="21"/>
          <w:szCs w:val="21"/>
          <w:u w:val="single" w:color="auto"/>
          <w:color w:val="auto"/>
        </w:rPr>
        <w:t>Section 2.05(a)(i)</w:t>
      </w:r>
      <w:r>
        <w:rPr>
          <w:rFonts w:ascii="Times New Roman" w:cs="Times New Roman" w:eastAsia="Times New Roman" w:hAnsi="Times New Roman"/>
          <w:sz w:val="21"/>
          <w:szCs w:val="21"/>
          <w:color w:val="auto"/>
        </w:rPr>
        <w:t xml:space="preserve"> of the Credit Agreement with the proceeds of loans made under that certain Term Loan Credit Agreement, dated as of the date hereof, by and among Toro, the lenders party thereto, and Bank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42" w:right="339" w:bottom="1440" w:gutter="0" w:footer="0" w:header="0"/>
        </w:sectPr>
      </w:pPr>
    </w:p>
    <w:bookmarkStart w:id="52" w:name="page53"/>
    <w:bookmarkEnd w:id="52"/>
    <w:p>
      <w:pPr>
        <w:spacing w:after="0" w:line="211" w:lineRule="auto"/>
        <w:rPr>
          <w:sz w:val="20"/>
          <w:szCs w:val="20"/>
          <w:color w:val="auto"/>
        </w:rPr>
      </w:pPr>
      <w:r>
        <w:rPr>
          <w:rFonts w:ascii="Times New Roman" w:cs="Times New Roman" w:eastAsia="Times New Roman" w:hAnsi="Times New Roman"/>
          <w:sz w:val="21"/>
          <w:szCs w:val="21"/>
          <w:color w:val="auto"/>
        </w:rPr>
        <w:t>as administrative agent. In connection with such prepayment of Revolving Credit Loans on the date hereof, each of the Lenders party hereto consents to any early termination of any Interest Periods for any Eurocurrency Rate Loans (as defined in the Credit Agreement immediately prior to giving effect to this Amendment (the “</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 xml:space="preserve">”)) in respect of such prepayment and agrees to waive any amounts to which it might otherwise be entitled under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of the Existing Credit Agreement in connection therewith. This Amendment shall qualify as the requisite notice pursuant to </w:t>
      </w:r>
      <w:r>
        <w:rPr>
          <w:rFonts w:ascii="Times New Roman" w:cs="Times New Roman" w:eastAsia="Times New Roman" w:hAnsi="Times New Roman"/>
          <w:sz w:val="21"/>
          <w:szCs w:val="21"/>
          <w:u w:val="single" w:color="auto"/>
          <w:color w:val="auto"/>
        </w:rPr>
        <w:t>Section 2.05(a)(i)</w:t>
      </w:r>
      <w:r>
        <w:rPr>
          <w:rFonts w:ascii="Times New Roman" w:cs="Times New Roman" w:eastAsia="Times New Roman" w:hAnsi="Times New Roman"/>
          <w:sz w:val="21"/>
          <w:szCs w:val="21"/>
          <w:color w:val="auto"/>
        </w:rPr>
        <w:t xml:space="preserve"> of the Credit Agreement. For the avoidance of doubt, Base Rate Loans outstanding under the Existing Credit Agreement on the Effective Date shall accrue interest at the Base Rate under the Credit Agreement; and the parties hereto agree that the Interest Periods for all Loans outstanding under the Existing Credit Agreement on the Effective Date (and not otherwise prepaid on the date hereof as referenced above) shall remain in effect for such Eurocurrency Rate Loans without renewal, interruption or extension as Loans under the Credit Agreement, and shall accrue interest at the applicable reference rate under the Existing Credit Agreement, until the end of such Interest Period.</w:t>
      </w:r>
    </w:p>
    <w:p>
      <w:pPr>
        <w:spacing w:after="0" w:line="1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[Remainder of page is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20"/>
          </w:cols>
          <w:pgMar w:left="320" w:top="1342"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0"/>
          <w:szCs w:val="20"/>
          <w:i w:val="1"/>
          <w:iCs w:val="1"/>
          <w:color w:val="auto"/>
        </w:rPr>
        <w:t>IN WITNESS WHEREOF</w:t>
      </w:r>
      <w:r>
        <w:rPr>
          <w:rFonts w:ascii="Times New Roman" w:cs="Times New Roman" w:eastAsia="Times New Roman" w:hAnsi="Times New Roman"/>
          <w:sz w:val="20"/>
          <w:szCs w:val="20"/>
          <w:color w:val="auto"/>
        </w:rPr>
        <w:t>, the parties hereto have caused this Amendment to be duly executed as of the date first above written.</w:t>
      </w:r>
    </w:p>
    <w:p>
      <w:pPr>
        <w:spacing w:after="0" w:line="23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b w:val="1"/>
          <w:bCs w:val="1"/>
          <w:color w:val="auto"/>
        </w:rPr>
        <w:t>THE TORO COMPANY</w:t>
      </w: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By: /s/ Renee J. Peterson</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Name: Renee J. Peterson</w:t>
      </w:r>
    </w:p>
    <w:p>
      <w:pPr>
        <w:spacing w:after="0" w:line="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Title: Vice President and Chief Financial Officer</w:t>
      </w:r>
    </w:p>
    <w:p>
      <w:pPr>
        <w:spacing w:after="0" w:line="2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By: /s/ Julie A. Kerekes</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Name: Julie A. Kerekes</w:t>
      </w:r>
    </w:p>
    <w:p>
      <w:pPr>
        <w:jc w:val="right"/>
        <w:spacing w:after="0"/>
        <w:tabs>
          <w:tab w:leader="none" w:pos="1980" w:val="left"/>
        </w:tabs>
        <w:rPr>
          <w:sz w:val="20"/>
          <w:szCs w:val="20"/>
          <w:color w:val="auto"/>
        </w:rPr>
      </w:pPr>
      <w:r>
        <w:rPr>
          <w:rFonts w:ascii="Times New Roman" w:cs="Times New Roman" w:eastAsia="Times New Roman" w:hAnsi="Times New Roman"/>
          <w:sz w:val="21"/>
          <w:szCs w:val="21"/>
          <w:color w:val="auto"/>
        </w:rPr>
        <w:t>Title: Treasurer and Senior Managing Director,</w:t>
      </w:r>
      <w:r>
        <w:rPr>
          <w:sz w:val="20"/>
          <w:szCs w:val="20"/>
          <w:color w:val="auto"/>
        </w:rPr>
        <w:tab/>
      </w:r>
      <w:r>
        <w:rPr>
          <w:rFonts w:ascii="Times New Roman" w:cs="Times New Roman" w:eastAsia="Times New Roman" w:hAnsi="Times New Roman"/>
          <w:sz w:val="20"/>
          <w:szCs w:val="20"/>
          <w:color w:val="auto"/>
        </w:rPr>
        <w:t>Global Tax and Investor</w:t>
      </w:r>
    </w:p>
    <w:p>
      <w:pPr>
        <w:ind w:left="4420"/>
        <w:spacing w:after="0"/>
        <w:rPr>
          <w:sz w:val="20"/>
          <w:szCs w:val="20"/>
          <w:color w:val="auto"/>
        </w:rPr>
      </w:pPr>
      <w:r>
        <w:rPr>
          <w:rFonts w:ascii="Times New Roman" w:cs="Times New Roman" w:eastAsia="Times New Roman" w:hAnsi="Times New Roman"/>
          <w:sz w:val="21"/>
          <w:szCs w:val="21"/>
          <w:color w:val="auto"/>
        </w:rPr>
        <w:t>Relations</w:t>
      </w:r>
    </w:p>
    <w:p>
      <w:pPr>
        <w:spacing w:after="0" w:line="200" w:lineRule="exact"/>
        <w:rPr>
          <w:sz w:val="20"/>
          <w:szCs w:val="20"/>
          <w:color w:val="auto"/>
        </w:rPr>
      </w:pPr>
    </w:p>
    <w:p>
      <w:pPr>
        <w:spacing w:after="0" w:line="2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b w:val="1"/>
          <w:bCs w:val="1"/>
          <w:color w:val="auto"/>
        </w:rPr>
        <w:t>TORO LUXEMBOURG S.A.R.L.</w:t>
      </w: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By: /s/ Julie A. Kerekes</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Name: Julie A. Kerekes</w:t>
      </w:r>
    </w:p>
    <w:p>
      <w:pPr>
        <w:spacing w:after="0" w:line="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Title: Class A Manager</w:t>
      </w:r>
    </w:p>
    <w:p>
      <w:pPr>
        <w:spacing w:after="0" w:line="2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By: /s/ Usama Ajan</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Name: Usama Ajan</w:t>
      </w:r>
    </w:p>
    <w:p>
      <w:pPr>
        <w:spacing w:after="0" w:line="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color w:val="auto"/>
        </w:rPr>
        <w:t>Title: Class B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21"/>
          <w:szCs w:val="21"/>
          <w:color w:val="auto"/>
        </w:rPr>
        <w:t>The Toro Company</w:t>
      </w:r>
    </w:p>
    <w:p>
      <w:pPr>
        <w:spacing w:after="0" w:line="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21"/>
          <w:szCs w:val="21"/>
          <w:color w:val="auto"/>
        </w:rPr>
        <w:t>AMENDMENT NO. I TO AMENDED AND RESTATED CREDIT AGREEMENT</w:t>
      </w:r>
    </w:p>
    <w:p>
      <w:pPr>
        <w:jc w:val="center"/>
        <w:ind w:right="580"/>
        <w:spacing w:after="0"/>
        <w:rPr>
          <w:sz w:val="20"/>
          <w:szCs w:val="20"/>
          <w:color w:val="auto"/>
        </w:rPr>
      </w:pPr>
      <w:r>
        <w:rPr>
          <w:rFonts w:ascii="Times New Roman" w:cs="Times New Roman" w:eastAsia="Times New Roman" w:hAnsi="Times New Roman"/>
          <w:sz w:val="21"/>
          <w:szCs w:val="21"/>
          <w:color w:val="auto"/>
        </w:rPr>
        <w:t>Signature Page</w:t>
      </w:r>
    </w:p>
    <w:p>
      <w:pPr>
        <w:sectPr>
          <w:pgSz w:w="11900" w:h="16838" w:orient="portrait"/>
          <w:cols w:equalWidth="0" w:num="1">
            <w:col w:w="10580"/>
          </w:cols>
          <w:pgMar w:left="940" w:top="1338" w:right="379" w:bottom="1440" w:gutter="0" w:footer="0" w:header="0"/>
        </w:sectPr>
      </w:pPr>
    </w:p>
    <w:bookmarkStart w:id="54" w:name="page55"/>
    <w:bookmarkEnd w:id="54"/>
    <w:p>
      <w:pPr>
        <w:spacing w:after="0" w:line="38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b w:val="1"/>
          <w:bCs w:val="1"/>
          <w:color w:val="auto"/>
        </w:rPr>
        <w:t>BANK OF AMERICA, N.A. as</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Administrative Agent</w:t>
      </w:r>
    </w:p>
    <w:p>
      <w:pPr>
        <w:spacing w:after="0" w:line="2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By: /s/ Angela Larkin</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Name: Angela Larkin</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The Toro Company</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I TO AMENDED AND RESTATED CREDIT AGREEMENT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w:t>
      </w:r>
    </w:p>
    <w:p>
      <w:pPr>
        <w:sectPr>
          <w:pgSz w:w="11900" w:h="16838" w:orient="portrait"/>
          <w:cols w:equalWidth="0" w:num="1">
            <w:col w:w="9019"/>
          </w:cols>
          <w:pgMar w:left="1440" w:top="1440" w:right="1440" w:bottom="1440" w:gutter="0" w:footer="0" w:header="0"/>
        </w:sectPr>
      </w:pPr>
    </w:p>
    <w:bookmarkStart w:id="55" w:name="page56"/>
    <w:bookmarkEnd w:id="55"/>
    <w:p>
      <w:pPr>
        <w:spacing w:after="0" w:line="38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 xml:space="preserve">BANK OF AMERICA, N.A. </w:t>
      </w:r>
      <w:r>
        <w:rPr>
          <w:rFonts w:ascii="Times New Roman" w:cs="Times New Roman" w:eastAsia="Times New Roman" w:hAnsi="Times New Roman"/>
          <w:sz w:val="20"/>
          <w:szCs w:val="20"/>
          <w:color w:val="auto"/>
        </w:rPr>
        <w:t>as Lender, L/C Issuer</w:t>
      </w:r>
    </w:p>
    <w:p>
      <w:pPr>
        <w:spacing w:after="0" w:line="4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And Swing Line Lender</w:t>
      </w:r>
    </w:p>
    <w:p>
      <w:pPr>
        <w:spacing w:after="0" w:line="2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By: /s/ A. Quinn Richardson</w:t>
      </w:r>
    </w:p>
    <w:p>
      <w:pPr>
        <w:spacing w:after="0" w:line="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Name: A. Quinn Richardson</w:t>
      </w:r>
    </w:p>
    <w:p>
      <w:pPr>
        <w:spacing w:after="0" w:line="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The Toro Company</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I TO AMENDED AND RESTATED CREDIT AGREEMENT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w:t>
      </w:r>
    </w:p>
    <w:p>
      <w:pPr>
        <w:sectPr>
          <w:pgSz w:w="11900" w:h="16838" w:orient="portrait"/>
          <w:cols w:equalWidth="0" w:num="1">
            <w:col w:w="9019"/>
          </w:cols>
          <w:pgMar w:left="1440" w:top="1440" w:right="1440" w:bottom="1440" w:gutter="0" w:footer="0" w:header="0"/>
        </w:sectPr>
      </w:pPr>
    </w:p>
    <w:bookmarkStart w:id="56" w:name="page57"/>
    <w:bookmarkEnd w:id="56"/>
    <w:p>
      <w:pPr>
        <w:spacing w:after="0" w:line="38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 xml:space="preserve">U.S. BANK NATIONAL ASSOCIATION, </w:t>
      </w:r>
      <w:r>
        <w:rPr>
          <w:rFonts w:ascii="Times New Roman" w:cs="Times New Roman" w:eastAsia="Times New Roman" w:hAnsi="Times New Roman"/>
          <w:sz w:val="20"/>
          <w:szCs w:val="20"/>
          <w:color w:val="auto"/>
        </w:rPr>
        <w:t>as a Lender</w:t>
      </w:r>
    </w:p>
    <w:p>
      <w:pPr>
        <w:spacing w:after="0" w:line="25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By: /s/ Andrew C. Feikema</w:t>
      </w:r>
    </w:p>
    <w:p>
      <w:pPr>
        <w:spacing w:after="0" w:line="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Name: Andrew C. Feikema</w:t>
      </w:r>
    </w:p>
    <w:p>
      <w:pPr>
        <w:spacing w:after="0" w:line="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The Toro Company</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I TO AMENDED AND RESTATED CREDIT AGREEMENT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w:t>
      </w:r>
    </w:p>
    <w:p>
      <w:pPr>
        <w:sectPr>
          <w:pgSz w:w="11900" w:h="16838" w:orient="portrait"/>
          <w:cols w:equalWidth="0" w:num="1">
            <w:col w:w="9019"/>
          </w:cols>
          <w:pgMar w:left="1440" w:top="1440" w:right="1440" w:bottom="1440" w:gutter="0" w:footer="0" w:header="0"/>
        </w:sectPr>
      </w:pPr>
    </w:p>
    <w:bookmarkStart w:id="57" w:name="page58"/>
    <w:bookmarkEnd w:id="57"/>
    <w:p>
      <w:pPr>
        <w:spacing w:after="0" w:line="38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 xml:space="preserve">WELLS FARGO BANK, NATIONAL ASSOCIATION, </w:t>
      </w:r>
      <w:r>
        <w:rPr>
          <w:rFonts w:ascii="Times New Roman" w:cs="Times New Roman" w:eastAsia="Times New Roman" w:hAnsi="Times New Roman"/>
          <w:sz w:val="20"/>
          <w:szCs w:val="20"/>
          <w:color w:val="auto"/>
        </w:rPr>
        <w:t>as a Lender</w:t>
      </w:r>
    </w:p>
    <w:p>
      <w:pPr>
        <w:spacing w:after="0" w:line="25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By: /s/ Kay Reedy</w:t>
      </w:r>
    </w:p>
    <w:p>
      <w:pPr>
        <w:spacing w:after="0" w:line="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Name: Kay Reedy</w:t>
      </w:r>
    </w:p>
    <w:p>
      <w:pPr>
        <w:spacing w:after="0" w:line="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1"/>
          <w:szCs w:val="21"/>
          <w:color w:val="auto"/>
        </w:rPr>
        <w:t>The Toro Company</w:t>
      </w:r>
    </w:p>
    <w:p>
      <w:pPr>
        <w:spacing w:after="0" w:line="1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0"/>
          <w:szCs w:val="20"/>
          <w:color w:val="auto"/>
        </w:rPr>
        <w:t>AMENDMENT NO. I TO AMENDED AND RESTATED CREDIT AGREEMENT</w:t>
      </w:r>
    </w:p>
    <w:p>
      <w:pPr>
        <w:spacing w:after="0" w:line="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21"/>
          <w:szCs w:val="21"/>
          <w:color w:val="auto"/>
        </w:rPr>
        <w:t>Signature Page</w:t>
      </w:r>
    </w:p>
    <w:p>
      <w:pPr>
        <w:sectPr>
          <w:pgSz w:w="11900" w:h="16838" w:orient="portrait"/>
          <w:cols w:equalWidth="0" w:num="1">
            <w:col w:w="9620"/>
          </w:cols>
          <w:pgMar w:left="1440" w:top="1440" w:right="839" w:bottom="1440" w:gutter="0" w:footer="0" w:header="0"/>
        </w:sectPr>
      </w:pPr>
    </w:p>
    <w:bookmarkStart w:id="58" w:name="page59"/>
    <w:bookmarkEnd w:id="58"/>
    <w:p>
      <w:pPr>
        <w:spacing w:after="0" w:line="200" w:lineRule="exact"/>
        <w:rPr>
          <w:sz w:val="20"/>
          <w:szCs w:val="20"/>
          <w:color w:val="auto"/>
        </w:rPr>
      </w:pPr>
    </w:p>
    <w:p>
      <w:pPr>
        <w:spacing w:after="0" w:line="218" w:lineRule="exact"/>
        <w:rPr>
          <w:sz w:val="20"/>
          <w:szCs w:val="20"/>
          <w:color w:val="auto"/>
        </w:rPr>
      </w:pPr>
    </w:p>
    <w:p>
      <w:pPr>
        <w:ind w:left="3660"/>
        <w:spacing w:after="0"/>
        <w:rPr>
          <w:sz w:val="20"/>
          <w:szCs w:val="20"/>
          <w:color w:val="auto"/>
        </w:rPr>
      </w:pPr>
      <w:r>
        <w:rPr>
          <w:rFonts w:ascii="Arial" w:cs="Arial" w:eastAsia="Arial" w:hAnsi="Arial"/>
          <w:sz w:val="21"/>
          <w:szCs w:val="21"/>
          <w:b w:val="1"/>
          <w:bCs w:val="1"/>
          <w:color w:val="auto"/>
        </w:rPr>
        <w:t xml:space="preserve">BMO HARRIS BANK N.A., </w:t>
      </w:r>
      <w:r>
        <w:rPr>
          <w:rFonts w:ascii="Arial" w:cs="Arial" w:eastAsia="Arial" w:hAnsi="Arial"/>
          <w:sz w:val="21"/>
          <w:szCs w:val="21"/>
          <w:color w:val="auto"/>
        </w:rPr>
        <w:t>as a Lender</w:t>
      </w:r>
    </w:p>
    <w:p>
      <w:pPr>
        <w:spacing w:after="0" w:line="25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By: /s/ Corey Noland</w:t>
      </w:r>
    </w:p>
    <w:p>
      <w:pPr>
        <w:spacing w:after="0" w:line="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Name: Corey Noland</w:t>
      </w:r>
    </w:p>
    <w:p>
      <w:pPr>
        <w:spacing w:after="0" w:line="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The Toro Company</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I TO AMENDED AND RESTATED CREDIT AGREEMENT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w:t>
      </w:r>
    </w:p>
    <w:p>
      <w:pPr>
        <w:sectPr>
          <w:pgSz w:w="11900" w:h="16838" w:orient="portrait"/>
          <w:cols w:equalWidth="0" w:num="1">
            <w:col w:w="9019"/>
          </w:cols>
          <w:pgMar w:left="1440" w:top="1440" w:right="1440" w:bottom="1440" w:gutter="0" w:footer="0" w:header="0"/>
        </w:sectPr>
      </w:pPr>
    </w:p>
    <w:bookmarkStart w:id="59" w:name="page60"/>
    <w:bookmarkEnd w:id="59"/>
    <w:p>
      <w:pPr>
        <w:spacing w:after="0" w:line="38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 xml:space="preserve">HSBC BANK USA, NATIONAL ASSOCIATION, </w:t>
      </w:r>
      <w:r>
        <w:rPr>
          <w:rFonts w:ascii="Times New Roman" w:cs="Times New Roman" w:eastAsia="Times New Roman" w:hAnsi="Times New Roman"/>
          <w:sz w:val="20"/>
          <w:szCs w:val="20"/>
          <w:color w:val="auto"/>
        </w:rPr>
        <w:t>as a Lender</w:t>
      </w:r>
    </w:p>
    <w:p>
      <w:pPr>
        <w:spacing w:after="0" w:line="25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By: /s/ Kyle Patterson</w:t>
      </w:r>
    </w:p>
    <w:p>
      <w:pPr>
        <w:spacing w:after="0" w:line="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Name: Kyle Patterson</w:t>
      </w:r>
    </w:p>
    <w:p>
      <w:pPr>
        <w:spacing w:after="0" w:line="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color w:val="auto"/>
        </w:rPr>
        <w:t>The Toro Company</w:t>
      </w:r>
    </w:p>
    <w:p>
      <w:pPr>
        <w:spacing w:after="0" w:line="1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AMENDMENT NO. I TO AMENDED AND RESTATED CREDIT AGREEMENT</w:t>
      </w:r>
    </w:p>
    <w:p>
      <w:pPr>
        <w:spacing w:after="0" w:line="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1"/>
          <w:szCs w:val="21"/>
          <w:color w:val="auto"/>
        </w:rPr>
        <w:t>Signature Page</w:t>
      </w:r>
    </w:p>
    <w:p>
      <w:pPr>
        <w:sectPr>
          <w:pgSz w:w="11900" w:h="16838" w:orient="portrait"/>
          <w:cols w:equalWidth="0" w:num="1">
            <w:col w:w="9120"/>
          </w:cols>
          <w:pgMar w:left="1440" w:top="1440" w:right="1339" w:bottom="1440" w:gutter="0" w:footer="0" w:header="0"/>
        </w:sectPr>
      </w:pPr>
    </w:p>
    <w:bookmarkStart w:id="60" w:name="page61"/>
    <w:bookmarkEnd w:id="60"/>
    <w:p>
      <w:pPr>
        <w:spacing w:after="0" w:line="38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auto"/>
        </w:rPr>
        <w:t xml:space="preserve">JPMORGAN CHASE BANK, N.A., </w:t>
      </w:r>
      <w:r>
        <w:rPr>
          <w:rFonts w:ascii="Times New Roman" w:cs="Times New Roman" w:eastAsia="Times New Roman" w:hAnsi="Times New Roman"/>
          <w:sz w:val="21"/>
          <w:szCs w:val="21"/>
          <w:color w:val="auto"/>
        </w:rPr>
        <w:t>as a Lender</w:t>
      </w:r>
    </w:p>
    <w:p>
      <w:pPr>
        <w:spacing w:after="0" w:line="24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By: /s/ James Kyle O’Donnell</w:t>
      </w:r>
    </w:p>
    <w:p>
      <w:pPr>
        <w:spacing w:after="0" w:line="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Name: James Kyle O’Donnell</w:t>
      </w:r>
    </w:p>
    <w:p>
      <w:pPr>
        <w:spacing w:after="0" w:line="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The Toro Company</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I TO AMENDED AND RESTATED CREDIT AGREEMENT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w:t>
      </w:r>
    </w:p>
    <w:p>
      <w:pPr>
        <w:sectPr>
          <w:pgSz w:w="11900" w:h="16838" w:orient="portrait"/>
          <w:cols w:equalWidth="0" w:num="1">
            <w:col w:w="9019"/>
          </w:cols>
          <w:pgMar w:left="1440" w:top="1440" w:right="1440" w:bottom="1440" w:gutter="0" w:footer="0" w:header="0"/>
        </w:sectPr>
      </w:pPr>
    </w:p>
    <w:bookmarkStart w:id="61" w:name="page62"/>
    <w:bookmarkEnd w:id="61"/>
    <w:p>
      <w:pPr>
        <w:spacing w:after="0" w:line="38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 xml:space="preserve">PNC BANK, NATIONAL ASSOCIATION, </w:t>
      </w:r>
      <w:r>
        <w:rPr>
          <w:rFonts w:ascii="Times New Roman" w:cs="Times New Roman" w:eastAsia="Times New Roman" w:hAnsi="Times New Roman"/>
          <w:sz w:val="20"/>
          <w:szCs w:val="20"/>
          <w:color w:val="auto"/>
        </w:rPr>
        <w:t>as a Lender</w:t>
      </w:r>
    </w:p>
    <w:p>
      <w:pPr>
        <w:spacing w:after="0" w:line="25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By: /s/ Ana Gaytan</w:t>
      </w:r>
    </w:p>
    <w:p>
      <w:pPr>
        <w:spacing w:after="0" w:line="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Name: Ana Gaytan</w:t>
      </w:r>
    </w:p>
    <w:p>
      <w:pPr>
        <w:spacing w:after="0" w:line="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The Toro Company</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I TO AMENDED AND RESTATED CREDIT AGREEMENT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w:t>
      </w:r>
    </w:p>
    <w:p>
      <w:pPr>
        <w:sectPr>
          <w:pgSz w:w="11900" w:h="16838" w:orient="portrait"/>
          <w:cols w:equalWidth="0" w:num="1">
            <w:col w:w="9019"/>
          </w:cols>
          <w:pgMar w:left="1440" w:top="1440" w:right="1440" w:bottom="1440" w:gutter="0" w:footer="0" w:header="0"/>
        </w:sectPr>
      </w:pPr>
    </w:p>
    <w:bookmarkStart w:id="62" w:name="page63"/>
    <w:bookmarkEnd w:id="62"/>
    <w:p>
      <w:pPr>
        <w:spacing w:after="0" w:line="38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b w:val="1"/>
          <w:bCs w:val="1"/>
          <w:color w:val="auto"/>
        </w:rPr>
        <w:t xml:space="preserve">TRUIST BANK, </w:t>
      </w:r>
      <w:r>
        <w:rPr>
          <w:rFonts w:ascii="Times New Roman" w:cs="Times New Roman" w:eastAsia="Times New Roman" w:hAnsi="Times New Roman"/>
          <w:sz w:val="21"/>
          <w:szCs w:val="21"/>
          <w:color w:val="auto"/>
        </w:rPr>
        <w:t>as a Lender</w:t>
      </w:r>
    </w:p>
    <w:p>
      <w:pPr>
        <w:spacing w:after="0" w:line="24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By: /s/ Jason Hembree</w:t>
      </w:r>
    </w:p>
    <w:p>
      <w:pPr>
        <w:spacing w:after="0" w:line="2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Name: Jason Hembree</w:t>
      </w:r>
    </w:p>
    <w:p>
      <w:pPr>
        <w:spacing w:after="0" w:line="1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The Toro Company</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I TO AMENDED AND RESTATED CREDIT AGREEMENT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w:t>
      </w:r>
    </w:p>
    <w:p>
      <w:pPr>
        <w:sectPr>
          <w:pgSz w:w="11900" w:h="16838" w:orient="portrait"/>
          <w:cols w:equalWidth="0" w:num="1">
            <w:col w:w="9019"/>
          </w:cols>
          <w:pgMar w:left="1440" w:top="1440" w:right="1440"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Annex I</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(to Amendment No. 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attached conformed Credit Agreement.]</w:t>
      </w:r>
    </w:p>
    <w:p>
      <w:pPr>
        <w:sectPr>
          <w:pgSz w:w="11900" w:h="16838" w:orient="portrait"/>
          <w:cols w:equalWidth="0" w:num="1">
            <w:col w:w="9019"/>
          </w:cols>
          <w:pgMar w:left="1440" w:top="1338" w:right="1440" w:bottom="1440" w:gutter="0" w:footer="0" w:header="0"/>
        </w:sectPr>
      </w:pPr>
    </w:p>
    <w:bookmarkStart w:id="64" w:name="page65"/>
    <w:bookmarkEnd w:id="64"/>
    <w:p>
      <w:pPr>
        <w:jc w:val="right"/>
        <w:ind w:right="40"/>
        <w:spacing w:after="0"/>
        <w:rPr>
          <w:sz w:val="20"/>
          <w:szCs w:val="20"/>
          <w:color w:val="auto"/>
        </w:rPr>
      </w:pPr>
      <w:r>
        <w:rPr>
          <w:rFonts w:ascii="Times New Roman" w:cs="Times New Roman" w:eastAsia="Times New Roman" w:hAnsi="Times New Roman"/>
          <w:sz w:val="21"/>
          <w:szCs w:val="21"/>
          <w:color w:val="auto"/>
        </w:rPr>
        <w:t>Published Deal CUSIP: 891091AN0</w:t>
      </w:r>
    </w:p>
    <w:p>
      <w:pPr>
        <w:jc w:val="right"/>
        <w:ind w:right="40"/>
        <w:spacing w:after="0" w:line="205" w:lineRule="auto"/>
        <w:rPr>
          <w:sz w:val="20"/>
          <w:szCs w:val="20"/>
          <w:color w:val="auto"/>
        </w:rPr>
      </w:pPr>
      <w:r>
        <w:rPr>
          <w:rFonts w:ascii="Times New Roman" w:cs="Times New Roman" w:eastAsia="Times New Roman" w:hAnsi="Times New Roman"/>
          <w:sz w:val="21"/>
          <w:szCs w:val="21"/>
          <w:color w:val="auto"/>
        </w:rPr>
        <w:t>Published Revolver CUSIP: 891091AP5</w:t>
      </w:r>
    </w:p>
    <w:p>
      <w:pPr>
        <w:jc w:val="right"/>
        <w:spacing w:after="0"/>
        <w:rPr>
          <w:sz w:val="20"/>
          <w:szCs w:val="20"/>
          <w:color w:val="auto"/>
        </w:rPr>
      </w:pPr>
      <w:r>
        <w:rPr>
          <w:rFonts w:ascii="Times New Roman" w:cs="Times New Roman" w:eastAsia="Times New Roman" w:hAnsi="Times New Roman"/>
          <w:sz w:val="21"/>
          <w:szCs w:val="21"/>
          <w:color w:val="auto"/>
        </w:rPr>
        <w:t>Published Term Loan CUSIP: 891091AQ3</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CREDIT AGREEMENT</w:t>
      </w:r>
      <w:r>
        <w:rPr>
          <w:rFonts w:ascii="Times New Roman" w:cs="Times New Roman" w:eastAsia="Times New Roman" w:hAnsi="Times New Roman"/>
          <w:sz w:val="26"/>
          <w:szCs w:val="26"/>
          <w:b w:val="1"/>
          <w:bCs w:val="1"/>
          <w:color w:val="auto"/>
          <w:vertAlign w:val="superscript"/>
        </w:rPr>
        <w:t>1</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Dated as of October 5, 2021 among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149860</wp:posOffset>
            </wp:positionV>
            <wp:extent cx="1230630" cy="6070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1230630" cy="60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b w:val="1"/>
          <w:bCs w:val="1"/>
          <w:color w:val="auto"/>
        </w:rPr>
        <w:t>THE TORO COMPANY,</w:t>
      </w:r>
    </w:p>
    <w:p>
      <w:pPr>
        <w:ind w:left="4100"/>
        <w:spacing w:after="0" w:line="205" w:lineRule="auto"/>
        <w:rPr>
          <w:sz w:val="20"/>
          <w:szCs w:val="20"/>
          <w:color w:val="auto"/>
        </w:rPr>
      </w:pPr>
      <w:r>
        <w:rPr>
          <w:rFonts w:ascii="Times New Roman" w:cs="Times New Roman" w:eastAsia="Times New Roman" w:hAnsi="Times New Roman"/>
          <w:sz w:val="21"/>
          <w:szCs w:val="21"/>
          <w:b w:val="1"/>
          <w:bCs w:val="1"/>
          <w:color w:val="auto"/>
        </w:rPr>
        <w:t>TORO LUXEMBOURG S.A.R.L.,</w:t>
      </w:r>
    </w:p>
    <w:p>
      <w:pPr>
        <w:ind w:left="5480"/>
        <w:spacing w:after="0" w:line="205" w:lineRule="auto"/>
        <w:rPr>
          <w:sz w:val="20"/>
          <w:szCs w:val="20"/>
          <w:color w:val="auto"/>
        </w:rPr>
      </w:pPr>
      <w:r>
        <w:rPr>
          <w:rFonts w:ascii="Times New Roman" w:cs="Times New Roman" w:eastAsia="Times New Roman" w:hAnsi="Times New Roman"/>
          <w:sz w:val="21"/>
          <w:szCs w:val="21"/>
          <w:color w:val="auto"/>
        </w:rPr>
        <w:t>and</w:t>
      </w:r>
    </w:p>
    <w:p>
      <w:pPr>
        <w:ind w:left="3980"/>
        <w:spacing w:after="0" w:line="206" w:lineRule="auto"/>
        <w:rPr>
          <w:sz w:val="20"/>
          <w:szCs w:val="20"/>
          <w:color w:val="auto"/>
        </w:rPr>
      </w:pPr>
      <w:r>
        <w:rPr>
          <w:rFonts w:ascii="Times New Roman" w:cs="Times New Roman" w:eastAsia="Times New Roman" w:hAnsi="Times New Roman"/>
          <w:sz w:val="21"/>
          <w:szCs w:val="21"/>
          <w:b w:val="1"/>
          <w:bCs w:val="1"/>
          <w:color w:val="auto"/>
        </w:rPr>
        <w:t>CERTAIN OTHER SUBSIDIARIES,</w:t>
      </w:r>
    </w:p>
    <w:p>
      <w:pPr>
        <w:ind w:left="5040"/>
        <w:spacing w:after="0"/>
        <w:rPr>
          <w:sz w:val="20"/>
          <w:szCs w:val="20"/>
          <w:color w:val="auto"/>
        </w:rPr>
      </w:pPr>
      <w:r>
        <w:rPr>
          <w:rFonts w:ascii="Times New Roman" w:cs="Times New Roman" w:eastAsia="Times New Roman" w:hAnsi="Times New Roman"/>
          <w:sz w:val="21"/>
          <w:szCs w:val="21"/>
          <w:color w:val="auto"/>
        </w:rPr>
        <w:t>as Borrowers,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BANK OF AMERICA, N.A.,</w:t>
      </w:r>
    </w:p>
    <w:p>
      <w:pPr>
        <w:jc w:val="center"/>
        <w:ind w:right="40"/>
        <w:spacing w:after="0" w:line="205" w:lineRule="auto"/>
        <w:rPr>
          <w:sz w:val="20"/>
          <w:szCs w:val="20"/>
          <w:color w:val="auto"/>
        </w:rPr>
      </w:pPr>
      <w:r>
        <w:rPr>
          <w:rFonts w:ascii="Times New Roman" w:cs="Times New Roman" w:eastAsia="Times New Roman" w:hAnsi="Times New Roman"/>
          <w:sz w:val="21"/>
          <w:szCs w:val="21"/>
          <w:color w:val="auto"/>
        </w:rPr>
        <w:t>as Administrative Agent, Swing Line Lender</w:t>
      </w:r>
    </w:p>
    <w:p>
      <w:pPr>
        <w:jc w:val="center"/>
        <w:spacing w:after="0" w:line="205" w:lineRule="auto"/>
        <w:rPr>
          <w:sz w:val="20"/>
          <w:szCs w:val="20"/>
          <w:color w:val="auto"/>
        </w:rPr>
      </w:pPr>
      <w:r>
        <w:rPr>
          <w:rFonts w:ascii="Times New Roman" w:cs="Times New Roman" w:eastAsia="Times New Roman" w:hAnsi="Times New Roman"/>
          <w:sz w:val="21"/>
          <w:szCs w:val="21"/>
          <w:color w:val="auto"/>
        </w:rPr>
        <w:t>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L/C Issuer,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WELLS FARGO BANK, NATIONAL ASSOCIATION</w:t>
      </w:r>
    </w:p>
    <w:p>
      <w:pPr>
        <w:jc w:val="center"/>
        <w:spacing w:after="0" w:line="205" w:lineRule="auto"/>
        <w:rPr>
          <w:sz w:val="20"/>
          <w:szCs w:val="20"/>
          <w:color w:val="auto"/>
        </w:rPr>
      </w:pPr>
      <w:r>
        <w:rPr>
          <w:rFonts w:ascii="Times New Roman" w:cs="Times New Roman" w:eastAsia="Times New Roman" w:hAnsi="Times New Roman"/>
          <w:sz w:val="21"/>
          <w:szCs w:val="21"/>
          <w:color w:val="auto"/>
        </w:rPr>
        <w:t>and</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U.S. BANK NATIONAL ASSOCIATION,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Co-Syndication Agents,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BMO HARRIS BANK, N.A.</w:t>
      </w:r>
    </w:p>
    <w:p>
      <w:pPr>
        <w:jc w:val="center"/>
        <w:spacing w:after="0" w:line="205" w:lineRule="auto"/>
        <w:rPr>
          <w:sz w:val="20"/>
          <w:szCs w:val="20"/>
          <w:color w:val="auto"/>
        </w:rPr>
      </w:pPr>
      <w:r>
        <w:rPr>
          <w:rFonts w:ascii="Times New Roman" w:cs="Times New Roman" w:eastAsia="Times New Roman" w:hAnsi="Times New Roman"/>
          <w:sz w:val="21"/>
          <w:szCs w:val="21"/>
          <w:color w:val="auto"/>
        </w:rPr>
        <w:t>and</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HSBC BANK USA, NATIONAL ASSOCIATION,</w:t>
      </w:r>
    </w:p>
    <w:p>
      <w:pPr>
        <w:jc w:val="center"/>
        <w:ind w:right="40"/>
        <w:spacing w:after="0" w:line="206" w:lineRule="auto"/>
        <w:rPr>
          <w:sz w:val="20"/>
          <w:szCs w:val="20"/>
          <w:color w:val="auto"/>
        </w:rPr>
      </w:pPr>
      <w:r>
        <w:rPr>
          <w:rFonts w:ascii="Times New Roman" w:cs="Times New Roman" w:eastAsia="Times New Roman" w:hAnsi="Times New Roman"/>
          <w:sz w:val="21"/>
          <w:szCs w:val="21"/>
          <w:color w:val="auto"/>
        </w:rPr>
        <w:t>as Co-Documentation Agents,</w:t>
      </w:r>
    </w:p>
    <w:p>
      <w:pPr>
        <w:jc w:val="center"/>
        <w:spacing w:after="0" w:line="205" w:lineRule="auto"/>
        <w:rPr>
          <w:sz w:val="20"/>
          <w:szCs w:val="20"/>
          <w:color w:val="auto"/>
        </w:rPr>
      </w:pPr>
      <w:r>
        <w:rPr>
          <w:rFonts w:ascii="Times New Roman" w:cs="Times New Roman" w:eastAsia="Times New Roman" w:hAnsi="Times New Roman"/>
          <w:sz w:val="21"/>
          <w:szCs w:val="21"/>
          <w:color w:val="auto"/>
        </w:rPr>
        <w:t>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Other Lenders Party Hereto</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BOFA SECURITIES, INC.,</w:t>
      </w:r>
    </w:p>
    <w:p>
      <w:pPr>
        <w:jc w:val="center"/>
        <w:spacing w:after="0" w:line="205" w:lineRule="auto"/>
        <w:rPr>
          <w:sz w:val="20"/>
          <w:szCs w:val="20"/>
          <w:color w:val="auto"/>
        </w:rPr>
      </w:pPr>
      <w:r>
        <w:rPr>
          <w:rFonts w:ascii="Times New Roman" w:cs="Times New Roman" w:eastAsia="Times New Roman" w:hAnsi="Times New Roman"/>
          <w:sz w:val="21"/>
          <w:szCs w:val="21"/>
          <w:b w:val="1"/>
          <w:bCs w:val="1"/>
          <w:color w:val="auto"/>
        </w:rPr>
        <w:t>U.S. BANK NATIONAL ASSOCIATION</w:t>
      </w:r>
    </w:p>
    <w:p>
      <w:pPr>
        <w:jc w:val="center"/>
        <w:spacing w:after="0" w:line="205" w:lineRule="auto"/>
        <w:rPr>
          <w:sz w:val="20"/>
          <w:szCs w:val="20"/>
          <w:color w:val="auto"/>
        </w:rPr>
      </w:pPr>
      <w:r>
        <w:rPr>
          <w:rFonts w:ascii="Times New Roman" w:cs="Times New Roman" w:eastAsia="Times New Roman" w:hAnsi="Times New Roman"/>
          <w:sz w:val="21"/>
          <w:szCs w:val="21"/>
          <w:color w:val="auto"/>
        </w:rPr>
        <w:t>and</w:t>
      </w:r>
    </w:p>
    <w:p>
      <w:pPr>
        <w:jc w:val="center"/>
        <w:spacing w:after="0" w:line="206" w:lineRule="auto"/>
        <w:rPr>
          <w:sz w:val="20"/>
          <w:szCs w:val="20"/>
          <w:color w:val="auto"/>
        </w:rPr>
      </w:pPr>
      <w:r>
        <w:rPr>
          <w:rFonts w:ascii="Times New Roman" w:cs="Times New Roman" w:eastAsia="Times New Roman" w:hAnsi="Times New Roman"/>
          <w:sz w:val="21"/>
          <w:szCs w:val="21"/>
          <w:b w:val="1"/>
          <w:bCs w:val="1"/>
          <w:color w:val="auto"/>
        </w:rPr>
        <w:t>WELLS FARGO SECURITIES, LLC,</w:t>
      </w:r>
    </w:p>
    <w:p>
      <w:pPr>
        <w:jc w:val="center"/>
        <w:spacing w:after="0"/>
        <w:rPr>
          <w:sz w:val="20"/>
          <w:szCs w:val="20"/>
          <w:color w:val="auto"/>
        </w:rPr>
      </w:pPr>
      <w:r>
        <w:rPr>
          <w:rFonts w:ascii="Times New Roman" w:cs="Times New Roman" w:eastAsia="Times New Roman" w:hAnsi="Times New Roman"/>
          <w:sz w:val="21"/>
          <w:szCs w:val="21"/>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6408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1640840" cy="8255"/>
                    </a:xfrm>
                    <a:prstGeom prst="rect">
                      <a:avLst/>
                    </a:prstGeom>
                    <a:noFill/>
                  </pic:spPr>
                </pic:pic>
              </a:graphicData>
            </a:graphic>
          </wp:anchor>
        </w:drawing>
      </w:r>
    </w:p>
    <w:p>
      <w:pPr>
        <w:spacing w:after="0" w:line="242" w:lineRule="exact"/>
        <w:rPr>
          <w:sz w:val="20"/>
          <w:szCs w:val="20"/>
          <w:color w:val="auto"/>
        </w:rPr>
      </w:pPr>
    </w:p>
    <w:p>
      <w:pPr>
        <w:ind w:right="60" w:firstLine="3"/>
        <w:spacing w:after="0" w:line="209" w:lineRule="auto"/>
        <w:tabs>
          <w:tab w:leader="none" w:pos="99"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Composite copy of the Amended and Restated Credit Agreement incorporating Amendment No. 1 to Amended and Restated Credit Agreement dated as of April 27, 2022.</w:t>
      </w:r>
    </w:p>
    <w:p>
      <w:pPr>
        <w:sectPr>
          <w:pgSz w:w="11900" w:h="16838" w:orient="portrait"/>
          <w:cols w:equalWidth="0" w:num="1">
            <w:col w:w="11240"/>
          </w:cols>
          <w:pgMar w:left="320" w:top="1329"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72"/>
        </w:trPr>
        <w:tc>
          <w:tcPr>
            <w:tcW w:w="720" w:type="dxa"/>
            <w:vAlign w:val="bottom"/>
          </w:tcPr>
          <w:p>
            <w:pPr>
              <w:spacing w:after="0"/>
              <w:rPr>
                <w:sz w:val="23"/>
                <w:szCs w:val="23"/>
                <w:color w:val="auto"/>
              </w:rPr>
            </w:pPr>
          </w:p>
        </w:tc>
        <w:tc>
          <w:tcPr>
            <w:tcW w:w="8280" w:type="dxa"/>
            <w:vAlign w:val="bottom"/>
          </w:tcPr>
          <w:p>
            <w:pPr>
              <w:ind w:left="378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2000" w:type="dxa"/>
            <w:vAlign w:val="bottom"/>
          </w:tcPr>
          <w:p>
            <w:pPr>
              <w:spacing w:after="0"/>
              <w:rPr>
                <w:sz w:val="23"/>
                <w:szCs w:val="23"/>
                <w:color w:val="auto"/>
              </w:rPr>
            </w:pPr>
          </w:p>
        </w:tc>
      </w:tr>
      <w:tr>
        <w:trPr>
          <w:trHeight w:val="431"/>
        </w:trPr>
        <w:tc>
          <w:tcPr>
            <w:tcW w:w="720" w:type="dxa"/>
            <w:vAlign w:val="bottom"/>
          </w:tcPr>
          <w:p>
            <w:pPr>
              <w:ind w:left="100"/>
              <w:spacing w:after="0"/>
              <w:rPr>
                <w:sz w:val="20"/>
                <w:szCs w:val="20"/>
                <w:color w:val="auto"/>
              </w:rPr>
            </w:pPr>
            <w:r>
              <w:rPr>
                <w:rFonts w:ascii="Arial" w:cs="Arial" w:eastAsia="Arial" w:hAnsi="Arial"/>
                <w:sz w:val="17"/>
                <w:szCs w:val="17"/>
                <w:color w:val="auto"/>
              </w:rPr>
              <w:t>Section</w:t>
            </w:r>
          </w:p>
        </w:tc>
        <w:tc>
          <w:tcPr>
            <w:tcW w:w="8280" w:type="dxa"/>
            <w:vAlign w:val="bottom"/>
          </w:tcPr>
          <w:p>
            <w:pPr>
              <w:spacing w:after="0"/>
              <w:rPr>
                <w:sz w:val="24"/>
                <w:szCs w:val="24"/>
                <w:color w:val="auto"/>
              </w:rPr>
            </w:pPr>
          </w:p>
        </w:tc>
        <w:tc>
          <w:tcPr>
            <w:tcW w:w="2000" w:type="dxa"/>
            <w:vAlign w:val="bottom"/>
          </w:tcPr>
          <w:p>
            <w:pPr>
              <w:jc w:val="right"/>
              <w:ind w:right="317"/>
              <w:spacing w:after="0"/>
              <w:rPr>
                <w:sz w:val="20"/>
                <w:szCs w:val="20"/>
                <w:color w:val="auto"/>
              </w:rPr>
            </w:pPr>
            <w:r>
              <w:rPr>
                <w:rFonts w:ascii="Arial" w:cs="Arial" w:eastAsia="Arial" w:hAnsi="Arial"/>
                <w:sz w:val="17"/>
                <w:szCs w:val="17"/>
                <w:color w:val="auto"/>
              </w:rPr>
              <w:t>Page</w:t>
            </w:r>
          </w:p>
        </w:tc>
      </w:tr>
      <w:tr>
        <w:trPr>
          <w:trHeight w:val="593"/>
        </w:trPr>
        <w:tc>
          <w:tcPr>
            <w:tcW w:w="720" w:type="dxa"/>
            <w:vAlign w:val="bottom"/>
          </w:tcPr>
          <w:p>
            <w:pPr>
              <w:spacing w:after="0"/>
              <w:rPr>
                <w:sz w:val="24"/>
                <w:szCs w:val="24"/>
                <w:color w:val="auto"/>
              </w:rPr>
            </w:pPr>
          </w:p>
        </w:tc>
        <w:tc>
          <w:tcPr>
            <w:tcW w:w="8280" w:type="dxa"/>
            <w:vAlign w:val="bottom"/>
          </w:tcPr>
          <w:p>
            <w:pPr>
              <w:jc w:val="center"/>
              <w:ind w:left="1177"/>
              <w:spacing w:after="0"/>
              <w:rPr>
                <w:sz w:val="20"/>
                <w:szCs w:val="20"/>
                <w:color w:val="auto"/>
              </w:rPr>
            </w:pPr>
            <w:r>
              <w:rPr>
                <w:rFonts w:ascii="Times New Roman" w:cs="Times New Roman" w:eastAsia="Times New Roman" w:hAnsi="Times New Roman"/>
                <w:sz w:val="21"/>
                <w:szCs w:val="21"/>
                <w:color w:val="auto"/>
                <w:w w:val="97"/>
              </w:rPr>
              <w:t>ARTICLE I.</w:t>
            </w:r>
          </w:p>
        </w:tc>
        <w:tc>
          <w:tcPr>
            <w:tcW w:w="2000" w:type="dxa"/>
            <w:vAlign w:val="bottom"/>
          </w:tcPr>
          <w:p>
            <w:pPr>
              <w:spacing w:after="0"/>
              <w:rPr>
                <w:sz w:val="24"/>
                <w:szCs w:val="24"/>
                <w:color w:val="auto"/>
              </w:rPr>
            </w:pPr>
          </w:p>
        </w:tc>
      </w:tr>
      <w:tr>
        <w:trPr>
          <w:trHeight w:val="268"/>
        </w:trPr>
        <w:tc>
          <w:tcPr>
            <w:tcW w:w="720" w:type="dxa"/>
            <w:vAlign w:val="bottom"/>
          </w:tcPr>
          <w:p>
            <w:pPr>
              <w:spacing w:after="0"/>
              <w:rPr>
                <w:sz w:val="23"/>
                <w:szCs w:val="23"/>
                <w:color w:val="auto"/>
              </w:rPr>
            </w:pPr>
          </w:p>
        </w:tc>
        <w:tc>
          <w:tcPr>
            <w:tcW w:w="8280" w:type="dxa"/>
            <w:vAlign w:val="bottom"/>
          </w:tcPr>
          <w:p>
            <w:pPr>
              <w:jc w:val="center"/>
              <w:ind w:left="1177"/>
              <w:spacing w:after="0"/>
              <w:rPr>
                <w:sz w:val="20"/>
                <w:szCs w:val="20"/>
                <w:color w:val="auto"/>
              </w:rPr>
            </w:pPr>
            <w:r>
              <w:rPr>
                <w:rFonts w:ascii="Times New Roman" w:cs="Times New Roman" w:eastAsia="Times New Roman" w:hAnsi="Times New Roman"/>
                <w:sz w:val="21"/>
                <w:szCs w:val="21"/>
                <w:color w:val="auto"/>
                <w:w w:val="98"/>
              </w:rPr>
              <w:t>DEFINITIONS AND ACCOUNTING TERMS</w:t>
            </w:r>
          </w:p>
        </w:tc>
        <w:tc>
          <w:tcPr>
            <w:tcW w:w="2000" w:type="dxa"/>
            <w:vAlign w:val="bottom"/>
          </w:tcPr>
          <w:p>
            <w:pPr>
              <w:spacing w:after="0"/>
              <w:rPr>
                <w:sz w:val="23"/>
                <w:szCs w:val="23"/>
                <w:color w:val="auto"/>
              </w:rPr>
            </w:pPr>
          </w:p>
        </w:tc>
      </w:tr>
      <w:tr>
        <w:trPr>
          <w:trHeight w:val="517"/>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1.01</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Defined Terms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w:t>
            </w:r>
          </w:p>
        </w:tc>
      </w:tr>
      <w:tr>
        <w:trPr>
          <w:trHeight w:val="284"/>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1.02</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Other Interpretive Provisions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w:t>
            </w:r>
          </w:p>
        </w:tc>
      </w:tr>
      <w:tr>
        <w:trPr>
          <w:trHeight w:val="274"/>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1.03</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Accounting Terms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1.04</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Exchange Rates; Currency Equivalents; Interest Rates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1.05</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Additional Alternative Currencies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1.06</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Change of Currency</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1.07</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Times of Day.</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1.08</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Letter of Credit Amounts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1.09</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Rounding</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1.10</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Limited Conditionality Acquisition</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39</w:t>
            </w:r>
          </w:p>
        </w:tc>
      </w:tr>
      <w:tr>
        <w:trPr>
          <w:trHeight w:val="26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1.11</w:t>
            </w:r>
          </w:p>
        </w:tc>
        <w:tc>
          <w:tcPr>
            <w:tcW w:w="82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Amendment and Restatement</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w:t>
            </w:r>
          </w:p>
        </w:tc>
      </w:tr>
      <w:tr>
        <w:trPr>
          <w:trHeight w:val="507"/>
        </w:trPr>
        <w:tc>
          <w:tcPr>
            <w:tcW w:w="720" w:type="dxa"/>
            <w:vAlign w:val="bottom"/>
          </w:tcPr>
          <w:p>
            <w:pPr>
              <w:spacing w:after="0"/>
              <w:rPr>
                <w:sz w:val="24"/>
                <w:szCs w:val="24"/>
                <w:color w:val="auto"/>
              </w:rPr>
            </w:pPr>
          </w:p>
        </w:tc>
        <w:tc>
          <w:tcPr>
            <w:tcW w:w="8280" w:type="dxa"/>
            <w:vAlign w:val="bottom"/>
          </w:tcPr>
          <w:p>
            <w:pPr>
              <w:jc w:val="center"/>
              <w:ind w:left="1177"/>
              <w:spacing w:after="0"/>
              <w:rPr>
                <w:sz w:val="20"/>
                <w:szCs w:val="20"/>
                <w:color w:val="auto"/>
              </w:rPr>
            </w:pPr>
            <w:r>
              <w:rPr>
                <w:rFonts w:ascii="Times New Roman" w:cs="Times New Roman" w:eastAsia="Times New Roman" w:hAnsi="Times New Roman"/>
                <w:sz w:val="21"/>
                <w:szCs w:val="21"/>
                <w:color w:val="auto"/>
                <w:w w:val="98"/>
              </w:rPr>
              <w:t>ARTICLE II.</w:t>
            </w:r>
          </w:p>
        </w:tc>
        <w:tc>
          <w:tcPr>
            <w:tcW w:w="2000" w:type="dxa"/>
            <w:vAlign w:val="bottom"/>
          </w:tcPr>
          <w:p>
            <w:pPr>
              <w:spacing w:after="0"/>
              <w:rPr>
                <w:sz w:val="24"/>
                <w:szCs w:val="24"/>
                <w:color w:val="auto"/>
              </w:rPr>
            </w:pPr>
          </w:p>
        </w:tc>
      </w:tr>
      <w:tr>
        <w:trPr>
          <w:trHeight w:val="268"/>
        </w:trPr>
        <w:tc>
          <w:tcPr>
            <w:tcW w:w="720" w:type="dxa"/>
            <w:vAlign w:val="bottom"/>
          </w:tcPr>
          <w:p>
            <w:pPr>
              <w:spacing w:after="0"/>
              <w:rPr>
                <w:sz w:val="23"/>
                <w:szCs w:val="23"/>
                <w:color w:val="auto"/>
              </w:rPr>
            </w:pPr>
          </w:p>
        </w:tc>
        <w:tc>
          <w:tcPr>
            <w:tcW w:w="8280" w:type="dxa"/>
            <w:vAlign w:val="bottom"/>
          </w:tcPr>
          <w:p>
            <w:pPr>
              <w:jc w:val="center"/>
              <w:ind w:left="1177"/>
              <w:spacing w:after="0"/>
              <w:rPr>
                <w:sz w:val="20"/>
                <w:szCs w:val="20"/>
                <w:color w:val="auto"/>
              </w:rPr>
            </w:pPr>
            <w:r>
              <w:rPr>
                <w:rFonts w:ascii="Times New Roman" w:cs="Times New Roman" w:eastAsia="Times New Roman" w:hAnsi="Times New Roman"/>
                <w:sz w:val="21"/>
                <w:szCs w:val="21"/>
                <w:color w:val="auto"/>
                <w:w w:val="98"/>
              </w:rPr>
              <w:t>THE COMMITMENTS AND CREDIT EXTENSIONS</w:t>
            </w:r>
          </w:p>
        </w:tc>
        <w:tc>
          <w:tcPr>
            <w:tcW w:w="2000" w:type="dxa"/>
            <w:vAlign w:val="bottom"/>
          </w:tcPr>
          <w:p>
            <w:pPr>
              <w:spacing w:after="0"/>
              <w:rPr>
                <w:sz w:val="23"/>
                <w:szCs w:val="23"/>
                <w:color w:val="auto"/>
              </w:rPr>
            </w:pPr>
          </w:p>
        </w:tc>
      </w:tr>
      <w:tr>
        <w:trPr>
          <w:trHeight w:val="507"/>
        </w:trPr>
        <w:tc>
          <w:tcPr>
            <w:tcW w:w="90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2.01 The Loans.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2.02</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Borrowings, Conversions and Continuations of Loans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2.03</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Letters of Credit</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44</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2.04</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Swing Line Loans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2.05</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Prepayments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2.06</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Termination or Reduction of Commitments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2.07</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Repayment of Loans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56</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2.08</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Interest.</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57</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2.09</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Fees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2.10</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Computation of Interest and Fees; Retroactive Adjustments of Applicable Rate</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2.11</w:t>
            </w:r>
          </w:p>
        </w:tc>
        <w:tc>
          <w:tcPr>
            <w:tcW w:w="82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Evidence of Debt.</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2.12</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Payments Generally; Administrative Agent’s Clawback</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59</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2.13</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Sharing of Payments by Lenders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2.14</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Increase in Commitments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61</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2.15</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Cash Collateral</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63</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2.16</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Defaulting Lenders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w:t>
            </w:r>
          </w:p>
        </w:tc>
      </w:tr>
      <w:tr>
        <w:trPr>
          <w:trHeight w:val="25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2.17</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Designated Borrowers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w:t>
            </w:r>
          </w:p>
        </w:tc>
      </w:tr>
      <w:tr>
        <w:trPr>
          <w:trHeight w:val="268"/>
        </w:trPr>
        <w:tc>
          <w:tcPr>
            <w:tcW w:w="720" w:type="dxa"/>
            <w:vAlign w:val="bottom"/>
          </w:tcPr>
          <w:p>
            <w:pPr>
              <w:spacing w:after="0"/>
              <w:rPr>
                <w:sz w:val="20"/>
                <w:szCs w:val="20"/>
                <w:color w:val="auto"/>
              </w:rPr>
            </w:pPr>
            <w:r>
              <w:rPr>
                <w:rFonts w:ascii="Times New Roman" w:cs="Times New Roman" w:eastAsia="Times New Roman" w:hAnsi="Times New Roman"/>
                <w:sz w:val="21"/>
                <w:szCs w:val="21"/>
                <w:color w:val="auto"/>
              </w:rPr>
              <w:t>2.18</w:t>
            </w:r>
          </w:p>
        </w:tc>
        <w:tc>
          <w:tcPr>
            <w:tcW w:w="828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Sustainability Adjustments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000"/>
          </w:cols>
          <w:pgMar w:left="340" w:top="1338" w:right="5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58"/>
        </w:trPr>
        <w:tc>
          <w:tcPr>
            <w:tcW w:w="560" w:type="dxa"/>
            <w:vAlign w:val="bottom"/>
          </w:tcPr>
          <w:p>
            <w:pPr>
              <w:spacing w:after="0"/>
              <w:rPr>
                <w:sz w:val="22"/>
                <w:szCs w:val="22"/>
                <w:color w:val="auto"/>
              </w:rPr>
            </w:pPr>
          </w:p>
        </w:tc>
        <w:tc>
          <w:tcPr>
            <w:tcW w:w="8820" w:type="dxa"/>
            <w:vAlign w:val="bottom"/>
          </w:tcPr>
          <w:p>
            <w:pPr>
              <w:jc w:val="center"/>
              <w:ind w:left="957"/>
              <w:spacing w:after="0"/>
              <w:rPr>
                <w:sz w:val="20"/>
                <w:szCs w:val="20"/>
                <w:color w:val="auto"/>
              </w:rPr>
            </w:pPr>
            <w:r>
              <w:rPr>
                <w:rFonts w:ascii="Times New Roman" w:cs="Times New Roman" w:eastAsia="Times New Roman" w:hAnsi="Times New Roman"/>
                <w:sz w:val="21"/>
                <w:szCs w:val="21"/>
                <w:color w:val="auto"/>
                <w:w w:val="96"/>
              </w:rPr>
              <w:t>ARTICLE III.</w:t>
            </w:r>
          </w:p>
        </w:tc>
        <w:tc>
          <w:tcPr>
            <w:tcW w:w="1620" w:type="dxa"/>
            <w:vAlign w:val="bottom"/>
          </w:tcPr>
          <w:p>
            <w:pPr>
              <w:spacing w:after="0"/>
              <w:rPr>
                <w:sz w:val="22"/>
                <w:szCs w:val="22"/>
                <w:color w:val="auto"/>
              </w:rPr>
            </w:pPr>
          </w:p>
        </w:tc>
      </w:tr>
      <w:tr>
        <w:trPr>
          <w:trHeight w:val="268"/>
        </w:trPr>
        <w:tc>
          <w:tcPr>
            <w:tcW w:w="560" w:type="dxa"/>
            <w:vAlign w:val="bottom"/>
          </w:tcPr>
          <w:p>
            <w:pPr>
              <w:spacing w:after="0"/>
              <w:rPr>
                <w:sz w:val="23"/>
                <w:szCs w:val="23"/>
                <w:color w:val="auto"/>
              </w:rPr>
            </w:pPr>
          </w:p>
        </w:tc>
        <w:tc>
          <w:tcPr>
            <w:tcW w:w="8820" w:type="dxa"/>
            <w:vAlign w:val="bottom"/>
          </w:tcPr>
          <w:p>
            <w:pPr>
              <w:jc w:val="center"/>
              <w:ind w:left="957"/>
              <w:spacing w:after="0"/>
              <w:rPr>
                <w:sz w:val="20"/>
                <w:szCs w:val="20"/>
                <w:color w:val="auto"/>
              </w:rPr>
            </w:pPr>
            <w:r>
              <w:rPr>
                <w:rFonts w:ascii="Times New Roman" w:cs="Times New Roman" w:eastAsia="Times New Roman" w:hAnsi="Times New Roman"/>
                <w:sz w:val="21"/>
                <w:szCs w:val="21"/>
                <w:color w:val="auto"/>
                <w:w w:val="98"/>
              </w:rPr>
              <w:t>TAXES, YIELD PROTECTION AND ILLEGALITY</w:t>
            </w:r>
          </w:p>
        </w:tc>
        <w:tc>
          <w:tcPr>
            <w:tcW w:w="1620" w:type="dxa"/>
            <w:vAlign w:val="bottom"/>
          </w:tcPr>
          <w:p>
            <w:pPr>
              <w:spacing w:after="0"/>
              <w:rPr>
                <w:sz w:val="23"/>
                <w:szCs w:val="23"/>
                <w:color w:val="auto"/>
              </w:rPr>
            </w:pPr>
          </w:p>
        </w:tc>
      </w:tr>
      <w:tr>
        <w:trPr>
          <w:trHeight w:val="507"/>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3.01</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Taxes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69</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3.02</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Illegality</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73</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3.03</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Inability to Determine Rates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73</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3.04</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Increased Costs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3.05</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Compensation for Losses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3.06</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Mitigation Obligations; Replacement of Lenders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r>
      <w:tr>
        <w:trPr>
          <w:trHeight w:val="26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3.07</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Survival</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80</w:t>
            </w:r>
          </w:p>
        </w:tc>
      </w:tr>
      <w:tr>
        <w:trPr>
          <w:trHeight w:val="507"/>
        </w:trPr>
        <w:tc>
          <w:tcPr>
            <w:tcW w:w="560" w:type="dxa"/>
            <w:vAlign w:val="bottom"/>
          </w:tcPr>
          <w:p>
            <w:pPr>
              <w:spacing w:after="0"/>
              <w:rPr>
                <w:sz w:val="24"/>
                <w:szCs w:val="24"/>
                <w:color w:val="auto"/>
              </w:rPr>
            </w:pPr>
          </w:p>
        </w:tc>
        <w:tc>
          <w:tcPr>
            <w:tcW w:w="8820" w:type="dxa"/>
            <w:vAlign w:val="bottom"/>
          </w:tcPr>
          <w:p>
            <w:pPr>
              <w:jc w:val="center"/>
              <w:ind w:left="957"/>
              <w:spacing w:after="0"/>
              <w:rPr>
                <w:sz w:val="20"/>
                <w:szCs w:val="20"/>
                <w:color w:val="auto"/>
              </w:rPr>
            </w:pPr>
            <w:r>
              <w:rPr>
                <w:rFonts w:ascii="Times New Roman" w:cs="Times New Roman" w:eastAsia="Times New Roman" w:hAnsi="Times New Roman"/>
                <w:sz w:val="21"/>
                <w:szCs w:val="21"/>
                <w:color w:val="auto"/>
                <w:w w:val="95"/>
              </w:rPr>
              <w:t>ARTICLE IV.</w:t>
            </w:r>
          </w:p>
        </w:tc>
        <w:tc>
          <w:tcPr>
            <w:tcW w:w="1620" w:type="dxa"/>
            <w:vAlign w:val="bottom"/>
          </w:tcPr>
          <w:p>
            <w:pPr>
              <w:spacing w:after="0"/>
              <w:rPr>
                <w:sz w:val="24"/>
                <w:szCs w:val="24"/>
                <w:color w:val="auto"/>
              </w:rPr>
            </w:pPr>
          </w:p>
        </w:tc>
      </w:tr>
      <w:tr>
        <w:trPr>
          <w:trHeight w:val="268"/>
        </w:trPr>
        <w:tc>
          <w:tcPr>
            <w:tcW w:w="560" w:type="dxa"/>
            <w:vAlign w:val="bottom"/>
          </w:tcPr>
          <w:p>
            <w:pPr>
              <w:spacing w:after="0"/>
              <w:rPr>
                <w:sz w:val="23"/>
                <w:szCs w:val="23"/>
                <w:color w:val="auto"/>
              </w:rPr>
            </w:pPr>
          </w:p>
        </w:tc>
        <w:tc>
          <w:tcPr>
            <w:tcW w:w="8820" w:type="dxa"/>
            <w:vAlign w:val="bottom"/>
          </w:tcPr>
          <w:p>
            <w:pPr>
              <w:jc w:val="center"/>
              <w:ind w:left="957"/>
              <w:spacing w:after="0"/>
              <w:rPr>
                <w:sz w:val="20"/>
                <w:szCs w:val="20"/>
                <w:color w:val="auto"/>
              </w:rPr>
            </w:pPr>
            <w:r>
              <w:rPr>
                <w:rFonts w:ascii="Times New Roman" w:cs="Times New Roman" w:eastAsia="Times New Roman" w:hAnsi="Times New Roman"/>
                <w:sz w:val="21"/>
                <w:szCs w:val="21"/>
                <w:color w:val="auto"/>
                <w:w w:val="98"/>
              </w:rPr>
              <w:t>CONDITIONS PRECEDENT TO CREDIT EXTENSIONS</w:t>
            </w:r>
          </w:p>
        </w:tc>
        <w:tc>
          <w:tcPr>
            <w:tcW w:w="1620" w:type="dxa"/>
            <w:vAlign w:val="bottom"/>
          </w:tcPr>
          <w:p>
            <w:pPr>
              <w:spacing w:after="0"/>
              <w:rPr>
                <w:sz w:val="23"/>
                <w:szCs w:val="23"/>
                <w:color w:val="auto"/>
              </w:rPr>
            </w:pPr>
          </w:p>
        </w:tc>
      </w:tr>
      <w:tr>
        <w:trPr>
          <w:trHeight w:val="507"/>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4.01</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Conditions of Initial Credit Extension</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80</w:t>
            </w:r>
          </w:p>
        </w:tc>
      </w:tr>
      <w:tr>
        <w:trPr>
          <w:trHeight w:val="26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4.02</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Conditions to all Credit Extensions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82</w:t>
            </w:r>
          </w:p>
        </w:tc>
      </w:tr>
      <w:tr>
        <w:trPr>
          <w:trHeight w:val="507"/>
        </w:trPr>
        <w:tc>
          <w:tcPr>
            <w:tcW w:w="560" w:type="dxa"/>
            <w:vAlign w:val="bottom"/>
          </w:tcPr>
          <w:p>
            <w:pPr>
              <w:spacing w:after="0"/>
              <w:rPr>
                <w:sz w:val="24"/>
                <w:szCs w:val="24"/>
                <w:color w:val="auto"/>
              </w:rPr>
            </w:pPr>
          </w:p>
        </w:tc>
        <w:tc>
          <w:tcPr>
            <w:tcW w:w="8820" w:type="dxa"/>
            <w:vAlign w:val="bottom"/>
          </w:tcPr>
          <w:p>
            <w:pPr>
              <w:jc w:val="center"/>
              <w:ind w:left="957"/>
              <w:spacing w:after="0"/>
              <w:rPr>
                <w:sz w:val="20"/>
                <w:szCs w:val="20"/>
                <w:color w:val="auto"/>
              </w:rPr>
            </w:pPr>
            <w:r>
              <w:rPr>
                <w:rFonts w:ascii="Times New Roman" w:cs="Times New Roman" w:eastAsia="Times New Roman" w:hAnsi="Times New Roman"/>
                <w:sz w:val="21"/>
                <w:szCs w:val="21"/>
                <w:color w:val="auto"/>
                <w:w w:val="94"/>
              </w:rPr>
              <w:t>ARTICLE V.</w:t>
            </w:r>
          </w:p>
        </w:tc>
        <w:tc>
          <w:tcPr>
            <w:tcW w:w="1620" w:type="dxa"/>
            <w:vAlign w:val="bottom"/>
          </w:tcPr>
          <w:p>
            <w:pPr>
              <w:spacing w:after="0"/>
              <w:rPr>
                <w:sz w:val="24"/>
                <w:szCs w:val="24"/>
                <w:color w:val="auto"/>
              </w:rPr>
            </w:pPr>
          </w:p>
        </w:tc>
      </w:tr>
      <w:tr>
        <w:trPr>
          <w:trHeight w:val="268"/>
        </w:trPr>
        <w:tc>
          <w:tcPr>
            <w:tcW w:w="560" w:type="dxa"/>
            <w:vAlign w:val="bottom"/>
          </w:tcPr>
          <w:p>
            <w:pPr>
              <w:spacing w:after="0"/>
              <w:rPr>
                <w:sz w:val="23"/>
                <w:szCs w:val="23"/>
                <w:color w:val="auto"/>
              </w:rPr>
            </w:pPr>
          </w:p>
        </w:tc>
        <w:tc>
          <w:tcPr>
            <w:tcW w:w="8820" w:type="dxa"/>
            <w:vAlign w:val="bottom"/>
          </w:tcPr>
          <w:p>
            <w:pPr>
              <w:jc w:val="center"/>
              <w:ind w:left="957"/>
              <w:spacing w:after="0"/>
              <w:rPr>
                <w:sz w:val="20"/>
                <w:szCs w:val="20"/>
                <w:color w:val="auto"/>
              </w:rPr>
            </w:pPr>
            <w:r>
              <w:rPr>
                <w:rFonts w:ascii="Times New Roman" w:cs="Times New Roman" w:eastAsia="Times New Roman" w:hAnsi="Times New Roman"/>
                <w:sz w:val="21"/>
                <w:szCs w:val="21"/>
                <w:color w:val="auto"/>
                <w:w w:val="96"/>
              </w:rPr>
              <w:t>REPRESENTATIONS AND WARRANTIES</w:t>
            </w:r>
          </w:p>
        </w:tc>
        <w:tc>
          <w:tcPr>
            <w:tcW w:w="1620" w:type="dxa"/>
            <w:vAlign w:val="bottom"/>
          </w:tcPr>
          <w:p>
            <w:pPr>
              <w:spacing w:after="0"/>
              <w:rPr>
                <w:sz w:val="23"/>
                <w:szCs w:val="23"/>
                <w:color w:val="auto"/>
              </w:rPr>
            </w:pPr>
          </w:p>
        </w:tc>
      </w:tr>
      <w:tr>
        <w:trPr>
          <w:trHeight w:val="507"/>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5.01</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Existence, Qualification and Power</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5.02</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Authorization; No Contravention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5.03</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Governmental Authorization; Other Consents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5.04</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Binding Effect</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5.05</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Financial Statements; No Material Adverse Effect</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5.06</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Litigation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5.07</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No Default</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5.08</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Ownership of Property; Liens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5.09</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Environmental Compliance</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5.10</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Insurance</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5.11</w:t>
            </w:r>
          </w:p>
        </w:tc>
        <w:tc>
          <w:tcPr>
            <w:tcW w:w="882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Taxes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5.12</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ERISA Compliance</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85</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5.13</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Subsidiaries; Equity Interests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5.14</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Margin Regulations; Investment Company Act</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5.15</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Copyrights, Patents, Trademarks and Licenses, Etc</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5.16</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Disclosure</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5.17</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Compliance with Laws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86</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5.18</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Representations as to Foreign Obligors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87</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5.19</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Taxpayer Identification Number; Other Identifying Information</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88</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5.20</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OFAC</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88</w:t>
            </w:r>
          </w:p>
        </w:tc>
      </w:tr>
      <w:tr>
        <w:trPr>
          <w:trHeight w:val="26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5.21</w:t>
            </w:r>
          </w:p>
        </w:tc>
        <w:tc>
          <w:tcPr>
            <w:tcW w:w="882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Anti-Corruption Laws</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1000"/>
          </w:cols>
          <w:pgMar w:left="340" w:top="1393" w:right="5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5.22</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Beneficial Ownership</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88</w:t>
            </w:r>
          </w:p>
        </w:tc>
      </w:tr>
      <w:tr>
        <w:trPr>
          <w:trHeight w:val="26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5.23</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Covered Entity</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88</w:t>
            </w:r>
          </w:p>
        </w:tc>
      </w:tr>
      <w:tr>
        <w:trPr>
          <w:trHeight w:val="507"/>
        </w:trPr>
        <w:tc>
          <w:tcPr>
            <w:tcW w:w="560" w:type="dxa"/>
            <w:vAlign w:val="bottom"/>
          </w:tcPr>
          <w:p>
            <w:pPr>
              <w:spacing w:after="0"/>
              <w:rPr>
                <w:sz w:val="24"/>
                <w:szCs w:val="24"/>
                <w:color w:val="auto"/>
              </w:rPr>
            </w:pPr>
          </w:p>
        </w:tc>
        <w:tc>
          <w:tcPr>
            <w:tcW w:w="8500" w:type="dxa"/>
            <w:vAlign w:val="bottom"/>
          </w:tcPr>
          <w:p>
            <w:pPr>
              <w:jc w:val="center"/>
              <w:ind w:left="1277"/>
              <w:spacing w:after="0"/>
              <w:rPr>
                <w:sz w:val="20"/>
                <w:szCs w:val="20"/>
                <w:color w:val="auto"/>
              </w:rPr>
            </w:pPr>
            <w:r>
              <w:rPr>
                <w:rFonts w:ascii="Times New Roman" w:cs="Times New Roman" w:eastAsia="Times New Roman" w:hAnsi="Times New Roman"/>
                <w:sz w:val="21"/>
                <w:szCs w:val="21"/>
                <w:color w:val="auto"/>
                <w:w w:val="98"/>
              </w:rPr>
              <w:t>ARTICLE VI.</w:t>
            </w:r>
          </w:p>
        </w:tc>
        <w:tc>
          <w:tcPr>
            <w:tcW w:w="1940" w:type="dxa"/>
            <w:vAlign w:val="bottom"/>
          </w:tcPr>
          <w:p>
            <w:pPr>
              <w:spacing w:after="0"/>
              <w:rPr>
                <w:sz w:val="24"/>
                <w:szCs w:val="24"/>
                <w:color w:val="auto"/>
              </w:rPr>
            </w:pPr>
          </w:p>
        </w:tc>
      </w:tr>
      <w:tr>
        <w:trPr>
          <w:trHeight w:val="268"/>
        </w:trPr>
        <w:tc>
          <w:tcPr>
            <w:tcW w:w="560" w:type="dxa"/>
            <w:vAlign w:val="bottom"/>
          </w:tcPr>
          <w:p>
            <w:pPr>
              <w:spacing w:after="0"/>
              <w:rPr>
                <w:sz w:val="23"/>
                <w:szCs w:val="23"/>
                <w:color w:val="auto"/>
              </w:rPr>
            </w:pPr>
          </w:p>
        </w:tc>
        <w:tc>
          <w:tcPr>
            <w:tcW w:w="8500" w:type="dxa"/>
            <w:vAlign w:val="bottom"/>
          </w:tcPr>
          <w:p>
            <w:pPr>
              <w:jc w:val="center"/>
              <w:ind w:left="1277"/>
              <w:spacing w:after="0"/>
              <w:rPr>
                <w:sz w:val="20"/>
                <w:szCs w:val="20"/>
                <w:color w:val="auto"/>
              </w:rPr>
            </w:pPr>
            <w:r>
              <w:rPr>
                <w:rFonts w:ascii="Times New Roman" w:cs="Times New Roman" w:eastAsia="Times New Roman" w:hAnsi="Times New Roman"/>
                <w:sz w:val="21"/>
                <w:szCs w:val="21"/>
                <w:color w:val="auto"/>
                <w:w w:val="97"/>
              </w:rPr>
              <w:t>AFFIRMATIVE COVENANTS</w:t>
            </w:r>
          </w:p>
        </w:tc>
        <w:tc>
          <w:tcPr>
            <w:tcW w:w="1940" w:type="dxa"/>
            <w:vAlign w:val="bottom"/>
          </w:tcPr>
          <w:p>
            <w:pPr>
              <w:spacing w:after="0"/>
              <w:rPr>
                <w:sz w:val="23"/>
                <w:szCs w:val="23"/>
                <w:color w:val="auto"/>
              </w:rPr>
            </w:pPr>
          </w:p>
        </w:tc>
      </w:tr>
      <w:tr>
        <w:trPr>
          <w:trHeight w:val="507"/>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6.01</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Financial Statements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88</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6.02</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Certificates; Other Information</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89</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6.03</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Notices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6.04</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Anti-Corruption Laws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6.05</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Preservation of Existence, Etc</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6.06</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Maintenance of Properties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6.07</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Maintenance of Insurance</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6.08</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Compliance with Laws and Contractual Obligations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6.09</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Books and Records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6.10</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Inspection Rights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6.11</w:t>
            </w:r>
          </w:p>
        </w:tc>
        <w:tc>
          <w:tcPr>
            <w:tcW w:w="850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Use of Proceeds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r>
      <w:tr>
        <w:trPr>
          <w:trHeight w:val="26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6.12</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Approvals and Authorizations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93</w:t>
            </w:r>
          </w:p>
        </w:tc>
      </w:tr>
      <w:tr>
        <w:trPr>
          <w:trHeight w:val="507"/>
        </w:trPr>
        <w:tc>
          <w:tcPr>
            <w:tcW w:w="560" w:type="dxa"/>
            <w:vAlign w:val="bottom"/>
          </w:tcPr>
          <w:p>
            <w:pPr>
              <w:spacing w:after="0"/>
              <w:rPr>
                <w:sz w:val="24"/>
                <w:szCs w:val="24"/>
                <w:color w:val="auto"/>
              </w:rPr>
            </w:pPr>
          </w:p>
        </w:tc>
        <w:tc>
          <w:tcPr>
            <w:tcW w:w="8500" w:type="dxa"/>
            <w:vAlign w:val="bottom"/>
          </w:tcPr>
          <w:p>
            <w:pPr>
              <w:jc w:val="center"/>
              <w:ind w:left="1277"/>
              <w:spacing w:after="0"/>
              <w:rPr>
                <w:sz w:val="20"/>
                <w:szCs w:val="20"/>
                <w:color w:val="auto"/>
              </w:rPr>
            </w:pPr>
            <w:r>
              <w:rPr>
                <w:rFonts w:ascii="Times New Roman" w:cs="Times New Roman" w:eastAsia="Times New Roman" w:hAnsi="Times New Roman"/>
                <w:sz w:val="21"/>
                <w:szCs w:val="21"/>
                <w:color w:val="auto"/>
                <w:w w:val="96"/>
              </w:rPr>
              <w:t>ARTICLE VII.</w:t>
            </w:r>
          </w:p>
        </w:tc>
        <w:tc>
          <w:tcPr>
            <w:tcW w:w="1940" w:type="dxa"/>
            <w:vAlign w:val="bottom"/>
          </w:tcPr>
          <w:p>
            <w:pPr>
              <w:spacing w:after="0"/>
              <w:rPr>
                <w:sz w:val="24"/>
                <w:szCs w:val="24"/>
                <w:color w:val="auto"/>
              </w:rPr>
            </w:pPr>
          </w:p>
        </w:tc>
      </w:tr>
      <w:tr>
        <w:trPr>
          <w:trHeight w:val="268"/>
        </w:trPr>
        <w:tc>
          <w:tcPr>
            <w:tcW w:w="560" w:type="dxa"/>
            <w:vAlign w:val="bottom"/>
          </w:tcPr>
          <w:p>
            <w:pPr>
              <w:spacing w:after="0"/>
              <w:rPr>
                <w:sz w:val="23"/>
                <w:szCs w:val="23"/>
                <w:color w:val="auto"/>
              </w:rPr>
            </w:pPr>
          </w:p>
        </w:tc>
        <w:tc>
          <w:tcPr>
            <w:tcW w:w="8500" w:type="dxa"/>
            <w:vAlign w:val="bottom"/>
          </w:tcPr>
          <w:p>
            <w:pPr>
              <w:jc w:val="center"/>
              <w:ind w:left="1277"/>
              <w:spacing w:after="0"/>
              <w:rPr>
                <w:sz w:val="20"/>
                <w:szCs w:val="20"/>
                <w:color w:val="auto"/>
              </w:rPr>
            </w:pPr>
            <w:r>
              <w:rPr>
                <w:rFonts w:ascii="Times New Roman" w:cs="Times New Roman" w:eastAsia="Times New Roman" w:hAnsi="Times New Roman"/>
                <w:sz w:val="21"/>
                <w:szCs w:val="21"/>
                <w:color w:val="auto"/>
                <w:w w:val="97"/>
              </w:rPr>
              <w:t>NEGATIVE COVENANTS</w:t>
            </w:r>
          </w:p>
        </w:tc>
        <w:tc>
          <w:tcPr>
            <w:tcW w:w="1940" w:type="dxa"/>
            <w:vAlign w:val="bottom"/>
          </w:tcPr>
          <w:p>
            <w:pPr>
              <w:spacing w:after="0"/>
              <w:rPr>
                <w:sz w:val="23"/>
                <w:szCs w:val="23"/>
                <w:color w:val="auto"/>
              </w:rPr>
            </w:pPr>
          </w:p>
        </w:tc>
      </w:tr>
      <w:tr>
        <w:trPr>
          <w:trHeight w:val="507"/>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7.01</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Limitation on Liens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93</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7.02</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Disposition of Assets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94</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7.03</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Consolidations and Mergers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95</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7.04</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Restricted Payments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96</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7.05</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Maximum Leverage Ratio</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96</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7.06</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Red Iron</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96</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7.07</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Sanctions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96</w:t>
            </w:r>
          </w:p>
        </w:tc>
      </w:tr>
      <w:tr>
        <w:trPr>
          <w:trHeight w:val="26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7.08</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Anti-Corruption Laws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97</w:t>
            </w:r>
          </w:p>
        </w:tc>
      </w:tr>
      <w:tr>
        <w:trPr>
          <w:trHeight w:val="507"/>
        </w:trPr>
        <w:tc>
          <w:tcPr>
            <w:tcW w:w="560" w:type="dxa"/>
            <w:vAlign w:val="bottom"/>
          </w:tcPr>
          <w:p>
            <w:pPr>
              <w:spacing w:after="0"/>
              <w:rPr>
                <w:sz w:val="24"/>
                <w:szCs w:val="24"/>
                <w:color w:val="auto"/>
              </w:rPr>
            </w:pPr>
          </w:p>
        </w:tc>
        <w:tc>
          <w:tcPr>
            <w:tcW w:w="8500" w:type="dxa"/>
            <w:vAlign w:val="bottom"/>
          </w:tcPr>
          <w:p>
            <w:pPr>
              <w:jc w:val="center"/>
              <w:ind w:left="1277"/>
              <w:spacing w:after="0"/>
              <w:rPr>
                <w:sz w:val="20"/>
                <w:szCs w:val="20"/>
                <w:color w:val="auto"/>
              </w:rPr>
            </w:pPr>
            <w:r>
              <w:rPr>
                <w:rFonts w:ascii="Times New Roman" w:cs="Times New Roman" w:eastAsia="Times New Roman" w:hAnsi="Times New Roman"/>
                <w:sz w:val="21"/>
                <w:szCs w:val="21"/>
                <w:color w:val="auto"/>
                <w:w w:val="97"/>
              </w:rPr>
              <w:t>ARTICLE VIII.</w:t>
            </w:r>
          </w:p>
        </w:tc>
        <w:tc>
          <w:tcPr>
            <w:tcW w:w="1940" w:type="dxa"/>
            <w:vAlign w:val="bottom"/>
          </w:tcPr>
          <w:p>
            <w:pPr>
              <w:spacing w:after="0"/>
              <w:rPr>
                <w:sz w:val="24"/>
                <w:szCs w:val="24"/>
                <w:color w:val="auto"/>
              </w:rPr>
            </w:pPr>
          </w:p>
        </w:tc>
      </w:tr>
      <w:tr>
        <w:trPr>
          <w:trHeight w:val="268"/>
        </w:trPr>
        <w:tc>
          <w:tcPr>
            <w:tcW w:w="560" w:type="dxa"/>
            <w:vAlign w:val="bottom"/>
          </w:tcPr>
          <w:p>
            <w:pPr>
              <w:spacing w:after="0"/>
              <w:rPr>
                <w:sz w:val="23"/>
                <w:szCs w:val="23"/>
                <w:color w:val="auto"/>
              </w:rPr>
            </w:pPr>
          </w:p>
        </w:tc>
        <w:tc>
          <w:tcPr>
            <w:tcW w:w="8500" w:type="dxa"/>
            <w:vAlign w:val="bottom"/>
          </w:tcPr>
          <w:p>
            <w:pPr>
              <w:jc w:val="center"/>
              <w:ind w:left="1277"/>
              <w:spacing w:after="0"/>
              <w:rPr>
                <w:sz w:val="20"/>
                <w:szCs w:val="20"/>
                <w:color w:val="auto"/>
              </w:rPr>
            </w:pPr>
            <w:r>
              <w:rPr>
                <w:rFonts w:ascii="Times New Roman" w:cs="Times New Roman" w:eastAsia="Times New Roman" w:hAnsi="Times New Roman"/>
                <w:sz w:val="21"/>
                <w:szCs w:val="21"/>
                <w:color w:val="auto"/>
                <w:w w:val="97"/>
              </w:rPr>
              <w:t>EVENTS OF DEFAULT AND REMEDIES</w:t>
            </w:r>
          </w:p>
        </w:tc>
        <w:tc>
          <w:tcPr>
            <w:tcW w:w="1940" w:type="dxa"/>
            <w:vAlign w:val="bottom"/>
          </w:tcPr>
          <w:p>
            <w:pPr>
              <w:spacing w:after="0"/>
              <w:rPr>
                <w:sz w:val="23"/>
                <w:szCs w:val="23"/>
                <w:color w:val="auto"/>
              </w:rPr>
            </w:pPr>
          </w:p>
        </w:tc>
      </w:tr>
      <w:tr>
        <w:trPr>
          <w:trHeight w:val="507"/>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8.01</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Events of Default</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97</w:t>
            </w: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8.02</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Remedies Upon Event of Default</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99</w:t>
            </w:r>
          </w:p>
        </w:tc>
      </w:tr>
      <w:tr>
        <w:trPr>
          <w:trHeight w:val="268"/>
        </w:trPr>
        <w:tc>
          <w:tcPr>
            <w:tcW w:w="560" w:type="dxa"/>
            <w:vAlign w:val="bottom"/>
          </w:tcPr>
          <w:p>
            <w:pPr>
              <w:spacing w:after="0"/>
              <w:rPr>
                <w:sz w:val="20"/>
                <w:szCs w:val="20"/>
                <w:color w:val="auto"/>
              </w:rPr>
            </w:pPr>
            <w:r>
              <w:rPr>
                <w:rFonts w:ascii="Times New Roman" w:cs="Times New Roman" w:eastAsia="Times New Roman" w:hAnsi="Times New Roman"/>
                <w:sz w:val="21"/>
                <w:szCs w:val="21"/>
                <w:color w:val="auto"/>
              </w:rPr>
              <w:t>8.03</w:t>
            </w:r>
          </w:p>
        </w:tc>
        <w:tc>
          <w:tcPr>
            <w:tcW w:w="8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Application of Funds.</w:t>
            </w:r>
          </w:p>
        </w:tc>
        <w:tc>
          <w:tcPr>
            <w:tcW w:w="1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99</w:t>
            </w:r>
          </w:p>
        </w:tc>
      </w:tr>
    </w:tbl>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iii</w:t>
      </w:r>
    </w:p>
    <w:p>
      <w:pPr>
        <w:sectPr>
          <w:pgSz w:w="11900" w:h="16838" w:orient="portrait"/>
          <w:cols w:equalWidth="0" w:num="1">
            <w:col w:w="11000"/>
          </w:cols>
          <w:pgMar w:left="340" w:top="1393" w:right="55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9.01</w:t>
            </w:r>
          </w:p>
        </w:tc>
        <w:tc>
          <w:tcPr>
            <w:tcW w:w="850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Appointment and Authority</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9.02</w:t>
            </w:r>
          </w:p>
        </w:tc>
        <w:tc>
          <w:tcPr>
            <w:tcW w:w="850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Rights as a Lender</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9.03</w:t>
            </w:r>
          </w:p>
        </w:tc>
        <w:tc>
          <w:tcPr>
            <w:tcW w:w="850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Exculpatory Provisions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101</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9.04</w:t>
            </w:r>
          </w:p>
        </w:tc>
        <w:tc>
          <w:tcPr>
            <w:tcW w:w="850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Reliance by Administrative Agent</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102</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9.05</w:t>
            </w:r>
          </w:p>
        </w:tc>
        <w:tc>
          <w:tcPr>
            <w:tcW w:w="850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Delegation of Duties</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102</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9.06</w:t>
            </w:r>
          </w:p>
        </w:tc>
        <w:tc>
          <w:tcPr>
            <w:tcW w:w="850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Resignation or Removal of Administrative Agent</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102</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9.07</w:t>
            </w:r>
          </w:p>
        </w:tc>
        <w:tc>
          <w:tcPr>
            <w:tcW w:w="850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Non-Reliance on the Administrative Agent, the Arrangers and the Other Lenders</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103</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9.08</w:t>
            </w:r>
          </w:p>
        </w:tc>
        <w:tc>
          <w:tcPr>
            <w:tcW w:w="850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No Other Duties, Etc</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104</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9.09</w:t>
            </w:r>
          </w:p>
        </w:tc>
        <w:tc>
          <w:tcPr>
            <w:tcW w:w="850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Administrative Agent May File Proofs of Claim</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104</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9.10</w:t>
            </w:r>
          </w:p>
        </w:tc>
        <w:tc>
          <w:tcPr>
            <w:tcW w:w="850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Recovery of Erroneous Payments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105</w:t>
            </w:r>
          </w:p>
        </w:tc>
      </w:tr>
      <w:tr>
        <w:trPr>
          <w:trHeight w:val="26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9.11</w:t>
            </w:r>
          </w:p>
        </w:tc>
        <w:tc>
          <w:tcPr>
            <w:tcW w:w="850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No Lender is an Employee Benefit Plan</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105</w:t>
            </w:r>
          </w:p>
        </w:tc>
      </w:tr>
      <w:tr>
        <w:trPr>
          <w:trHeight w:val="507"/>
        </w:trPr>
        <w:tc>
          <w:tcPr>
            <w:tcW w:w="580" w:type="dxa"/>
            <w:vAlign w:val="bottom"/>
          </w:tcPr>
          <w:p>
            <w:pPr>
              <w:spacing w:after="0"/>
              <w:rPr>
                <w:sz w:val="24"/>
                <w:szCs w:val="24"/>
                <w:color w:val="auto"/>
              </w:rPr>
            </w:pPr>
          </w:p>
        </w:tc>
        <w:tc>
          <w:tcPr>
            <w:tcW w:w="8500" w:type="dxa"/>
            <w:vAlign w:val="bottom"/>
          </w:tcPr>
          <w:p>
            <w:pPr>
              <w:jc w:val="center"/>
              <w:ind w:left="1237"/>
              <w:spacing w:after="0"/>
              <w:rPr>
                <w:sz w:val="20"/>
                <w:szCs w:val="20"/>
                <w:color w:val="auto"/>
              </w:rPr>
            </w:pPr>
            <w:r>
              <w:rPr>
                <w:rFonts w:ascii="Times New Roman" w:cs="Times New Roman" w:eastAsia="Times New Roman" w:hAnsi="Times New Roman"/>
                <w:sz w:val="21"/>
                <w:szCs w:val="21"/>
                <w:color w:val="auto"/>
                <w:w w:val="97"/>
              </w:rPr>
              <w:t>ARTICLE X.</w:t>
            </w:r>
          </w:p>
        </w:tc>
        <w:tc>
          <w:tcPr>
            <w:tcW w:w="1920" w:type="dxa"/>
            <w:vAlign w:val="bottom"/>
          </w:tcPr>
          <w:p>
            <w:pPr>
              <w:spacing w:after="0"/>
              <w:rPr>
                <w:sz w:val="24"/>
                <w:szCs w:val="24"/>
                <w:color w:val="auto"/>
              </w:rPr>
            </w:pPr>
          </w:p>
        </w:tc>
      </w:tr>
      <w:tr>
        <w:trPr>
          <w:trHeight w:val="268"/>
        </w:trPr>
        <w:tc>
          <w:tcPr>
            <w:tcW w:w="580" w:type="dxa"/>
            <w:vAlign w:val="bottom"/>
          </w:tcPr>
          <w:p>
            <w:pPr>
              <w:spacing w:after="0"/>
              <w:rPr>
                <w:sz w:val="23"/>
                <w:szCs w:val="23"/>
                <w:color w:val="auto"/>
              </w:rPr>
            </w:pPr>
          </w:p>
        </w:tc>
        <w:tc>
          <w:tcPr>
            <w:tcW w:w="8500" w:type="dxa"/>
            <w:vAlign w:val="bottom"/>
          </w:tcPr>
          <w:p>
            <w:pPr>
              <w:jc w:val="center"/>
              <w:ind w:left="1237"/>
              <w:spacing w:after="0"/>
              <w:rPr>
                <w:sz w:val="20"/>
                <w:szCs w:val="20"/>
                <w:color w:val="auto"/>
              </w:rPr>
            </w:pPr>
            <w:r>
              <w:rPr>
                <w:rFonts w:ascii="Times New Roman" w:cs="Times New Roman" w:eastAsia="Times New Roman" w:hAnsi="Times New Roman"/>
                <w:sz w:val="21"/>
                <w:szCs w:val="21"/>
                <w:color w:val="auto"/>
                <w:w w:val="97"/>
              </w:rPr>
              <w:t>Guaranty</w:t>
            </w:r>
          </w:p>
        </w:tc>
        <w:tc>
          <w:tcPr>
            <w:tcW w:w="1920" w:type="dxa"/>
            <w:vAlign w:val="bottom"/>
          </w:tcPr>
          <w:p>
            <w:pPr>
              <w:spacing w:after="0"/>
              <w:rPr>
                <w:sz w:val="23"/>
                <w:szCs w:val="23"/>
                <w:color w:val="auto"/>
              </w:rPr>
            </w:pPr>
          </w:p>
        </w:tc>
      </w:tr>
      <w:tr>
        <w:trPr>
          <w:trHeight w:val="507"/>
        </w:trPr>
        <w:tc>
          <w:tcPr>
            <w:tcW w:w="90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10.01   The Guaranty</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106</w:t>
            </w:r>
          </w:p>
        </w:tc>
      </w:tr>
      <w:tr>
        <w:trPr>
          <w:trHeight w:val="258"/>
        </w:trPr>
        <w:tc>
          <w:tcPr>
            <w:tcW w:w="90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10.02   Guaranty Unconditional</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106</w:t>
            </w:r>
          </w:p>
        </w:tc>
      </w:tr>
      <w:tr>
        <w:trPr>
          <w:trHeight w:val="258"/>
        </w:trPr>
        <w:tc>
          <w:tcPr>
            <w:tcW w:w="90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10.03   Discharge Only Upon Payment In Full; Reinstatement In Certain Circumstances</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107</w:t>
            </w:r>
          </w:p>
        </w:tc>
      </w:tr>
      <w:tr>
        <w:trPr>
          <w:trHeight w:val="258"/>
        </w:trPr>
        <w:tc>
          <w:tcPr>
            <w:tcW w:w="90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10.04   Waiver by Toro</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107</w:t>
            </w:r>
          </w:p>
        </w:tc>
      </w:tr>
      <w:tr>
        <w:trPr>
          <w:trHeight w:val="258"/>
        </w:trPr>
        <w:tc>
          <w:tcPr>
            <w:tcW w:w="90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10.05   No Subrogation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107</w:t>
            </w:r>
          </w:p>
        </w:tc>
      </w:tr>
      <w:tr>
        <w:trPr>
          <w:trHeight w:val="268"/>
        </w:trPr>
        <w:tc>
          <w:tcPr>
            <w:tcW w:w="90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10.06   Stay of Acceleration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107</w:t>
            </w:r>
          </w:p>
        </w:tc>
      </w:tr>
      <w:tr>
        <w:trPr>
          <w:trHeight w:val="507"/>
        </w:trPr>
        <w:tc>
          <w:tcPr>
            <w:tcW w:w="580" w:type="dxa"/>
            <w:vAlign w:val="bottom"/>
          </w:tcPr>
          <w:p>
            <w:pPr>
              <w:spacing w:after="0"/>
              <w:rPr>
                <w:sz w:val="24"/>
                <w:szCs w:val="24"/>
                <w:color w:val="auto"/>
              </w:rPr>
            </w:pPr>
          </w:p>
        </w:tc>
        <w:tc>
          <w:tcPr>
            <w:tcW w:w="8500" w:type="dxa"/>
            <w:vAlign w:val="bottom"/>
          </w:tcPr>
          <w:p>
            <w:pPr>
              <w:jc w:val="center"/>
              <w:ind w:left="1237"/>
              <w:spacing w:after="0"/>
              <w:rPr>
                <w:sz w:val="20"/>
                <w:szCs w:val="20"/>
                <w:color w:val="auto"/>
              </w:rPr>
            </w:pPr>
            <w:r>
              <w:rPr>
                <w:rFonts w:ascii="Times New Roman" w:cs="Times New Roman" w:eastAsia="Times New Roman" w:hAnsi="Times New Roman"/>
                <w:sz w:val="21"/>
                <w:szCs w:val="21"/>
                <w:color w:val="auto"/>
                <w:w w:val="98"/>
              </w:rPr>
              <w:t>ARTICLE XI.</w:t>
            </w:r>
          </w:p>
        </w:tc>
        <w:tc>
          <w:tcPr>
            <w:tcW w:w="1920" w:type="dxa"/>
            <w:vAlign w:val="bottom"/>
          </w:tcPr>
          <w:p>
            <w:pPr>
              <w:spacing w:after="0"/>
              <w:rPr>
                <w:sz w:val="24"/>
                <w:szCs w:val="24"/>
                <w:color w:val="auto"/>
              </w:rPr>
            </w:pPr>
          </w:p>
        </w:tc>
      </w:tr>
      <w:tr>
        <w:trPr>
          <w:trHeight w:val="268"/>
        </w:trPr>
        <w:tc>
          <w:tcPr>
            <w:tcW w:w="580" w:type="dxa"/>
            <w:vAlign w:val="bottom"/>
          </w:tcPr>
          <w:p>
            <w:pPr>
              <w:spacing w:after="0"/>
              <w:rPr>
                <w:sz w:val="23"/>
                <w:szCs w:val="23"/>
                <w:color w:val="auto"/>
              </w:rPr>
            </w:pPr>
          </w:p>
        </w:tc>
        <w:tc>
          <w:tcPr>
            <w:tcW w:w="8500" w:type="dxa"/>
            <w:vAlign w:val="bottom"/>
          </w:tcPr>
          <w:p>
            <w:pPr>
              <w:jc w:val="center"/>
              <w:ind w:left="1237"/>
              <w:spacing w:after="0"/>
              <w:rPr>
                <w:sz w:val="20"/>
                <w:szCs w:val="20"/>
                <w:color w:val="auto"/>
              </w:rPr>
            </w:pPr>
            <w:r>
              <w:rPr>
                <w:rFonts w:ascii="Times New Roman" w:cs="Times New Roman" w:eastAsia="Times New Roman" w:hAnsi="Times New Roman"/>
                <w:sz w:val="21"/>
                <w:szCs w:val="21"/>
                <w:color w:val="auto"/>
                <w:w w:val="98"/>
              </w:rPr>
              <w:t>MISCELLANEOUS</w:t>
            </w:r>
          </w:p>
        </w:tc>
        <w:tc>
          <w:tcPr>
            <w:tcW w:w="1920" w:type="dxa"/>
            <w:vAlign w:val="bottom"/>
          </w:tcPr>
          <w:p>
            <w:pPr>
              <w:spacing w:after="0"/>
              <w:rPr>
                <w:sz w:val="23"/>
                <w:szCs w:val="23"/>
                <w:color w:val="auto"/>
              </w:rPr>
            </w:pPr>
          </w:p>
        </w:tc>
      </w:tr>
      <w:tr>
        <w:trPr>
          <w:trHeight w:val="507"/>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11.01</w:t>
            </w:r>
          </w:p>
        </w:tc>
        <w:tc>
          <w:tcPr>
            <w:tcW w:w="85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Amendments, Etc</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108</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11.02</w:t>
            </w:r>
          </w:p>
        </w:tc>
        <w:tc>
          <w:tcPr>
            <w:tcW w:w="85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Notices; Effectiveness; Electronic Communication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109</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11.03</w:t>
            </w:r>
          </w:p>
        </w:tc>
        <w:tc>
          <w:tcPr>
            <w:tcW w:w="85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No Waiver; Cumulative Remedies; Enforcement</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111</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11.04</w:t>
            </w:r>
          </w:p>
        </w:tc>
        <w:tc>
          <w:tcPr>
            <w:tcW w:w="85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Expenses; Indemnity; Damage Waiver</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112</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11.05</w:t>
            </w:r>
          </w:p>
        </w:tc>
        <w:tc>
          <w:tcPr>
            <w:tcW w:w="85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Payments Set Aside.</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11.06</w:t>
            </w:r>
          </w:p>
        </w:tc>
        <w:tc>
          <w:tcPr>
            <w:tcW w:w="85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Successors and Assigns</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11.07</w:t>
            </w:r>
          </w:p>
        </w:tc>
        <w:tc>
          <w:tcPr>
            <w:tcW w:w="85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Treatment of Certain Information; Confidentiality</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118</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11.08</w:t>
            </w:r>
          </w:p>
        </w:tc>
        <w:tc>
          <w:tcPr>
            <w:tcW w:w="85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Right of Setoff.</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11.09</w:t>
            </w:r>
          </w:p>
        </w:tc>
        <w:tc>
          <w:tcPr>
            <w:tcW w:w="85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Interest Rate Limitation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11.10</w:t>
            </w:r>
          </w:p>
        </w:tc>
        <w:tc>
          <w:tcPr>
            <w:tcW w:w="85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Integration; Effectiveness</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120</w:t>
            </w:r>
          </w:p>
        </w:tc>
      </w:tr>
      <w:tr>
        <w:trPr>
          <w:trHeight w:val="258"/>
        </w:trPr>
        <w:tc>
          <w:tcPr>
            <w:tcW w:w="90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11.11   Survival of Representations and Warranties</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120</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11.12</w:t>
            </w:r>
          </w:p>
        </w:tc>
        <w:tc>
          <w:tcPr>
            <w:tcW w:w="85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Severability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120</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11.13</w:t>
            </w:r>
          </w:p>
        </w:tc>
        <w:tc>
          <w:tcPr>
            <w:tcW w:w="85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Replacement of Lenders</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120</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11.14</w:t>
            </w:r>
          </w:p>
        </w:tc>
        <w:tc>
          <w:tcPr>
            <w:tcW w:w="85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Governing Law; Jurisdiction; Etc</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121</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11.15</w:t>
            </w:r>
          </w:p>
        </w:tc>
        <w:tc>
          <w:tcPr>
            <w:tcW w:w="85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Waiver of Jury Trial</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122</w:t>
            </w:r>
          </w:p>
        </w:tc>
      </w:tr>
      <w:tr>
        <w:trPr>
          <w:trHeight w:val="268"/>
        </w:trPr>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11.16</w:t>
            </w:r>
          </w:p>
        </w:tc>
        <w:tc>
          <w:tcPr>
            <w:tcW w:w="850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USA PATRIOT Act Notice</w:t>
            </w:r>
          </w:p>
        </w:tc>
        <w:tc>
          <w:tcPr>
            <w:tcW w:w="1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iv</w:t>
      </w:r>
    </w:p>
    <w:p>
      <w:pPr>
        <w:sectPr>
          <w:pgSz w:w="11900" w:h="16838" w:orient="portrait"/>
          <w:cols w:equalWidth="0" w:num="1">
            <w:col w:w="11000"/>
          </w:cols>
          <w:pgMar w:left="340" w:top="1393" w:right="559" w:bottom="1440" w:gutter="0" w:footer="0" w:header="0"/>
        </w:sectPr>
      </w:pPr>
    </w:p>
    <w:bookmarkStart w:id="69" w:name="page70"/>
    <w:bookmarkEnd w:id="69"/>
    <w:tbl>
      <w:tblPr>
        <w:tblLayout w:type="fixed"/>
        <w:tblInd w:w="20" w:type="dxa"/>
        <w:tblCellMar>
          <w:top w:w="0" w:type="dxa"/>
          <w:left w:w="0" w:type="dxa"/>
          <w:bottom w:w="0" w:type="dxa"/>
          <w:right w:w="0" w:type="dxa"/>
        </w:tblCellMar>
      </w:tblPr>
      <w:tr>
        <w:trPr>
          <w:trHeight w:val="258"/>
        </w:trPr>
        <w:tc>
          <w:tcPr>
            <w:tcW w:w="58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w w:val="93"/>
              </w:rPr>
              <w:t>11.17</w:t>
            </w:r>
          </w:p>
        </w:tc>
        <w:tc>
          <w:tcPr>
            <w:tcW w:w="82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Liability of the Borrowers</w:t>
            </w:r>
          </w:p>
        </w:tc>
        <w:tc>
          <w:tcPr>
            <w:tcW w:w="2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122</w:t>
            </w:r>
          </w:p>
        </w:tc>
      </w:tr>
      <w:tr>
        <w:trPr>
          <w:trHeight w:val="258"/>
        </w:trPr>
        <w:tc>
          <w:tcPr>
            <w:tcW w:w="58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w w:val="93"/>
              </w:rPr>
              <w:t>11.18</w:t>
            </w:r>
          </w:p>
        </w:tc>
        <w:tc>
          <w:tcPr>
            <w:tcW w:w="82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Judgment Currency</w:t>
            </w:r>
          </w:p>
        </w:tc>
        <w:tc>
          <w:tcPr>
            <w:tcW w:w="2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123</w:t>
            </w:r>
          </w:p>
        </w:tc>
      </w:tr>
      <w:tr>
        <w:trPr>
          <w:trHeight w:val="258"/>
        </w:trPr>
        <w:tc>
          <w:tcPr>
            <w:tcW w:w="58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w w:val="93"/>
              </w:rPr>
              <w:t>11.19</w:t>
            </w:r>
          </w:p>
        </w:tc>
        <w:tc>
          <w:tcPr>
            <w:tcW w:w="82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Automatic Debits of Principal, Interest, Fees</w:t>
            </w:r>
          </w:p>
        </w:tc>
        <w:tc>
          <w:tcPr>
            <w:tcW w:w="2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124</w:t>
            </w:r>
          </w:p>
        </w:tc>
      </w:tr>
      <w:tr>
        <w:trPr>
          <w:trHeight w:val="258"/>
        </w:trPr>
        <w:tc>
          <w:tcPr>
            <w:tcW w:w="58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w w:val="93"/>
              </w:rPr>
              <w:t>11.20</w:t>
            </w:r>
          </w:p>
        </w:tc>
        <w:tc>
          <w:tcPr>
            <w:tcW w:w="82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Termination of Existing Term Loan Credit Agreement</w:t>
            </w:r>
          </w:p>
        </w:tc>
        <w:tc>
          <w:tcPr>
            <w:tcW w:w="2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124</w:t>
            </w:r>
          </w:p>
        </w:tc>
      </w:tr>
      <w:tr>
        <w:trPr>
          <w:trHeight w:val="258"/>
        </w:trPr>
        <w:tc>
          <w:tcPr>
            <w:tcW w:w="58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w w:val="93"/>
              </w:rPr>
              <w:t>11.21</w:t>
            </w:r>
          </w:p>
        </w:tc>
        <w:tc>
          <w:tcPr>
            <w:tcW w:w="82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No Advisory or Fiduciary Responsibility</w:t>
            </w:r>
          </w:p>
        </w:tc>
        <w:tc>
          <w:tcPr>
            <w:tcW w:w="2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124</w:t>
            </w:r>
          </w:p>
        </w:tc>
      </w:tr>
      <w:tr>
        <w:trPr>
          <w:trHeight w:val="258"/>
        </w:trPr>
        <w:tc>
          <w:tcPr>
            <w:tcW w:w="58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w w:val="93"/>
              </w:rPr>
              <w:t>11.22</w:t>
            </w:r>
          </w:p>
        </w:tc>
        <w:tc>
          <w:tcPr>
            <w:tcW w:w="82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Electronic Execution of Assignments and Certain Other Documents</w:t>
            </w:r>
          </w:p>
        </w:tc>
        <w:tc>
          <w:tcPr>
            <w:tcW w:w="2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124</w:t>
            </w:r>
          </w:p>
        </w:tc>
      </w:tr>
      <w:tr>
        <w:trPr>
          <w:trHeight w:val="258"/>
        </w:trPr>
        <w:tc>
          <w:tcPr>
            <w:tcW w:w="58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w w:val="93"/>
              </w:rPr>
              <w:t>11.23</w:t>
            </w:r>
          </w:p>
        </w:tc>
        <w:tc>
          <w:tcPr>
            <w:tcW w:w="82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ENTIRE AGREEMENT</w:t>
            </w:r>
          </w:p>
        </w:tc>
        <w:tc>
          <w:tcPr>
            <w:tcW w:w="2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125</w:t>
            </w:r>
          </w:p>
        </w:tc>
      </w:tr>
      <w:tr>
        <w:trPr>
          <w:trHeight w:val="258"/>
        </w:trPr>
        <w:tc>
          <w:tcPr>
            <w:tcW w:w="58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w w:val="93"/>
              </w:rPr>
              <w:t>11.24</w:t>
            </w:r>
          </w:p>
        </w:tc>
        <w:tc>
          <w:tcPr>
            <w:tcW w:w="82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Acknowledgement and Consent to Bail-In of Affected Financial Institutions</w:t>
            </w:r>
          </w:p>
        </w:tc>
        <w:tc>
          <w:tcPr>
            <w:tcW w:w="2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126</w:t>
            </w:r>
          </w:p>
        </w:tc>
      </w:tr>
      <w:tr>
        <w:trPr>
          <w:trHeight w:val="268"/>
        </w:trPr>
        <w:tc>
          <w:tcPr>
            <w:tcW w:w="58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w w:val="93"/>
              </w:rPr>
              <w:t>11.25</w:t>
            </w:r>
          </w:p>
        </w:tc>
        <w:tc>
          <w:tcPr>
            <w:tcW w:w="826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Acknowledgement Regarding Any Supported QFCs</w:t>
            </w:r>
          </w:p>
        </w:tc>
        <w:tc>
          <w:tcPr>
            <w:tcW w:w="2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126</w:t>
            </w:r>
          </w:p>
        </w:tc>
      </w:tr>
    </w:tbl>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Signatures</w:t>
            </w:r>
          </w:p>
        </w:tc>
        <w:tc>
          <w:tcPr>
            <w:tcW w:w="5680" w:type="dxa"/>
            <w:vAlign w:val="bottom"/>
          </w:tcPr>
          <w:p>
            <w:pPr>
              <w:ind w:left="5380"/>
              <w:spacing w:after="0"/>
              <w:rPr>
                <w:sz w:val="20"/>
                <w:szCs w:val="20"/>
                <w:color w:val="auto"/>
              </w:rPr>
            </w:pPr>
            <w:r>
              <w:rPr>
                <w:rFonts w:ascii="Times New Roman" w:cs="Times New Roman" w:eastAsia="Times New Roman" w:hAnsi="Times New Roman"/>
                <w:sz w:val="21"/>
                <w:szCs w:val="21"/>
                <w:color w:val="auto"/>
                <w:w w:val="95"/>
              </w:rPr>
              <w:t>S-1</w:t>
            </w:r>
          </w:p>
        </w:tc>
        <w:tc>
          <w:tcPr>
            <w:tcW w:w="0" w:type="dxa"/>
            <w:vAlign w:val="bottom"/>
          </w:tcPr>
          <w:p>
            <w:pPr>
              <w:spacing w:after="0"/>
              <w:rPr>
                <w:sz w:val="1"/>
                <w:szCs w:val="1"/>
                <w:color w:val="auto"/>
              </w:rPr>
            </w:pPr>
          </w:p>
        </w:tc>
      </w:tr>
      <w:tr>
        <w:trPr>
          <w:trHeight w:val="533"/>
        </w:trPr>
        <w:tc>
          <w:tcPr>
            <w:tcW w:w="492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SCHEDULES</w:t>
            </w:r>
          </w:p>
        </w:tc>
        <w:tc>
          <w:tcPr>
            <w:tcW w:w="5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920" w:type="dxa"/>
            <w:vAlign w:val="bottom"/>
            <w:gridSpan w:val="2"/>
          </w:tcPr>
          <w:p>
            <w:pPr>
              <w:spacing w:after="0" w:line="207" w:lineRule="exact"/>
              <w:rPr>
                <w:sz w:val="20"/>
                <w:szCs w:val="20"/>
                <w:color w:val="auto"/>
              </w:rPr>
            </w:pPr>
            <w:r>
              <w:rPr>
                <w:rFonts w:ascii="Times New Roman" w:cs="Times New Roman" w:eastAsia="Times New Roman" w:hAnsi="Times New Roman"/>
                <w:sz w:val="21"/>
                <w:szCs w:val="21"/>
                <w:color w:val="auto"/>
              </w:rPr>
              <w:t>1.01(e)  Existing Letters of Credit</w:t>
            </w:r>
          </w:p>
        </w:tc>
        <w:tc>
          <w:tcPr>
            <w:tcW w:w="5680" w:type="dxa"/>
            <w:vAlign w:val="bottom"/>
            <w:vMerge w:val="restart"/>
          </w:tcPr>
          <w:p>
            <w:pPr>
              <w:ind w:left="120"/>
              <w:spacing w:after="0"/>
              <w:rPr>
                <w:sz w:val="20"/>
                <w:szCs w:val="20"/>
                <w:color w:val="auto"/>
              </w:rPr>
            </w:pPr>
            <w:r>
              <w:rPr>
                <w:rFonts w:ascii="Times New Roman" w:cs="Times New Roman" w:eastAsia="Times New Roman" w:hAnsi="Times New Roman"/>
                <w:sz w:val="21"/>
                <w:szCs w:val="21"/>
                <w:color w:val="auto"/>
              </w:rPr>
              <w:t>Swing Line Commitments</w:t>
            </w:r>
          </w:p>
        </w:tc>
        <w:tc>
          <w:tcPr>
            <w:tcW w:w="0" w:type="dxa"/>
            <w:vAlign w:val="bottom"/>
          </w:tcPr>
          <w:p>
            <w:pPr>
              <w:spacing w:after="0"/>
              <w:rPr>
                <w:sz w:val="1"/>
                <w:szCs w:val="1"/>
                <w:color w:val="auto"/>
              </w:rPr>
            </w:pPr>
          </w:p>
        </w:tc>
      </w:tr>
      <w:tr>
        <w:trPr>
          <w:trHeight w:val="207"/>
        </w:trPr>
        <w:tc>
          <w:tcPr>
            <w:tcW w:w="54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2.01A</w:t>
            </w:r>
          </w:p>
        </w:tc>
        <w:tc>
          <w:tcPr>
            <w:tcW w:w="4380" w:type="dxa"/>
            <w:vAlign w:val="bottom"/>
          </w:tcPr>
          <w:p>
            <w:pPr>
              <w:ind w:left="160"/>
              <w:spacing w:after="0" w:line="207" w:lineRule="exact"/>
              <w:rPr>
                <w:sz w:val="20"/>
                <w:szCs w:val="20"/>
                <w:color w:val="auto"/>
              </w:rPr>
            </w:pPr>
            <w:r>
              <w:rPr>
                <w:rFonts w:ascii="Times New Roman" w:cs="Times New Roman" w:eastAsia="Times New Roman" w:hAnsi="Times New Roman"/>
                <w:sz w:val="21"/>
                <w:szCs w:val="21"/>
                <w:color w:val="auto"/>
              </w:rPr>
              <w:t>Commitments and Applicable Percentages 2.01B</w:t>
            </w:r>
          </w:p>
        </w:tc>
        <w:tc>
          <w:tcPr>
            <w:tcW w:w="5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2.01C</w:t>
            </w:r>
          </w:p>
        </w:tc>
        <w:tc>
          <w:tcPr>
            <w:tcW w:w="4380" w:type="dxa"/>
            <w:vAlign w:val="bottom"/>
          </w:tcPr>
          <w:p>
            <w:pPr>
              <w:ind w:left="160"/>
              <w:spacing w:after="0" w:line="207" w:lineRule="exact"/>
              <w:rPr>
                <w:sz w:val="20"/>
                <w:szCs w:val="20"/>
                <w:color w:val="auto"/>
              </w:rPr>
            </w:pPr>
            <w:r>
              <w:rPr>
                <w:rFonts w:ascii="Times New Roman" w:cs="Times New Roman" w:eastAsia="Times New Roman" w:hAnsi="Times New Roman"/>
                <w:sz w:val="21"/>
                <w:szCs w:val="21"/>
                <w:color w:val="auto"/>
              </w:rPr>
              <w:t>L/C Commitments</w:t>
            </w:r>
          </w:p>
        </w:tc>
        <w:tc>
          <w:tcPr>
            <w:tcW w:w="5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5.06</w:t>
            </w:r>
          </w:p>
        </w:tc>
        <w:tc>
          <w:tcPr>
            <w:tcW w:w="4380" w:type="dxa"/>
            <w:vAlign w:val="bottom"/>
          </w:tcPr>
          <w:p>
            <w:pPr>
              <w:ind w:left="40"/>
              <w:spacing w:after="0" w:line="207" w:lineRule="exact"/>
              <w:rPr>
                <w:sz w:val="20"/>
                <w:szCs w:val="20"/>
                <w:color w:val="auto"/>
              </w:rPr>
            </w:pPr>
            <w:r>
              <w:rPr>
                <w:rFonts w:ascii="Times New Roman" w:cs="Times New Roman" w:eastAsia="Times New Roman" w:hAnsi="Times New Roman"/>
                <w:sz w:val="21"/>
                <w:szCs w:val="21"/>
                <w:color w:val="auto"/>
              </w:rPr>
              <w:t>Litigation</w:t>
            </w:r>
          </w:p>
        </w:tc>
        <w:tc>
          <w:tcPr>
            <w:tcW w:w="5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5.09</w:t>
            </w:r>
          </w:p>
        </w:tc>
        <w:tc>
          <w:tcPr>
            <w:tcW w:w="4380" w:type="dxa"/>
            <w:vAlign w:val="bottom"/>
          </w:tcPr>
          <w:p>
            <w:pPr>
              <w:ind w:left="40"/>
              <w:spacing w:after="0" w:line="207" w:lineRule="exact"/>
              <w:rPr>
                <w:sz w:val="20"/>
                <w:szCs w:val="20"/>
                <w:color w:val="auto"/>
              </w:rPr>
            </w:pPr>
            <w:r>
              <w:rPr>
                <w:rFonts w:ascii="Times New Roman" w:cs="Times New Roman" w:eastAsia="Times New Roman" w:hAnsi="Times New Roman"/>
                <w:sz w:val="21"/>
                <w:szCs w:val="21"/>
                <w:color w:val="auto"/>
              </w:rPr>
              <w:t>Environmental Matters</w:t>
            </w:r>
          </w:p>
        </w:tc>
        <w:tc>
          <w:tcPr>
            <w:tcW w:w="5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5.10</w:t>
            </w:r>
          </w:p>
        </w:tc>
        <w:tc>
          <w:tcPr>
            <w:tcW w:w="4380" w:type="dxa"/>
            <w:vAlign w:val="bottom"/>
          </w:tcPr>
          <w:p>
            <w:pPr>
              <w:ind w:left="40"/>
              <w:spacing w:after="0" w:line="207" w:lineRule="exact"/>
              <w:rPr>
                <w:sz w:val="20"/>
                <w:szCs w:val="20"/>
                <w:color w:val="auto"/>
              </w:rPr>
            </w:pPr>
            <w:r>
              <w:rPr>
                <w:rFonts w:ascii="Times New Roman" w:cs="Times New Roman" w:eastAsia="Times New Roman" w:hAnsi="Times New Roman"/>
                <w:sz w:val="21"/>
                <w:szCs w:val="21"/>
                <w:color w:val="auto"/>
              </w:rPr>
              <w:t>Insurance Matters</w:t>
            </w:r>
          </w:p>
        </w:tc>
        <w:tc>
          <w:tcPr>
            <w:tcW w:w="5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4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5.13</w:t>
            </w:r>
          </w:p>
        </w:tc>
        <w:tc>
          <w:tcPr>
            <w:tcW w:w="10060" w:type="dxa"/>
            <w:vAlign w:val="bottom"/>
            <w:gridSpan w:val="2"/>
          </w:tcPr>
          <w:p>
            <w:pPr>
              <w:ind w:left="40"/>
              <w:spacing w:after="0" w:line="207" w:lineRule="exact"/>
              <w:rPr>
                <w:sz w:val="20"/>
                <w:szCs w:val="20"/>
                <w:color w:val="auto"/>
              </w:rPr>
            </w:pPr>
            <w:r>
              <w:rPr>
                <w:rFonts w:ascii="Times New Roman" w:cs="Times New Roman" w:eastAsia="Times New Roman" w:hAnsi="Times New Roman"/>
                <w:sz w:val="21"/>
                <w:szCs w:val="21"/>
                <w:color w:val="auto"/>
              </w:rPr>
              <w:t>Subsidiaries and Other Equity Investments; Equity Interests in Toro</w:t>
            </w:r>
          </w:p>
        </w:tc>
        <w:tc>
          <w:tcPr>
            <w:tcW w:w="0" w:type="dxa"/>
            <w:vAlign w:val="bottom"/>
          </w:tcPr>
          <w:p>
            <w:pPr>
              <w:spacing w:after="0"/>
              <w:rPr>
                <w:sz w:val="1"/>
                <w:szCs w:val="1"/>
                <w:color w:val="auto"/>
              </w:rPr>
            </w:pPr>
          </w:p>
        </w:tc>
      </w:tr>
      <w:tr>
        <w:trPr>
          <w:trHeight w:val="207"/>
        </w:trPr>
        <w:tc>
          <w:tcPr>
            <w:tcW w:w="540" w:type="dxa"/>
            <w:vAlign w:val="bottom"/>
          </w:tcPr>
          <w:p>
            <w:pPr>
              <w:spacing w:after="0" w:line="207" w:lineRule="exact"/>
              <w:rPr>
                <w:sz w:val="20"/>
                <w:szCs w:val="20"/>
                <w:color w:val="auto"/>
              </w:rPr>
            </w:pPr>
            <w:r>
              <w:rPr>
                <w:rFonts w:ascii="Times New Roman" w:cs="Times New Roman" w:eastAsia="Times New Roman" w:hAnsi="Times New Roman"/>
                <w:sz w:val="21"/>
                <w:szCs w:val="21"/>
                <w:color w:val="auto"/>
              </w:rPr>
              <w:t>5.19</w:t>
            </w:r>
          </w:p>
        </w:tc>
        <w:tc>
          <w:tcPr>
            <w:tcW w:w="4380" w:type="dxa"/>
            <w:vAlign w:val="bottom"/>
          </w:tcPr>
          <w:p>
            <w:pPr>
              <w:ind w:left="40"/>
              <w:spacing w:after="0" w:line="207" w:lineRule="exact"/>
              <w:rPr>
                <w:sz w:val="20"/>
                <w:szCs w:val="20"/>
                <w:color w:val="auto"/>
              </w:rPr>
            </w:pPr>
            <w:r>
              <w:rPr>
                <w:rFonts w:ascii="Times New Roman" w:cs="Times New Roman" w:eastAsia="Times New Roman" w:hAnsi="Times New Roman"/>
                <w:sz w:val="21"/>
                <w:szCs w:val="21"/>
                <w:color w:val="auto"/>
              </w:rPr>
              <w:t>Identification Numbers for Foreign Obligors</w:t>
            </w:r>
          </w:p>
        </w:tc>
        <w:tc>
          <w:tcPr>
            <w:tcW w:w="5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 w:type="dxa"/>
            <w:vAlign w:val="bottom"/>
          </w:tcPr>
          <w:p>
            <w:pPr>
              <w:spacing w:after="0" w:line="229" w:lineRule="exact"/>
              <w:rPr>
                <w:sz w:val="20"/>
                <w:szCs w:val="20"/>
                <w:color w:val="auto"/>
              </w:rPr>
            </w:pPr>
            <w:r>
              <w:rPr>
                <w:rFonts w:ascii="Times New Roman" w:cs="Times New Roman" w:eastAsia="Times New Roman" w:hAnsi="Times New Roman"/>
                <w:sz w:val="21"/>
                <w:szCs w:val="21"/>
                <w:color w:val="auto"/>
              </w:rPr>
              <w:t>7.01</w:t>
            </w:r>
          </w:p>
        </w:tc>
        <w:tc>
          <w:tcPr>
            <w:tcW w:w="4380" w:type="dxa"/>
            <w:vAlign w:val="bottom"/>
          </w:tcPr>
          <w:p>
            <w:pPr>
              <w:ind w:left="40"/>
              <w:spacing w:after="0" w:line="229" w:lineRule="exact"/>
              <w:rPr>
                <w:sz w:val="20"/>
                <w:szCs w:val="20"/>
                <w:color w:val="auto"/>
              </w:rPr>
            </w:pPr>
            <w:r>
              <w:rPr>
                <w:rFonts w:ascii="Times New Roman" w:cs="Times New Roman" w:eastAsia="Times New Roman" w:hAnsi="Times New Roman"/>
                <w:sz w:val="21"/>
                <w:szCs w:val="21"/>
                <w:color w:val="auto"/>
              </w:rPr>
              <w:t>Existing Liens</w:t>
            </w:r>
          </w:p>
        </w:tc>
        <w:tc>
          <w:tcPr>
            <w:tcW w:w="5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tabs>
          <w:tab w:leader="none" w:pos="640" w:val="left"/>
        </w:tabs>
        <w:rPr>
          <w:sz w:val="20"/>
          <w:szCs w:val="20"/>
          <w:color w:val="auto"/>
        </w:rPr>
      </w:pPr>
      <w:r>
        <w:rPr>
          <w:rFonts w:ascii="Times New Roman" w:cs="Times New Roman" w:eastAsia="Times New Roman" w:hAnsi="Times New Roman"/>
          <w:sz w:val="21"/>
          <w:szCs w:val="21"/>
          <w:color w:val="auto"/>
        </w:rPr>
        <w:t>11.02</w:t>
      </w:r>
      <w:r>
        <w:rPr>
          <w:sz w:val="20"/>
          <w:szCs w:val="20"/>
          <w:color w:val="auto"/>
        </w:rPr>
        <w:tab/>
      </w:r>
      <w:r>
        <w:rPr>
          <w:rFonts w:ascii="Times New Roman" w:cs="Times New Roman" w:eastAsia="Times New Roman" w:hAnsi="Times New Roman"/>
          <w:sz w:val="20"/>
          <w:szCs w:val="20"/>
          <w:color w:val="auto"/>
        </w:rPr>
        <w:t>Administrative Agent’s Office; Certain Addresses for Notices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EXHIBITS</w:t>
      </w:r>
    </w:p>
    <w:p>
      <w:pPr>
        <w:spacing w:after="0" w:line="73" w:lineRule="exact"/>
        <w:rPr>
          <w:sz w:val="20"/>
          <w:szCs w:val="20"/>
          <w:color w:val="auto"/>
        </w:rPr>
      </w:pPr>
    </w:p>
    <w:p>
      <w:pPr>
        <w:ind w:right="8620" w:firstLine="3"/>
        <w:spacing w:after="0" w:line="210" w:lineRule="auto"/>
        <w:tabs>
          <w:tab w:leader="none" w:pos="408"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of Loan Notice B Swing Line Loan Notice C-1 Revolving Credit Note C-2 Term Note</w:t>
      </w:r>
    </w:p>
    <w:p>
      <w:pPr>
        <w:spacing w:after="0" w:line="3" w:lineRule="exact"/>
        <w:rPr>
          <w:rFonts w:ascii="Times New Roman" w:cs="Times New Roman" w:eastAsia="Times New Roman" w:hAnsi="Times New Roman"/>
          <w:sz w:val="21"/>
          <w:szCs w:val="21"/>
          <w:color w:val="auto"/>
        </w:rPr>
      </w:pPr>
    </w:p>
    <w:p>
      <w:pPr>
        <w:spacing w:after="0" w:line="20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  Compliance Certificate</w:t>
      </w:r>
    </w:p>
    <w:p>
      <w:pPr>
        <w:ind w:right="8300"/>
        <w:spacing w:after="0" w:line="20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 Assignment and Assumption F Opinion</w:t>
      </w:r>
    </w:p>
    <w:p>
      <w:pPr>
        <w:ind w:right="5800"/>
        <w:spacing w:after="0" w:line="20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 Designated Borrower Request and Assumption Agreement H Designated Borrower Notice</w:t>
      </w:r>
    </w:p>
    <w:p>
      <w:pPr>
        <w:ind w:right="7960"/>
        <w:spacing w:after="0" w:line="22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U.S. Tax Compliance Certificates J Funding Indemnity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v</w:t>
      </w:r>
    </w:p>
    <w:p>
      <w:pPr>
        <w:sectPr>
          <w:pgSz w:w="11900" w:h="16838" w:orient="portrait"/>
          <w:cols w:equalWidth="0" w:num="1">
            <w:col w:w="11020"/>
          </w:cols>
          <w:pgMar w:left="320" w:top="1393" w:right="55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1"/>
          <w:szCs w:val="21"/>
          <w:b w:val="1"/>
          <w:bCs w:val="1"/>
          <w:color w:val="auto"/>
        </w:rPr>
        <w:t>AMENDED AND RESTATED CREDIT AGREEMENT</w:t>
      </w:r>
    </w:p>
    <w:p>
      <w:pPr>
        <w:spacing w:after="0" w:line="172" w:lineRule="exact"/>
        <w:rPr>
          <w:sz w:val="20"/>
          <w:szCs w:val="20"/>
          <w:color w:val="auto"/>
        </w:rPr>
      </w:pPr>
    </w:p>
    <w:p>
      <w:pPr>
        <w:jc w:val="both"/>
        <w:ind w:firstLine="620"/>
        <w:spacing w:after="0" w:line="213" w:lineRule="auto"/>
        <w:rPr>
          <w:sz w:val="20"/>
          <w:szCs w:val="20"/>
          <w:color w:val="auto"/>
        </w:rPr>
      </w:pPr>
      <w:r>
        <w:rPr>
          <w:rFonts w:ascii="Times New Roman" w:cs="Times New Roman" w:eastAsia="Times New Roman" w:hAnsi="Times New Roman"/>
          <w:sz w:val="21"/>
          <w:szCs w:val="21"/>
          <w:b w:val="1"/>
          <w:bCs w:val="1"/>
          <w:color w:val="auto"/>
        </w:rPr>
        <w:t xml:space="preserve">This AMENDED AND RESTATED CREDIT AGREEMENT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into as of October 5, 2021, among</w:t>
      </w:r>
      <w:r>
        <w:rPr>
          <w:rFonts w:ascii="Times New Roman" w:cs="Times New Roman" w:eastAsia="Times New Roman" w:hAnsi="Times New Roman"/>
          <w:sz w:val="21"/>
          <w:szCs w:val="21"/>
          <w:b w:val="1"/>
          <w:bCs w:val="1"/>
          <w:color w:val="auto"/>
        </w:rPr>
        <w:t xml:space="preserve"> THE TORO COMPANY</w:t>
      </w:r>
      <w:r>
        <w:rPr>
          <w:rFonts w:ascii="Times New Roman" w:cs="Times New Roman" w:eastAsia="Times New Roman" w:hAnsi="Times New Roman"/>
          <w:sz w:val="21"/>
          <w:szCs w:val="21"/>
          <w:color w:val="auto"/>
        </w:rPr>
        <w:t>, a Delaware corporation (“</w:t>
      </w:r>
      <w:r>
        <w:rPr>
          <w:rFonts w:ascii="Times New Roman" w:cs="Times New Roman" w:eastAsia="Times New Roman" w:hAnsi="Times New Roman"/>
          <w:sz w:val="21"/>
          <w:szCs w:val="21"/>
          <w:u w:val="single" w:color="auto"/>
          <w:color w:val="auto"/>
        </w:rPr>
        <w:t>Toro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TORO LUXEMBOURG S.A.R.L.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Toro Luxembourg</w:t>
      </w:r>
      <w:r>
        <w:rPr>
          <w:rFonts w:ascii="Times New Roman" w:cs="Times New Roman" w:eastAsia="Times New Roman" w:hAnsi="Times New Roman"/>
          <w:sz w:val="21"/>
          <w:szCs w:val="21"/>
          <w:color w:val="auto"/>
        </w:rPr>
        <w: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Luxembourg limited liability company (</w:t>
      </w:r>
      <w:r>
        <w:rPr>
          <w:rFonts w:ascii="Times New Roman" w:cs="Times New Roman" w:eastAsia="Times New Roman" w:hAnsi="Times New Roman"/>
          <w:sz w:val="21"/>
          <w:szCs w:val="21"/>
          <w:i w:val="1"/>
          <w:iCs w:val="1"/>
          <w:color w:val="auto"/>
        </w:rPr>
        <w:t>société à responsabilité limitée</w:t>
      </w:r>
      <w:r>
        <w:rPr>
          <w:rFonts w:ascii="Times New Roman" w:cs="Times New Roman" w:eastAsia="Times New Roman" w:hAnsi="Times New Roman"/>
          <w:sz w:val="21"/>
          <w:szCs w:val="21"/>
          <w:color w:val="auto"/>
        </w:rPr>
        <w:t>) incorporated and existing under the laws of the Grand Duchy of Luxembourg, and registered with the Luxembourg trade and companies register (</w:t>
      </w:r>
      <w:r>
        <w:rPr>
          <w:rFonts w:ascii="Times New Roman" w:cs="Times New Roman" w:eastAsia="Times New Roman" w:hAnsi="Times New Roman"/>
          <w:sz w:val="21"/>
          <w:szCs w:val="21"/>
          <w:i w:val="1"/>
          <w:iCs w:val="1"/>
          <w:color w:val="auto"/>
        </w:rPr>
        <w:t>Registre de Commerce et des Sociétés 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Luxembourg</w:t>
      </w:r>
      <w:r>
        <w:rPr>
          <w:rFonts w:ascii="Times New Roman" w:cs="Times New Roman" w:eastAsia="Times New Roman" w:hAnsi="Times New Roman"/>
          <w:sz w:val="21"/>
          <w:szCs w:val="21"/>
          <w:color w:val="auto"/>
        </w:rPr>
        <w:t>) under registration number B 131.092, certain other Subsidiaries of Toro that become party hereto pursuant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2.17</w:t>
      </w:r>
      <w:r>
        <w:rPr>
          <w:rFonts w:ascii="Times New Roman" w:cs="Times New Roman" w:eastAsia="Times New Roman" w:hAnsi="Times New Roman"/>
          <w:sz w:val="21"/>
          <w:szCs w:val="21"/>
          <w:color w:val="auto"/>
        </w:rPr>
        <w:t xml:space="preserve"> (each a “</w:t>
      </w:r>
      <w:r>
        <w:rPr>
          <w:rFonts w:ascii="Times New Roman" w:cs="Times New Roman" w:eastAsia="Times New Roman" w:hAnsi="Times New Roman"/>
          <w:sz w:val="21"/>
          <w:szCs w:val="21"/>
          <w:u w:val="single" w:color="auto"/>
          <w:color w:val="auto"/>
        </w:rPr>
        <w:t>Designated Borrower</w:t>
      </w:r>
      <w:r>
        <w:rPr>
          <w:rFonts w:ascii="Times New Roman" w:cs="Times New Roman" w:eastAsia="Times New Roman" w:hAnsi="Times New Roman"/>
          <w:sz w:val="21"/>
          <w:szCs w:val="21"/>
          <w:color w:val="auto"/>
        </w:rPr>
        <w:t>” and, together with Toro Luxembourg, the “S</w:t>
      </w:r>
      <w:r>
        <w:rPr>
          <w:rFonts w:ascii="Times New Roman" w:cs="Times New Roman" w:eastAsia="Times New Roman" w:hAnsi="Times New Roman"/>
          <w:sz w:val="21"/>
          <w:szCs w:val="21"/>
          <w:u w:val="single" w:color="auto"/>
          <w:color w:val="auto"/>
        </w:rPr>
        <w:t>ubsidiary Borrowers</w:t>
      </w:r>
      <w:r>
        <w:rPr>
          <w:rFonts w:ascii="Times New Roman" w:cs="Times New Roman" w:eastAsia="Times New Roman" w:hAnsi="Times New Roman"/>
          <w:sz w:val="21"/>
          <w:szCs w:val="21"/>
          <w:color w:val="auto"/>
        </w:rPr>
        <w:t>” and, together with Toro,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each lender from time to time party hereto (collectively, the “</w:t>
      </w:r>
      <w:r>
        <w:rPr>
          <w:rFonts w:ascii="Times New Roman" w:cs="Times New Roman" w:eastAsia="Times New Roman" w:hAnsi="Times New Roman"/>
          <w:sz w:val="21"/>
          <w:szCs w:val="21"/>
          <w:u w:val="single" w:color="auto"/>
          <w:color w:val="auto"/>
        </w:rPr>
        <w:t>Lenders</w:t>
      </w:r>
      <w:r>
        <w:rPr>
          <w:rFonts w:ascii="Times New Roman" w:cs="Times New Roman" w:eastAsia="Times New Roman" w:hAnsi="Times New Roman"/>
          <w:sz w:val="21"/>
          <w:szCs w:val="21"/>
          <w:color w:val="auto"/>
        </w:rPr>
        <w:t>” and individually, a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BANK OF AMERICA, N.A.</w:t>
      </w:r>
      <w:r>
        <w:rPr>
          <w:rFonts w:ascii="Times New Roman" w:cs="Times New Roman" w:eastAsia="Times New Roman" w:hAnsi="Times New Roman"/>
          <w:sz w:val="21"/>
          <w:szCs w:val="21"/>
          <w:color w:val="auto"/>
        </w:rPr>
        <w:t>, as Administrative Agent, Swing Line Lender and L/C Issuer.</w:t>
      </w:r>
    </w:p>
    <w:p>
      <w:pPr>
        <w:spacing w:after="0" w:line="150"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The Borrowers, the lenders party thereto (the “</w:t>
      </w:r>
      <w:r>
        <w:rPr>
          <w:rFonts w:ascii="Times New Roman" w:cs="Times New Roman" w:eastAsia="Times New Roman" w:hAnsi="Times New Roman"/>
          <w:sz w:val="21"/>
          <w:szCs w:val="21"/>
          <w:u w:val="single" w:color="auto"/>
          <w:color w:val="auto"/>
        </w:rPr>
        <w:t>Existing Revolving Lenders</w:t>
      </w:r>
      <w:r>
        <w:rPr>
          <w:rFonts w:ascii="Times New Roman" w:cs="Times New Roman" w:eastAsia="Times New Roman" w:hAnsi="Times New Roman"/>
          <w:sz w:val="21"/>
          <w:szCs w:val="21"/>
          <w:color w:val="auto"/>
        </w:rPr>
        <w:t>”), certain other parties thereto and Bank of America, N.A., as Administrative Agent, are parties to that certain Credit Agreement, dated as of June 19, 2018 (as amended, restated, supplemented or otherwise modified from time to time prior to the date hereof, the “</w:t>
      </w:r>
      <w:r>
        <w:rPr>
          <w:rFonts w:ascii="Times New Roman" w:cs="Times New Roman" w:eastAsia="Times New Roman" w:hAnsi="Times New Roman"/>
          <w:sz w:val="21"/>
          <w:szCs w:val="21"/>
          <w:u w:val="single" w:color="auto"/>
          <w:color w:val="auto"/>
        </w:rPr>
        <w:t>Existing Revolving Credit Agreement</w:t>
      </w:r>
      <w:r>
        <w:rPr>
          <w:rFonts w:ascii="Times New Roman" w:cs="Times New Roman" w:eastAsia="Times New Roman" w:hAnsi="Times New Roman"/>
          <w:sz w:val="21"/>
          <w:szCs w:val="21"/>
          <w:color w:val="auto"/>
        </w:rPr>
        <w:t>”), pursuant to which such Existing Revolving Lenders originally agreed to provide the Borrowers with a revolving credit facility, including subfacilities for swing line loans and letters of credit; and</w:t>
      </w:r>
    </w:p>
    <w:p>
      <w:pPr>
        <w:spacing w:after="0" w:line="149"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The Borrowers have requested that the Existing Revolving Credit Agreement be amended and restated in order to, among other things, (i) provide a term loan facility to Toro, (ii) extend the maturity date of the revolving credit facility and (iii) make certain other amendments to the Existing Revolving Credit Agreement (the “Restatement”), and the Lenders are willing to do so on the terms and conditions set forth herein.</w:t>
      </w:r>
    </w:p>
    <w:p>
      <w:pPr>
        <w:spacing w:after="0" w:line="14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1"/>
          <w:szCs w:val="21"/>
          <w:color w:val="auto"/>
        </w:rPr>
        <w:t>In consideration of the mutual covenants and agreements herein contained, the parties hereto covenant and agree as follows:</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ARTICLE I.</w:t>
      </w:r>
    </w:p>
    <w:p>
      <w:pPr>
        <w:jc w:val="center"/>
        <w:spacing w:after="0"/>
        <w:rPr>
          <w:sz w:val="20"/>
          <w:szCs w:val="20"/>
          <w:color w:val="auto"/>
        </w:rPr>
      </w:pPr>
      <w:r>
        <w:rPr>
          <w:rFonts w:ascii="Times New Roman" w:cs="Times New Roman" w:eastAsia="Times New Roman" w:hAnsi="Times New Roman"/>
          <w:sz w:val="21"/>
          <w:szCs w:val="21"/>
          <w:color w:val="auto"/>
        </w:rPr>
        <w:t>DEFINITIONS AND ACCOUNTING TERMS</w:t>
      </w:r>
    </w:p>
    <w:p>
      <w:pPr>
        <w:spacing w:after="0" w:line="146"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1.01</w:t>
      </w:r>
      <w:r>
        <w:rPr>
          <w:sz w:val="20"/>
          <w:szCs w:val="20"/>
          <w:color w:val="auto"/>
        </w:rPr>
        <w:tab/>
      </w:r>
      <w:r>
        <w:rPr>
          <w:rFonts w:ascii="Times New Roman" w:cs="Times New Roman" w:eastAsia="Times New Roman" w:hAnsi="Times New Roman"/>
          <w:sz w:val="20"/>
          <w:szCs w:val="20"/>
          <w:b w:val="1"/>
          <w:bCs w:val="1"/>
          <w:color w:val="auto"/>
        </w:rPr>
        <w:t>Defined Terms</w:t>
      </w:r>
      <w:r>
        <w:rPr>
          <w:rFonts w:ascii="Times New Roman" w:cs="Times New Roman" w:eastAsia="Times New Roman" w:hAnsi="Times New Roman"/>
          <w:sz w:val="20"/>
          <w:szCs w:val="20"/>
          <w:color w:val="auto"/>
        </w:rPr>
        <w:t>. As used in this Agreement, the following terms shall have the meanings set forth below:</w:t>
      </w:r>
    </w:p>
    <w:p>
      <w:pPr>
        <w:spacing w:after="0" w:line="176" w:lineRule="exact"/>
        <w:rPr>
          <w:sz w:val="20"/>
          <w:szCs w:val="20"/>
          <w:color w:val="auto"/>
        </w:rPr>
      </w:pPr>
    </w:p>
    <w:p>
      <w:pPr>
        <w:jc w:val="both"/>
        <w:ind w:firstLine="620"/>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Acquisition</w:t>
      </w:r>
      <w:r>
        <w:rPr>
          <w:rFonts w:ascii="Times New Roman" w:cs="Times New Roman" w:eastAsia="Times New Roman" w:hAnsi="Times New Roman"/>
          <w:sz w:val="21"/>
          <w:szCs w:val="21"/>
          <w:color w:val="auto"/>
        </w:rPr>
        <w:t xml:space="preserve">” means any investment which involves a transaction or series of related transactions for the purpose of or resulting, directly or indirectly, in (a) the acquisition of all or substantially all of the assets of a Person, or of any business or division of a Person, (b) the acquisition of in excess of 50% of the capital stock, partnership interests, membership interests or equity of any Person, or otherwise causing any Person to become a Subsidiary or (c) a merger or consolidation or any other combination with another Person that is otherwise permitted under this Agreement; provided that, in each case, (i) before and after giving pro forma effect to any such Acquisition, Toro is in compliance with the financial covenant set forth in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(ii) such Acquisition is undertaken in accordance with all Applicable Laws, and (iii) the prior, effective written consent or approval to such Acquisition of the board of directors or equivalent governing body of the acquiree is obtained.</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 means USA PATRIOT Act (Title III of Pub. L. 107-56 (signed into law October 26,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338" w:right="339" w:bottom="1440" w:gutter="0" w:footer="0" w:header="0"/>
        </w:sectPr>
      </w:pPr>
    </w:p>
    <w:bookmarkStart w:id="71" w:name="page72"/>
    <w:bookmarkEnd w:id="71"/>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Agent</w:t>
      </w:r>
      <w:r>
        <w:rPr>
          <w:rFonts w:ascii="Times New Roman" w:cs="Times New Roman" w:eastAsia="Times New Roman" w:hAnsi="Times New Roman"/>
          <w:sz w:val="21"/>
          <w:szCs w:val="21"/>
          <w:color w:val="auto"/>
        </w:rPr>
        <w:t>” means Bank of America (or any designated branch offices or Affiliates of Bank of America) in its capacity as administrative agent under any of the Loan Documents, or any successor administrative agent as permitted by this Agreement.</w:t>
      </w:r>
    </w:p>
    <w:p>
      <w:pPr>
        <w:spacing w:after="0" w:line="148"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Agent’s Office</w:t>
      </w:r>
      <w:r>
        <w:rPr>
          <w:rFonts w:ascii="Times New Roman" w:cs="Times New Roman" w:eastAsia="Times New Roman" w:hAnsi="Times New Roman"/>
          <w:sz w:val="21"/>
          <w:szCs w:val="21"/>
          <w:color w:val="auto"/>
        </w:rPr>
        <w:t>” means, with respect to any currency, the Administrative Agent’s address and, as appropriate, account as set forth on Schedule 11.02 with respect to such currency, or such other address or account with respect to such currency as the Administrative Agent may from time to time notify Toro and the Lenders.</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form approved by the Administrative Agent.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Affected Financial Institution</w:t>
      </w:r>
      <w:r>
        <w:rPr>
          <w:rFonts w:ascii="Times New Roman" w:cs="Times New Roman" w:eastAsia="Times New Roman" w:hAnsi="Times New Roman"/>
          <w:sz w:val="21"/>
          <w:szCs w:val="21"/>
          <w:color w:val="auto"/>
        </w:rPr>
        <w:t>” means (a) any EEA Financial Institution or (b) any UK Financial Institution.</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with respect to any Person, another Person that directly, or indirectly through one or more intermediaries, Controls or is Controlled by or is under common Control with the Person specified.</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Commitments</w:t>
      </w:r>
      <w:r>
        <w:rPr>
          <w:rFonts w:ascii="Times New Roman" w:cs="Times New Roman" w:eastAsia="Times New Roman" w:hAnsi="Times New Roman"/>
          <w:sz w:val="21"/>
          <w:szCs w:val="21"/>
          <w:color w:val="auto"/>
        </w:rPr>
        <w:t>” means the Commitments of all the Lenders. “Agreement” means this Credit Agreement.</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w:t>
      </w:r>
      <w:r>
        <w:rPr>
          <w:rFonts w:ascii="Times New Roman" w:cs="Times New Roman" w:eastAsia="Times New Roman" w:hAnsi="Times New Roman"/>
          <w:sz w:val="21"/>
          <w:szCs w:val="21"/>
          <w:color w:val="auto"/>
        </w:rPr>
        <w:t xml:space="preserve">” means each of Euro, Sterling, Australian Dollars, Canadian Dollars, Mexican Pesos and each other currency (other than Dollars) that is approved in accordance with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 Daily Rate</w:t>
      </w:r>
      <w:r>
        <w:rPr>
          <w:rFonts w:ascii="Times New Roman" w:cs="Times New Roman" w:eastAsia="Times New Roman" w:hAnsi="Times New Roman"/>
          <w:sz w:val="21"/>
          <w:szCs w:val="21"/>
          <w:color w:val="auto"/>
        </w:rPr>
        <w:t>” means, for any day, with respect to any Credit Extension:</w:t>
      </w:r>
    </w:p>
    <w:p>
      <w:pPr>
        <w:spacing w:after="0" w:line="172" w:lineRule="exact"/>
        <w:rPr>
          <w:sz w:val="20"/>
          <w:szCs w:val="20"/>
          <w:color w:val="auto"/>
        </w:rPr>
      </w:pPr>
    </w:p>
    <w:p>
      <w:pPr>
        <w:ind w:left="620" w:firstLine="624"/>
        <w:spacing w:after="0" w:line="236" w:lineRule="auto"/>
        <w:tabs>
          <w:tab w:leader="none" w:pos="1691"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denominated in Sterling, the rate per annum equal to SONIA determined pursuant to the definition thereof plus the SONIA Adjustment; and</w:t>
      </w:r>
    </w:p>
    <w:p>
      <w:pPr>
        <w:spacing w:after="0" w:line="145" w:lineRule="exact"/>
        <w:rPr>
          <w:rFonts w:ascii="Times New Roman" w:cs="Times New Roman" w:eastAsia="Times New Roman" w:hAnsi="Times New Roman"/>
          <w:sz w:val="21"/>
          <w:szCs w:val="21"/>
          <w:color w:val="auto"/>
        </w:rPr>
      </w:pPr>
    </w:p>
    <w:p>
      <w:pPr>
        <w:jc w:val="both"/>
        <w:ind w:left="620" w:firstLine="624"/>
        <w:spacing w:after="0" w:line="217" w:lineRule="auto"/>
        <w:tabs>
          <w:tab w:leader="none" w:pos="1727"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Revolving Credit Lenders pursuant to </w:t>
      </w:r>
      <w:r>
        <w:rPr>
          <w:rFonts w:ascii="Times New Roman" w:cs="Times New Roman" w:eastAsia="Times New Roman" w:hAnsi="Times New Roman"/>
          <w:sz w:val="21"/>
          <w:szCs w:val="21"/>
          <w:u w:val="single" w:color="auto"/>
          <w:color w:val="auto"/>
        </w:rPr>
        <w:t>Section 1.05(a)</w:t>
      </w:r>
      <w:r>
        <w:rPr>
          <w:rFonts w:ascii="Times New Roman" w:cs="Times New Roman" w:eastAsia="Times New Roman" w:hAnsi="Times New Roman"/>
          <w:sz w:val="21"/>
          <w:szCs w:val="21"/>
          <w:color w:val="auto"/>
        </w:rPr>
        <w:t xml:space="preserve"> plus the adjustment (if any) determined by the Administrative Agent and the Revolving Credit Lenders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1.05(a)</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48"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 Daily Rate Loan</w:t>
      </w:r>
      <w:r>
        <w:rPr>
          <w:rFonts w:ascii="Times New Roman" w:cs="Times New Roman" w:eastAsia="Times New Roman" w:hAnsi="Times New Roman"/>
          <w:sz w:val="21"/>
          <w:szCs w:val="21"/>
          <w:color w:val="auto"/>
        </w:rPr>
        <w:t>” means a Loan that bears interest at a rate based on the definition of “Alternative Currency Daily Rate.” All Alternative Currency Daily Rate Loans must be denominated in an Alternative Currency.</w:t>
      </w:r>
    </w:p>
    <w:p>
      <w:pPr>
        <w:spacing w:after="0" w:line="145"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 Equivalent</w:t>
      </w:r>
      <w:r>
        <w:rPr>
          <w:rFonts w:ascii="Times New Roman" w:cs="Times New Roman" w:eastAsia="Times New Roman" w:hAnsi="Times New Roman"/>
          <w:sz w:val="21"/>
          <w:szCs w:val="21"/>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42" w:right="339" w:bottom="1440" w:gutter="0" w:footer="0" w:header="0"/>
        </w:sectPr>
      </w:pPr>
    </w:p>
    <w:bookmarkStart w:id="72" w:name="page73"/>
    <w:bookmarkEnd w:id="72"/>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 Loan</w:t>
      </w:r>
      <w:r>
        <w:rPr>
          <w:rFonts w:ascii="Times New Roman" w:cs="Times New Roman" w:eastAsia="Times New Roman" w:hAnsi="Times New Roman"/>
          <w:sz w:val="21"/>
          <w:szCs w:val="21"/>
          <w:color w:val="auto"/>
        </w:rPr>
        <w:t>” means an Alternative Currency Daily Rate Loan or an Alternative Currency Term Rate Loan, as applicable. All Loans denominated in an Alternative Currency must be Alternative Currency Term Rate Loans or Alternative Currency Daily Rate Loans.</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 Term Rate</w:t>
      </w:r>
      <w:r>
        <w:rPr>
          <w:rFonts w:ascii="Times New Roman" w:cs="Times New Roman" w:eastAsia="Times New Roman" w:hAnsi="Times New Roman"/>
          <w:sz w:val="21"/>
          <w:szCs w:val="21"/>
          <w:color w:val="auto"/>
        </w:rPr>
        <w:t>” means, for any Interest Period, with respect to any Credit Extension:</w:t>
      </w:r>
    </w:p>
    <w:p>
      <w:pPr>
        <w:spacing w:after="0" w:line="172" w:lineRule="exact"/>
        <w:rPr>
          <w:sz w:val="20"/>
          <w:szCs w:val="20"/>
          <w:color w:val="auto"/>
        </w:rPr>
      </w:pPr>
    </w:p>
    <w:p>
      <w:pPr>
        <w:jc w:val="both"/>
        <w:ind w:left="620" w:firstLine="624"/>
        <w:spacing w:after="0" w:line="220" w:lineRule="auto"/>
        <w:tabs>
          <w:tab w:leader="none" w:pos="1725"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denominated in Euros, the rate per annum equal to the Euro Interbank Offered Rate (“</w:t>
      </w:r>
      <w:r>
        <w:rPr>
          <w:rFonts w:ascii="Times New Roman" w:cs="Times New Roman" w:eastAsia="Times New Roman" w:hAnsi="Times New Roman"/>
          <w:sz w:val="21"/>
          <w:szCs w:val="21"/>
          <w:u w:val="single" w:color="auto"/>
          <w:color w:val="auto"/>
        </w:rPr>
        <w:t>EURIBOR</w:t>
      </w:r>
      <w:r>
        <w:rPr>
          <w:rFonts w:ascii="Times New Roman" w:cs="Times New Roman" w:eastAsia="Times New Roman" w:hAnsi="Times New Roman"/>
          <w:sz w:val="21"/>
          <w:szCs w:val="21"/>
          <w:color w:val="auto"/>
        </w:rPr>
        <w:t>”), as published on the applicable Reuters screen page (or such other commercially available source providing such quotations as may be designated by the Administrative Agent from time to time) at or about 11:00 a.m. (Brussels, Belgium time) on the Rate Determination Date with a term equivalent to such Interest Period;</w:t>
      </w:r>
    </w:p>
    <w:p>
      <w:pPr>
        <w:spacing w:after="0" w:line="148" w:lineRule="exact"/>
        <w:rPr>
          <w:rFonts w:ascii="Times New Roman" w:cs="Times New Roman" w:eastAsia="Times New Roman" w:hAnsi="Times New Roman"/>
          <w:sz w:val="21"/>
          <w:szCs w:val="21"/>
          <w:color w:val="auto"/>
        </w:rPr>
      </w:pPr>
    </w:p>
    <w:p>
      <w:pPr>
        <w:jc w:val="both"/>
        <w:ind w:left="620" w:firstLine="624"/>
        <w:spacing w:after="0" w:line="217" w:lineRule="auto"/>
        <w:tabs>
          <w:tab w:leader="none" w:pos="1723"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denominated in Canadian Dollars, the rate per annum equal to the Canadian Dealer Offered Rate (“</w:t>
      </w:r>
      <w:r>
        <w:rPr>
          <w:rFonts w:ascii="Times New Roman" w:cs="Times New Roman" w:eastAsia="Times New Roman" w:hAnsi="Times New Roman"/>
          <w:sz w:val="21"/>
          <w:szCs w:val="21"/>
          <w:u w:val="single" w:color="auto"/>
          <w:color w:val="auto"/>
        </w:rPr>
        <w:t>CDOR</w:t>
      </w:r>
      <w:r>
        <w:rPr>
          <w:rFonts w:ascii="Times New Roman" w:cs="Times New Roman" w:eastAsia="Times New Roman" w:hAnsi="Times New Roman"/>
          <w:sz w:val="21"/>
          <w:szCs w:val="21"/>
          <w:color w:val="auto"/>
        </w:rPr>
        <w:t>”), or a comparable or successor rate which rate is approved by the Administrative Agent, as published on the applicable Reuters screen page (or such other commercially available source providing such quotations as may be designated by the Administrative Agent from time to time) at or about 10:00 a.m. (Toronto, Ontario time) on the Rate Determination Date with a term equivalent to such Interest Period;</w:t>
      </w:r>
    </w:p>
    <w:p>
      <w:pPr>
        <w:spacing w:after="0" w:line="148" w:lineRule="exact"/>
        <w:rPr>
          <w:rFonts w:ascii="Times New Roman" w:cs="Times New Roman" w:eastAsia="Times New Roman" w:hAnsi="Times New Roman"/>
          <w:sz w:val="21"/>
          <w:szCs w:val="21"/>
          <w:color w:val="auto"/>
        </w:rPr>
      </w:pPr>
    </w:p>
    <w:p>
      <w:pPr>
        <w:jc w:val="both"/>
        <w:ind w:left="620" w:firstLine="624"/>
        <w:spacing w:after="0" w:line="217" w:lineRule="auto"/>
        <w:tabs>
          <w:tab w:leader="none" w:pos="169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denominated in Australian Dollars, the rate per annum equal to the Bank Bill Swap Reference Bid Rate (“</w:t>
      </w:r>
      <w:r>
        <w:rPr>
          <w:rFonts w:ascii="Times New Roman" w:cs="Times New Roman" w:eastAsia="Times New Roman" w:hAnsi="Times New Roman"/>
          <w:sz w:val="21"/>
          <w:szCs w:val="21"/>
          <w:u w:val="single" w:color="auto"/>
          <w:color w:val="auto"/>
        </w:rPr>
        <w:t>BBSY</w:t>
      </w:r>
      <w:r>
        <w:rPr>
          <w:rFonts w:ascii="Times New Roman" w:cs="Times New Roman" w:eastAsia="Times New Roman" w:hAnsi="Times New Roman"/>
          <w:sz w:val="21"/>
          <w:szCs w:val="21"/>
          <w:color w:val="auto"/>
        </w:rPr>
        <w:t>”) or a comparable or successor rate, which rate is approved by the Administrative Agent, as published on the applicable Reuters screen page (or such other commercially available source providing such quotations as may be designated by the Administrative Agent from time to time) at or about 10:30 a.m. (Melbourne, Australia time) on the Rate Determination Date with a term equivalent to such Interest Period;</w:t>
      </w:r>
    </w:p>
    <w:p>
      <w:pPr>
        <w:spacing w:after="0" w:line="149" w:lineRule="exact"/>
        <w:rPr>
          <w:sz w:val="20"/>
          <w:szCs w:val="20"/>
          <w:color w:val="auto"/>
        </w:rPr>
      </w:pPr>
    </w:p>
    <w:p>
      <w:pPr>
        <w:jc w:val="both"/>
        <w:ind w:left="620" w:firstLine="624"/>
        <w:spacing w:after="0" w:line="217" w:lineRule="auto"/>
        <w:tabs>
          <w:tab w:leader="none" w:pos="1781"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denominated in Mexican Pesos, the rate per annum equal to the Interbanking Equilibrium Interest Rate (“</w:t>
      </w:r>
      <w:r>
        <w:rPr>
          <w:rFonts w:ascii="Times New Roman" w:cs="Times New Roman" w:eastAsia="Times New Roman" w:hAnsi="Times New Roman"/>
          <w:sz w:val="21"/>
          <w:szCs w:val="21"/>
          <w:u w:val="single" w:color="auto"/>
          <w:color w:val="auto"/>
        </w:rPr>
        <w:t>TIIE</w:t>
      </w:r>
      <w:r>
        <w:rPr>
          <w:rFonts w:ascii="Times New Roman" w:cs="Times New Roman" w:eastAsia="Times New Roman" w:hAnsi="Times New Roman"/>
          <w:sz w:val="21"/>
          <w:szCs w:val="21"/>
          <w:color w:val="auto"/>
        </w:rPr>
        <w:t>”), or a comparable or successor rate which rate is approved by the Administrative Agent, as published by Banco de Mexico in the Federation’s Official Gazette (or such other commercially available source providing such quotations as may be designated by the Administrative Agent from time to time) at or about 2:00 p.m. (Mexico City, Mexico time) on the Rate Determination Date with a term equivalent to such Interest Period; and</w:t>
      </w:r>
    </w:p>
    <w:p>
      <w:pPr>
        <w:spacing w:after="0" w:line="149" w:lineRule="exact"/>
        <w:rPr>
          <w:sz w:val="20"/>
          <w:szCs w:val="20"/>
          <w:color w:val="auto"/>
        </w:rPr>
      </w:pPr>
    </w:p>
    <w:p>
      <w:pPr>
        <w:jc w:val="both"/>
        <w:ind w:left="620" w:firstLine="624"/>
        <w:spacing w:after="0" w:line="220" w:lineRule="auto"/>
        <w:tabs>
          <w:tab w:leader="none" w:pos="155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21"/>
          <w:szCs w:val="21"/>
          <w:u w:val="single" w:color="auto"/>
          <w:color w:val="auto"/>
        </w:rPr>
        <w:t>Section 1.05(a)</w:t>
      </w:r>
      <w:r>
        <w:rPr>
          <w:rFonts w:ascii="Times New Roman" w:cs="Times New Roman" w:eastAsia="Times New Roman" w:hAnsi="Times New Roman"/>
          <w:sz w:val="21"/>
          <w:szCs w:val="21"/>
          <w:color w:val="auto"/>
        </w:rPr>
        <w:t xml:space="preserve"> plus the adjustment (if any) determined by the Administrative Agent and the relevant Lenders pursuant to </w:t>
      </w:r>
      <w:r>
        <w:rPr>
          <w:rFonts w:ascii="Times New Roman" w:cs="Times New Roman" w:eastAsia="Times New Roman" w:hAnsi="Times New Roman"/>
          <w:sz w:val="21"/>
          <w:szCs w:val="21"/>
          <w:u w:val="single" w:color="auto"/>
          <w:color w:val="auto"/>
        </w:rPr>
        <w:t>Section 1.05(a);</w:t>
      </w:r>
    </w:p>
    <w:p>
      <w:pPr>
        <w:spacing w:after="0" w:line="148" w:lineRule="exact"/>
        <w:rPr>
          <w:sz w:val="20"/>
          <w:szCs w:val="20"/>
          <w:color w:val="auto"/>
        </w:rPr>
      </w:pPr>
    </w:p>
    <w:p>
      <w:pPr>
        <w:ind w:right="640"/>
        <w:spacing w:after="0" w:line="236"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any Alternative Currency Term Rate shall be less than zero, such rate shall be deemed zero for purposes of this Agreement.</w:t>
      </w:r>
    </w:p>
    <w:p>
      <w:pPr>
        <w:spacing w:after="0" w:line="145" w:lineRule="exact"/>
        <w:rPr>
          <w:sz w:val="20"/>
          <w:szCs w:val="20"/>
          <w:color w:val="auto"/>
        </w:rPr>
      </w:pPr>
    </w:p>
    <w:p>
      <w:pPr>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Alternative Currency Term Rate Loan</w:t>
      </w:r>
      <w:r>
        <w:rPr>
          <w:rFonts w:ascii="Times New Roman" w:cs="Times New Roman" w:eastAsia="Times New Roman" w:hAnsi="Times New Roman"/>
          <w:sz w:val="21"/>
          <w:szCs w:val="21"/>
          <w:color w:val="auto"/>
        </w:rPr>
        <w:t>” means a Loan that bears interest at a rate based on the definition of “Alternative Currency Term Rate.” All Alternative Currency Term Rate Loans must be denominated in an Alternative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42" w:right="339" w:bottom="1440" w:gutter="0" w:footer="0" w:header="0"/>
        </w:sectPr>
      </w:pPr>
    </w:p>
    <w:bookmarkStart w:id="73" w:name="page74"/>
    <w:bookmarkEnd w:id="73"/>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Authority</w:t>
      </w:r>
      <w:r>
        <w:rPr>
          <w:rFonts w:ascii="Times New Roman" w:cs="Times New Roman" w:eastAsia="Times New Roman" w:hAnsi="Times New Roman"/>
          <w:sz w:val="21"/>
          <w:szCs w:val="21"/>
          <w:color w:val="auto"/>
        </w:rPr>
        <w:t>” means the applicable administrator for the Relevant Rate for such Alternative Currency or any Governmental Authority having jurisdiction over the Administrative Agent or such administrator.</w:t>
      </w:r>
    </w:p>
    <w:p>
      <w:pPr>
        <w:spacing w:after="0" w:line="145"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Currency</w:t>
      </w:r>
      <w:r>
        <w:rPr>
          <w:rFonts w:ascii="Times New Roman" w:cs="Times New Roman" w:eastAsia="Times New Roman" w:hAnsi="Times New Roman"/>
          <w:sz w:val="21"/>
          <w:szCs w:val="21"/>
          <w:color w:val="auto"/>
        </w:rPr>
        <w:t>” means Dollars or any Alternative Currency that bears interest at a rate based on an Applicable Reference Rate, as applicable.</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means, as to any Person, all applicable Laws binding upon such Person or to which such a Person is subject.</w:t>
      </w:r>
    </w:p>
    <w:p>
      <w:pPr>
        <w:spacing w:after="0" w:line="183" w:lineRule="exact"/>
        <w:rPr>
          <w:sz w:val="20"/>
          <w:szCs w:val="20"/>
          <w:color w:val="auto"/>
        </w:rPr>
      </w:pPr>
    </w:p>
    <w:p>
      <w:pPr>
        <w:jc w:val="both"/>
        <w:ind w:firstLine="620"/>
        <w:spacing w:after="0" w:line="21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Percentage</w:t>
      </w:r>
      <w:r>
        <w:rPr>
          <w:rFonts w:ascii="Times New Roman" w:cs="Times New Roman" w:eastAsia="Times New Roman" w:hAnsi="Times New Roman"/>
          <w:sz w:val="21"/>
          <w:szCs w:val="21"/>
          <w:color w:val="auto"/>
        </w:rPr>
        <w:t xml:space="preserve">” means (a) in respect of the Term Facility, with respect to any Term Lender at any time, the percentage (carried out to the ninth decimal place) of the Term Facility represented by (i) on or prior to the Closing Date, such Term Lender’s Term Commitment at such time, subject to adjustment as provided in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and (ii) thereafter, the principal amount of such Term Lender’s Term Loans at such time and (b) in respect of the Revolving Credit Facility, with respect to any Revolving Credit Lender at any time, the percentage (carried out to the ninth decimal place) of the Revolving Credit Facility represented by such Revolving Credit Lender’s Revolving Credit Commitment at such time, subject to adjustment as provided in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If the commitment of each Revolving Credit Lender to make Revolving Credit Loans and the obligation of the L/C Issuer to make L/C Credit Extensions have been terminated pursuant to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or if the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and to any Lender’s status as a Defaulting Lender at the time of determination. The initial Applicable Percentage of each Lender in respect of each Facility is set forth opposite the name of such Lender on Schedule 2.01A or in the Assignment and Assumption pursuant to which such Lender becomes a party hereto, as applicable.</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Rate</w:t>
      </w:r>
      <w:r>
        <w:rPr>
          <w:rFonts w:ascii="Times New Roman" w:cs="Times New Roman" w:eastAsia="Times New Roman" w:hAnsi="Times New Roman"/>
          <w:sz w:val="21"/>
          <w:szCs w:val="21"/>
          <w:color w:val="auto"/>
        </w:rPr>
        <w:t>” means, from time to time, the following percentages per annum, based upon</w:t>
      </w:r>
    </w:p>
    <w:p>
      <w:pPr>
        <w:spacing w:after="0" w:line="172" w:lineRule="exact"/>
        <w:rPr>
          <w:sz w:val="20"/>
          <w:szCs w:val="20"/>
          <w:color w:val="auto"/>
        </w:rPr>
      </w:pPr>
    </w:p>
    <w:p>
      <w:pPr>
        <w:ind w:left="1680" w:hanging="436"/>
        <w:spacing w:after="0"/>
        <w:tabs>
          <w:tab w:leader="none" w:pos="168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Leverage Ratio for such period, and (b) the Debt Rating as set forth below:</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31" w:lineRule="exact"/>
        <w:rPr>
          <w:rFonts w:ascii="Times New Roman" w:cs="Times New Roman" w:eastAsia="Times New Roman" w:hAnsi="Times New Roman"/>
          <w:sz w:val="21"/>
          <w:szCs w:val="21"/>
          <w:color w:val="auto"/>
        </w:rPr>
      </w:pPr>
    </w:p>
    <w:p>
      <w:pPr>
        <w:ind w:left="5560"/>
        <w:spacing w:after="0"/>
        <w:rPr>
          <w:rFonts w:ascii="Times New Roman" w:cs="Times New Roman" w:eastAsia="Times New Roman" w:hAnsi="Times New Roman"/>
          <w:sz w:val="21"/>
          <w:szCs w:val="21"/>
          <w:color w:val="auto"/>
        </w:rPr>
      </w:pPr>
      <w:r>
        <w:rPr>
          <w:rFonts w:ascii="Arial" w:cs="Arial" w:eastAsia="Arial" w:hAnsi="Arial"/>
          <w:sz w:val="21"/>
          <w:szCs w:val="21"/>
          <w:color w:val="auto"/>
        </w:rPr>
        <w:t>4</w:t>
      </w:r>
    </w:p>
    <w:p>
      <w:pPr>
        <w:sectPr>
          <w:pgSz w:w="11900" w:h="16838" w:orient="portrait"/>
          <w:cols w:equalWidth="0" w:num="1">
            <w:col w:w="11240"/>
          </w:cols>
          <w:pgMar w:left="320" w:top="1342" w:right="339" w:bottom="1440" w:gutter="0" w:footer="0" w:header="0"/>
        </w:sectPr>
      </w:pPr>
    </w:p>
    <w:bookmarkStart w:id="74" w:name="page75"/>
    <w:bookmarkEnd w:id="74"/>
    <w:tbl>
      <w:tblPr>
        <w:tblLayout w:type="fixed"/>
        <w:tblInd w:w="10" w:type="dxa"/>
        <w:tblCellMar>
          <w:top w:w="0" w:type="dxa"/>
          <w:left w:w="0" w:type="dxa"/>
          <w:bottom w:w="0" w:type="dxa"/>
          <w:right w:w="0" w:type="dxa"/>
        </w:tblCellMar>
      </w:tblPr>
      <w:tr>
        <w:trPr>
          <w:trHeight w:val="271"/>
        </w:trPr>
        <w:tc>
          <w:tcPr>
            <w:tcW w:w="1080" w:type="dxa"/>
            <w:vAlign w:val="bottom"/>
            <w:tcBorders>
              <w:top w:val="single" w:sz="8" w:color="auto"/>
              <w:left w:val="single" w:sz="8" w:color="auto"/>
              <w:bottom w:val="single" w:sz="8" w:color="auto"/>
              <w:right w:val="single" w:sz="8" w:color="auto"/>
            </w:tcBorders>
            <w:shd w:val="clear" w:color="auto" w:fill="D9D9D9"/>
          </w:tcPr>
          <w:p>
            <w:pPr>
              <w:spacing w:after="0"/>
              <w:rPr>
                <w:sz w:val="23"/>
                <w:szCs w:val="23"/>
                <w:color w:val="auto"/>
              </w:rPr>
            </w:pPr>
          </w:p>
        </w:tc>
        <w:tc>
          <w:tcPr>
            <w:tcW w:w="1880" w:type="dxa"/>
            <w:vAlign w:val="bottom"/>
            <w:tcBorders>
              <w:top w:val="single" w:sz="8" w:color="auto"/>
              <w:bottom w:val="single" w:sz="8" w:color="auto"/>
              <w:right w:val="single" w:sz="8" w:color="auto"/>
            </w:tcBorders>
            <w:shd w:val="clear" w:color="auto" w:fill="D9D9D9"/>
          </w:tcPr>
          <w:p>
            <w:pPr>
              <w:spacing w:after="0"/>
              <w:rPr>
                <w:sz w:val="23"/>
                <w:szCs w:val="23"/>
                <w:color w:val="auto"/>
              </w:rPr>
            </w:pPr>
          </w:p>
        </w:tc>
        <w:tc>
          <w:tcPr>
            <w:tcW w:w="1360" w:type="dxa"/>
            <w:vAlign w:val="bottom"/>
            <w:tcBorders>
              <w:top w:val="single" w:sz="8" w:color="auto"/>
              <w:bottom w:val="single" w:sz="8" w:color="auto"/>
              <w:right w:val="single" w:sz="8" w:color="auto"/>
            </w:tcBorders>
            <w:shd w:val="clear" w:color="auto" w:fill="D9D9D9"/>
          </w:tcPr>
          <w:p>
            <w:pPr>
              <w:spacing w:after="0"/>
              <w:rPr>
                <w:sz w:val="23"/>
                <w:szCs w:val="23"/>
                <w:color w:val="auto"/>
              </w:rPr>
            </w:pPr>
          </w:p>
        </w:tc>
        <w:tc>
          <w:tcPr>
            <w:tcW w:w="1200" w:type="dxa"/>
            <w:vAlign w:val="bottom"/>
            <w:tcBorders>
              <w:top w:val="single" w:sz="8" w:color="auto"/>
              <w:bottom w:val="single" w:sz="8" w:color="auto"/>
              <w:right w:val="single" w:sz="8" w:color="D9D9D9"/>
            </w:tcBorders>
            <w:shd w:val="clear" w:color="auto" w:fill="D9D9D9"/>
          </w:tcPr>
          <w:p>
            <w:pPr>
              <w:spacing w:after="0"/>
              <w:rPr>
                <w:sz w:val="23"/>
                <w:szCs w:val="23"/>
                <w:color w:val="auto"/>
              </w:rPr>
            </w:pPr>
          </w:p>
        </w:tc>
        <w:tc>
          <w:tcPr>
            <w:tcW w:w="2440" w:type="dxa"/>
            <w:vAlign w:val="bottom"/>
            <w:tcBorders>
              <w:top w:val="single" w:sz="8" w:color="auto"/>
              <w:bottom w:val="single" w:sz="8" w:color="auto"/>
              <w:right w:val="single" w:sz="8" w:color="D9D9D9"/>
            </w:tcBorders>
            <w:shd w:val="clear" w:color="auto" w:fill="D9D9D9"/>
          </w:tcPr>
          <w:p>
            <w:pPr>
              <w:ind w:left="60"/>
              <w:spacing w:after="0"/>
              <w:rPr>
                <w:sz w:val="20"/>
                <w:szCs w:val="20"/>
                <w:color w:val="auto"/>
              </w:rPr>
            </w:pPr>
            <w:r>
              <w:rPr>
                <w:rFonts w:ascii="Times New Roman" w:cs="Times New Roman" w:eastAsia="Times New Roman" w:hAnsi="Times New Roman"/>
                <w:sz w:val="21"/>
                <w:szCs w:val="21"/>
                <w:b w:val="1"/>
                <w:bCs w:val="1"/>
                <w:color w:val="auto"/>
              </w:rPr>
              <w:t>Revolving Credit Facility</w:t>
            </w:r>
          </w:p>
        </w:tc>
        <w:tc>
          <w:tcPr>
            <w:tcW w:w="1100" w:type="dxa"/>
            <w:vAlign w:val="bottom"/>
            <w:tcBorders>
              <w:top w:val="single" w:sz="8" w:color="auto"/>
              <w:bottom w:val="single" w:sz="8" w:color="auto"/>
              <w:right w:val="single" w:sz="8" w:color="auto"/>
            </w:tcBorders>
            <w:shd w:val="clear" w:color="auto" w:fill="D9D9D9"/>
          </w:tcPr>
          <w:p>
            <w:pPr>
              <w:spacing w:after="0"/>
              <w:rPr>
                <w:sz w:val="23"/>
                <w:szCs w:val="23"/>
                <w:color w:val="auto"/>
              </w:rPr>
            </w:pPr>
          </w:p>
        </w:tc>
        <w:tc>
          <w:tcPr>
            <w:tcW w:w="2200" w:type="dxa"/>
            <w:vAlign w:val="bottom"/>
            <w:tcBorders>
              <w:top w:val="single" w:sz="8" w:color="auto"/>
              <w:bottom w:val="single" w:sz="8" w:color="auto"/>
              <w:right w:val="single" w:sz="8" w:color="auto"/>
            </w:tcBorders>
            <w:gridSpan w:val="2"/>
            <w:shd w:val="clear" w:color="auto" w:fill="D9D9D9"/>
          </w:tcPr>
          <w:p>
            <w:pPr>
              <w:ind w:left="500"/>
              <w:spacing w:after="0"/>
              <w:rPr>
                <w:sz w:val="20"/>
                <w:szCs w:val="20"/>
                <w:color w:val="auto"/>
              </w:rPr>
            </w:pPr>
            <w:r>
              <w:rPr>
                <w:rFonts w:ascii="Times New Roman" w:cs="Times New Roman" w:eastAsia="Times New Roman" w:hAnsi="Times New Roman"/>
                <w:sz w:val="21"/>
                <w:szCs w:val="21"/>
                <w:b w:val="1"/>
                <w:bCs w:val="1"/>
                <w:color w:val="auto"/>
              </w:rPr>
              <w:t>Term Facility</w:t>
            </w:r>
          </w:p>
        </w:tc>
        <w:tc>
          <w:tcPr>
            <w:tcW w:w="0" w:type="dxa"/>
            <w:vAlign w:val="bottom"/>
          </w:tcPr>
          <w:p>
            <w:pPr>
              <w:spacing w:after="0"/>
              <w:rPr>
                <w:sz w:val="1"/>
                <w:szCs w:val="1"/>
                <w:color w:val="auto"/>
              </w:rPr>
            </w:pPr>
          </w:p>
        </w:tc>
      </w:tr>
      <w:tr>
        <w:trPr>
          <w:trHeight w:val="187"/>
        </w:trPr>
        <w:tc>
          <w:tcPr>
            <w:tcW w:w="1080" w:type="dxa"/>
            <w:vAlign w:val="bottom"/>
            <w:tcBorders>
              <w:left w:val="single" w:sz="8" w:color="auto"/>
              <w:right w:val="single" w:sz="8" w:color="auto"/>
            </w:tcBorders>
            <w:shd w:val="clear" w:color="auto" w:fill="D9D9D9"/>
          </w:tcPr>
          <w:p>
            <w:pPr>
              <w:spacing w:after="0"/>
              <w:rPr>
                <w:sz w:val="16"/>
                <w:szCs w:val="16"/>
                <w:color w:val="auto"/>
              </w:rPr>
            </w:pPr>
          </w:p>
        </w:tc>
        <w:tc>
          <w:tcPr>
            <w:tcW w:w="1880" w:type="dxa"/>
            <w:vAlign w:val="bottom"/>
            <w:tcBorders>
              <w:right w:val="single" w:sz="8" w:color="auto"/>
            </w:tcBorders>
            <w:shd w:val="clear" w:color="auto" w:fill="D9D9D9"/>
          </w:tcPr>
          <w:p>
            <w:pPr>
              <w:spacing w:after="0"/>
              <w:rPr>
                <w:sz w:val="16"/>
                <w:szCs w:val="16"/>
                <w:color w:val="auto"/>
              </w:rPr>
            </w:pPr>
          </w:p>
        </w:tc>
        <w:tc>
          <w:tcPr>
            <w:tcW w:w="1360" w:type="dxa"/>
            <w:vAlign w:val="bottom"/>
            <w:tcBorders>
              <w:right w:val="single" w:sz="8" w:color="auto"/>
            </w:tcBorders>
            <w:shd w:val="clear" w:color="auto" w:fill="D9D9D9"/>
          </w:tcPr>
          <w:p>
            <w:pPr>
              <w:spacing w:after="0"/>
              <w:rPr>
                <w:sz w:val="16"/>
                <w:szCs w:val="16"/>
                <w:color w:val="auto"/>
              </w:rPr>
            </w:pPr>
          </w:p>
        </w:tc>
        <w:tc>
          <w:tcPr>
            <w:tcW w:w="1200" w:type="dxa"/>
            <w:vAlign w:val="bottom"/>
            <w:tcBorders>
              <w:right w:val="single" w:sz="8" w:color="auto"/>
            </w:tcBorders>
            <w:shd w:val="clear" w:color="auto" w:fill="D9D9D9"/>
          </w:tcPr>
          <w:p>
            <w:pPr>
              <w:spacing w:after="0"/>
              <w:rPr>
                <w:sz w:val="16"/>
                <w:szCs w:val="16"/>
                <w:color w:val="auto"/>
              </w:rPr>
            </w:pPr>
          </w:p>
        </w:tc>
        <w:tc>
          <w:tcPr>
            <w:tcW w:w="2440" w:type="dxa"/>
            <w:vAlign w:val="bottom"/>
            <w:tcBorders>
              <w:right w:val="single" w:sz="8" w:color="auto"/>
            </w:tcBorders>
            <w:shd w:val="clear" w:color="auto" w:fill="D9D9D9"/>
          </w:tcPr>
          <w:p>
            <w:pPr>
              <w:jc w:val="center"/>
              <w:spacing w:after="0" w:line="187" w:lineRule="exact"/>
              <w:rPr>
                <w:sz w:val="20"/>
                <w:szCs w:val="20"/>
                <w:color w:val="auto"/>
              </w:rPr>
            </w:pPr>
            <w:r>
              <w:rPr>
                <w:rFonts w:ascii="Times New Roman" w:cs="Times New Roman" w:eastAsia="Times New Roman" w:hAnsi="Times New Roman"/>
                <w:sz w:val="21"/>
                <w:szCs w:val="21"/>
                <w:b w:val="1"/>
                <w:bCs w:val="1"/>
                <w:color w:val="auto"/>
                <w:w w:val="97"/>
              </w:rPr>
              <w:t>Term SOFR Loans,</w:t>
            </w:r>
          </w:p>
        </w:tc>
        <w:tc>
          <w:tcPr>
            <w:tcW w:w="1100" w:type="dxa"/>
            <w:vAlign w:val="bottom"/>
            <w:tcBorders>
              <w:right w:val="single" w:sz="8" w:color="auto"/>
            </w:tcBorders>
            <w:shd w:val="clear" w:color="auto" w:fill="D9D9D9"/>
          </w:tcPr>
          <w:p>
            <w:pPr>
              <w:spacing w:after="0"/>
              <w:rPr>
                <w:sz w:val="16"/>
                <w:szCs w:val="16"/>
                <w:color w:val="auto"/>
              </w:rPr>
            </w:pPr>
          </w:p>
        </w:tc>
        <w:tc>
          <w:tcPr>
            <w:tcW w:w="1100" w:type="dxa"/>
            <w:vAlign w:val="bottom"/>
            <w:tcBorders>
              <w:right w:val="single" w:sz="8" w:color="auto"/>
            </w:tcBorders>
            <w:shd w:val="clear" w:color="auto" w:fill="D9D9D9"/>
          </w:tcPr>
          <w:p>
            <w:pPr>
              <w:spacing w:after="0"/>
              <w:rPr>
                <w:sz w:val="16"/>
                <w:szCs w:val="16"/>
                <w:color w:val="auto"/>
              </w:rPr>
            </w:pPr>
          </w:p>
        </w:tc>
        <w:tc>
          <w:tcPr>
            <w:tcW w:w="1100" w:type="dxa"/>
            <w:vAlign w:val="bottom"/>
            <w:tcBorders>
              <w:right w:val="single" w:sz="8" w:color="auto"/>
            </w:tcBorders>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080" w:type="dxa"/>
            <w:vAlign w:val="bottom"/>
            <w:tcBorders>
              <w:left w:val="single" w:sz="8" w:color="auto"/>
              <w:right w:val="single" w:sz="8" w:color="auto"/>
            </w:tcBorders>
            <w:shd w:val="clear" w:color="auto" w:fill="D9D9D9"/>
          </w:tcPr>
          <w:p>
            <w:pPr>
              <w:spacing w:after="0"/>
              <w:rPr>
                <w:sz w:val="17"/>
                <w:szCs w:val="17"/>
                <w:color w:val="auto"/>
              </w:rPr>
            </w:pPr>
          </w:p>
        </w:tc>
        <w:tc>
          <w:tcPr>
            <w:tcW w:w="1880" w:type="dxa"/>
            <w:vAlign w:val="bottom"/>
            <w:tcBorders>
              <w:right w:val="single" w:sz="8" w:color="auto"/>
            </w:tcBorders>
            <w:shd w:val="clear" w:color="auto" w:fill="D9D9D9"/>
          </w:tcPr>
          <w:p>
            <w:pPr>
              <w:spacing w:after="0"/>
              <w:rPr>
                <w:sz w:val="17"/>
                <w:szCs w:val="17"/>
                <w:color w:val="auto"/>
              </w:rPr>
            </w:pPr>
          </w:p>
        </w:tc>
        <w:tc>
          <w:tcPr>
            <w:tcW w:w="1360" w:type="dxa"/>
            <w:vAlign w:val="bottom"/>
            <w:tcBorders>
              <w:right w:val="single" w:sz="8" w:color="auto"/>
            </w:tcBorders>
            <w:shd w:val="clear" w:color="auto" w:fill="D9D9D9"/>
          </w:tcPr>
          <w:p>
            <w:pPr>
              <w:spacing w:after="0"/>
              <w:rPr>
                <w:sz w:val="17"/>
                <w:szCs w:val="17"/>
                <w:color w:val="auto"/>
              </w:rPr>
            </w:pPr>
          </w:p>
        </w:tc>
        <w:tc>
          <w:tcPr>
            <w:tcW w:w="1200" w:type="dxa"/>
            <w:vAlign w:val="bottom"/>
            <w:tcBorders>
              <w:right w:val="single" w:sz="8" w:color="auto"/>
            </w:tcBorders>
            <w:shd w:val="clear" w:color="auto" w:fill="D9D9D9"/>
          </w:tcPr>
          <w:p>
            <w:pPr>
              <w:spacing w:after="0"/>
              <w:rPr>
                <w:sz w:val="17"/>
                <w:szCs w:val="17"/>
                <w:color w:val="auto"/>
              </w:rPr>
            </w:pPr>
          </w:p>
        </w:tc>
        <w:tc>
          <w:tcPr>
            <w:tcW w:w="2440" w:type="dxa"/>
            <w:vAlign w:val="bottom"/>
            <w:tcBorders>
              <w:right w:val="single" w:sz="8" w:color="auto"/>
            </w:tcBorders>
            <w:shd w:val="clear" w:color="auto" w:fill="D9D9D9"/>
          </w:tcPr>
          <w:p>
            <w:pPr>
              <w:jc w:val="center"/>
              <w:spacing w:after="0" w:line="207" w:lineRule="exact"/>
              <w:rPr>
                <w:sz w:val="20"/>
                <w:szCs w:val="20"/>
                <w:color w:val="auto"/>
              </w:rPr>
            </w:pPr>
            <w:r>
              <w:rPr>
                <w:rFonts w:ascii="Times New Roman" w:cs="Times New Roman" w:eastAsia="Times New Roman" w:hAnsi="Times New Roman"/>
                <w:sz w:val="21"/>
                <w:szCs w:val="21"/>
                <w:b w:val="1"/>
                <w:bCs w:val="1"/>
                <w:color w:val="auto"/>
                <w:w w:val="98"/>
              </w:rPr>
              <w:t>Alternative Currency</w:t>
            </w:r>
          </w:p>
        </w:tc>
        <w:tc>
          <w:tcPr>
            <w:tcW w:w="1100" w:type="dxa"/>
            <w:vAlign w:val="bottom"/>
            <w:tcBorders>
              <w:right w:val="single" w:sz="8" w:color="auto"/>
            </w:tcBorders>
            <w:shd w:val="clear" w:color="auto" w:fill="D9D9D9"/>
          </w:tcPr>
          <w:p>
            <w:pPr>
              <w:spacing w:after="0"/>
              <w:rPr>
                <w:sz w:val="17"/>
                <w:szCs w:val="17"/>
                <w:color w:val="auto"/>
              </w:rPr>
            </w:pPr>
          </w:p>
        </w:tc>
        <w:tc>
          <w:tcPr>
            <w:tcW w:w="11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1"/>
                <w:szCs w:val="21"/>
                <w:b w:val="1"/>
                <w:bCs w:val="1"/>
                <w:color w:val="auto"/>
                <w:w w:val="95"/>
              </w:rPr>
              <w:t>Term</w:t>
            </w:r>
          </w:p>
        </w:tc>
        <w:tc>
          <w:tcPr>
            <w:tcW w:w="110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1080" w:type="dxa"/>
            <w:vAlign w:val="bottom"/>
            <w:tcBorders>
              <w:left w:val="single" w:sz="8" w:color="auto"/>
              <w:right w:val="single" w:sz="8" w:color="auto"/>
            </w:tcBorders>
            <w:vMerge w:val="restart"/>
            <w:shd w:val="clear" w:color="auto" w:fill="D9D9D9"/>
          </w:tcPr>
          <w:p>
            <w:pPr>
              <w:jc w:val="center"/>
              <w:spacing w:after="0" w:line="207" w:lineRule="exact"/>
              <w:rPr>
                <w:sz w:val="20"/>
                <w:szCs w:val="20"/>
                <w:color w:val="auto"/>
              </w:rPr>
            </w:pPr>
            <w:r>
              <w:rPr>
                <w:rFonts w:ascii="Times New Roman" w:cs="Times New Roman" w:eastAsia="Times New Roman" w:hAnsi="Times New Roman"/>
                <w:sz w:val="21"/>
                <w:szCs w:val="21"/>
                <w:b w:val="1"/>
                <w:bCs w:val="1"/>
                <w:color w:val="auto"/>
                <w:w w:val="97"/>
              </w:rPr>
              <w:t>Pricing</w:t>
            </w:r>
          </w:p>
        </w:tc>
        <w:tc>
          <w:tcPr>
            <w:tcW w:w="1880" w:type="dxa"/>
            <w:vAlign w:val="bottom"/>
            <w:tcBorders>
              <w:right w:val="single" w:sz="8" w:color="auto"/>
            </w:tcBorders>
            <w:shd w:val="clear" w:color="auto" w:fill="D9D9D9"/>
          </w:tcPr>
          <w:p>
            <w:pPr>
              <w:spacing w:after="0"/>
              <w:rPr>
                <w:sz w:val="8"/>
                <w:szCs w:val="8"/>
                <w:color w:val="auto"/>
              </w:rPr>
            </w:pPr>
          </w:p>
        </w:tc>
        <w:tc>
          <w:tcPr>
            <w:tcW w:w="1360" w:type="dxa"/>
            <w:vAlign w:val="bottom"/>
            <w:tcBorders>
              <w:right w:val="single" w:sz="8" w:color="auto"/>
            </w:tcBorders>
            <w:shd w:val="clear" w:color="auto" w:fill="D9D9D9"/>
          </w:tcPr>
          <w:p>
            <w:pPr>
              <w:spacing w:after="0"/>
              <w:rPr>
                <w:sz w:val="8"/>
                <w:szCs w:val="8"/>
                <w:color w:val="auto"/>
              </w:rPr>
            </w:pPr>
          </w:p>
        </w:tc>
        <w:tc>
          <w:tcPr>
            <w:tcW w:w="1200" w:type="dxa"/>
            <w:vAlign w:val="bottom"/>
            <w:tcBorders>
              <w:right w:val="single" w:sz="8" w:color="auto"/>
            </w:tcBorders>
            <w:shd w:val="clear" w:color="auto" w:fill="D9D9D9"/>
          </w:tcPr>
          <w:p>
            <w:pPr>
              <w:spacing w:after="0"/>
              <w:rPr>
                <w:sz w:val="8"/>
                <w:szCs w:val="8"/>
                <w:color w:val="auto"/>
              </w:rPr>
            </w:pPr>
          </w:p>
        </w:tc>
        <w:tc>
          <w:tcPr>
            <w:tcW w:w="2440" w:type="dxa"/>
            <w:vAlign w:val="bottom"/>
            <w:tcBorders>
              <w:right w:val="single" w:sz="8" w:color="auto"/>
            </w:tcBorders>
            <w:vMerge w:val="restart"/>
            <w:shd w:val="clear" w:color="auto" w:fill="D9D9D9"/>
          </w:tcPr>
          <w:p>
            <w:pPr>
              <w:jc w:val="center"/>
              <w:spacing w:after="0" w:line="207" w:lineRule="exact"/>
              <w:rPr>
                <w:sz w:val="20"/>
                <w:szCs w:val="20"/>
                <w:color w:val="auto"/>
              </w:rPr>
            </w:pPr>
            <w:r>
              <w:rPr>
                <w:rFonts w:ascii="Times New Roman" w:cs="Times New Roman" w:eastAsia="Times New Roman" w:hAnsi="Times New Roman"/>
                <w:sz w:val="21"/>
                <w:szCs w:val="21"/>
                <w:b w:val="1"/>
                <w:bCs w:val="1"/>
                <w:color w:val="auto"/>
                <w:w w:val="97"/>
              </w:rPr>
              <w:t>Term Rate Loans,</w:t>
            </w:r>
          </w:p>
        </w:tc>
        <w:tc>
          <w:tcPr>
            <w:tcW w:w="1100" w:type="dxa"/>
            <w:vAlign w:val="bottom"/>
            <w:tcBorders>
              <w:right w:val="single" w:sz="8" w:color="auto"/>
            </w:tcBorders>
            <w:vMerge w:val="restart"/>
            <w:shd w:val="clear" w:color="auto" w:fill="D9D9D9"/>
          </w:tcPr>
          <w:p>
            <w:pPr>
              <w:jc w:val="center"/>
              <w:spacing w:after="0" w:line="207" w:lineRule="exact"/>
              <w:rPr>
                <w:sz w:val="20"/>
                <w:szCs w:val="20"/>
                <w:color w:val="auto"/>
              </w:rPr>
            </w:pPr>
            <w:r>
              <w:rPr>
                <w:rFonts w:ascii="Times New Roman" w:cs="Times New Roman" w:eastAsia="Times New Roman" w:hAnsi="Times New Roman"/>
                <w:sz w:val="21"/>
                <w:szCs w:val="21"/>
                <w:b w:val="1"/>
                <w:bCs w:val="1"/>
                <w:color w:val="auto"/>
                <w:w w:val="98"/>
              </w:rPr>
              <w:t>Base Rate</w:t>
            </w:r>
          </w:p>
        </w:tc>
        <w:tc>
          <w:tcPr>
            <w:tcW w:w="1100" w:type="dxa"/>
            <w:vAlign w:val="bottom"/>
            <w:tcBorders>
              <w:right w:val="single" w:sz="8" w:color="auto"/>
            </w:tcBorders>
            <w:vMerge w:val="continue"/>
            <w:shd w:val="clear" w:color="auto" w:fill="D9D9D9"/>
          </w:tcPr>
          <w:p>
            <w:pPr>
              <w:spacing w:after="0"/>
              <w:rPr>
                <w:sz w:val="8"/>
                <w:szCs w:val="8"/>
                <w:color w:val="auto"/>
              </w:rPr>
            </w:pPr>
          </w:p>
        </w:tc>
        <w:tc>
          <w:tcPr>
            <w:tcW w:w="1100" w:type="dxa"/>
            <w:vAlign w:val="bottom"/>
            <w:tcBorders>
              <w:right w:val="single" w:sz="8" w:color="auto"/>
            </w:tcBorders>
            <w:vMerge w:val="restart"/>
            <w:shd w:val="clear" w:color="auto" w:fill="D9D9D9"/>
          </w:tcPr>
          <w:p>
            <w:pPr>
              <w:jc w:val="center"/>
              <w:spacing w:after="0" w:line="207" w:lineRule="exact"/>
              <w:rPr>
                <w:sz w:val="20"/>
                <w:szCs w:val="20"/>
                <w:color w:val="auto"/>
              </w:rPr>
            </w:pPr>
            <w:r>
              <w:rPr>
                <w:rFonts w:ascii="Times New Roman" w:cs="Times New Roman" w:eastAsia="Times New Roman" w:hAnsi="Times New Roman"/>
                <w:sz w:val="21"/>
                <w:szCs w:val="21"/>
                <w:b w:val="1"/>
                <w:bCs w:val="1"/>
                <w:color w:val="auto"/>
                <w:w w:val="98"/>
              </w:rPr>
              <w:t>Base Rate</w:t>
            </w:r>
          </w:p>
        </w:tc>
        <w:tc>
          <w:tcPr>
            <w:tcW w:w="0" w:type="dxa"/>
            <w:vAlign w:val="bottom"/>
          </w:tcPr>
          <w:p>
            <w:pPr>
              <w:spacing w:after="0"/>
              <w:rPr>
                <w:sz w:val="1"/>
                <w:szCs w:val="1"/>
                <w:color w:val="auto"/>
              </w:rPr>
            </w:pPr>
          </w:p>
        </w:tc>
      </w:tr>
      <w:tr>
        <w:trPr>
          <w:trHeight w:val="103"/>
        </w:trPr>
        <w:tc>
          <w:tcPr>
            <w:tcW w:w="1080" w:type="dxa"/>
            <w:vAlign w:val="bottom"/>
            <w:tcBorders>
              <w:left w:val="single" w:sz="8" w:color="auto"/>
              <w:right w:val="single" w:sz="8" w:color="auto"/>
            </w:tcBorders>
            <w:vMerge w:val="continue"/>
            <w:shd w:val="clear" w:color="auto" w:fill="D9D9D9"/>
          </w:tcPr>
          <w:p>
            <w:pPr>
              <w:spacing w:after="0"/>
              <w:rPr>
                <w:sz w:val="8"/>
                <w:szCs w:val="8"/>
                <w:color w:val="auto"/>
              </w:rPr>
            </w:pPr>
          </w:p>
        </w:tc>
        <w:tc>
          <w:tcPr>
            <w:tcW w:w="1880" w:type="dxa"/>
            <w:vAlign w:val="bottom"/>
            <w:tcBorders>
              <w:right w:val="single" w:sz="8" w:color="auto"/>
            </w:tcBorders>
            <w:vMerge w:val="restart"/>
            <w:shd w:val="clear" w:color="auto" w:fill="D9D9D9"/>
          </w:tcPr>
          <w:p>
            <w:pPr>
              <w:jc w:val="center"/>
              <w:spacing w:after="0" w:line="207" w:lineRule="exact"/>
              <w:rPr>
                <w:sz w:val="20"/>
                <w:szCs w:val="20"/>
                <w:color w:val="auto"/>
              </w:rPr>
            </w:pPr>
            <w:r>
              <w:rPr>
                <w:rFonts w:ascii="Times New Roman" w:cs="Times New Roman" w:eastAsia="Times New Roman" w:hAnsi="Times New Roman"/>
                <w:sz w:val="21"/>
                <w:szCs w:val="21"/>
                <w:b w:val="1"/>
                <w:bCs w:val="1"/>
                <w:color w:val="auto"/>
                <w:w w:val="97"/>
              </w:rPr>
              <w:t>Leverage Ratio</w:t>
            </w:r>
          </w:p>
        </w:tc>
        <w:tc>
          <w:tcPr>
            <w:tcW w:w="1360" w:type="dxa"/>
            <w:vAlign w:val="bottom"/>
            <w:tcBorders>
              <w:right w:val="single" w:sz="8" w:color="auto"/>
            </w:tcBorders>
            <w:vMerge w:val="restart"/>
            <w:shd w:val="clear" w:color="auto" w:fill="D9D9D9"/>
          </w:tcPr>
          <w:p>
            <w:pPr>
              <w:jc w:val="center"/>
              <w:spacing w:after="0" w:line="207" w:lineRule="exact"/>
              <w:rPr>
                <w:sz w:val="20"/>
                <w:szCs w:val="20"/>
                <w:color w:val="auto"/>
              </w:rPr>
            </w:pPr>
            <w:r>
              <w:rPr>
                <w:rFonts w:ascii="Times New Roman" w:cs="Times New Roman" w:eastAsia="Times New Roman" w:hAnsi="Times New Roman"/>
                <w:sz w:val="21"/>
                <w:szCs w:val="21"/>
                <w:b w:val="1"/>
                <w:bCs w:val="1"/>
                <w:color w:val="auto"/>
                <w:w w:val="97"/>
              </w:rPr>
              <w:t>Debt Rating</w:t>
            </w:r>
          </w:p>
        </w:tc>
        <w:tc>
          <w:tcPr>
            <w:tcW w:w="1200" w:type="dxa"/>
            <w:vAlign w:val="bottom"/>
            <w:tcBorders>
              <w:right w:val="single" w:sz="8" w:color="auto"/>
            </w:tcBorders>
            <w:vMerge w:val="restart"/>
            <w:shd w:val="clear" w:color="auto" w:fill="D9D9D9"/>
          </w:tcPr>
          <w:p>
            <w:pPr>
              <w:jc w:val="center"/>
              <w:spacing w:after="0" w:line="207" w:lineRule="exact"/>
              <w:rPr>
                <w:sz w:val="20"/>
                <w:szCs w:val="20"/>
                <w:color w:val="auto"/>
              </w:rPr>
            </w:pPr>
            <w:r>
              <w:rPr>
                <w:rFonts w:ascii="Times New Roman" w:cs="Times New Roman" w:eastAsia="Times New Roman" w:hAnsi="Times New Roman"/>
                <w:sz w:val="21"/>
                <w:szCs w:val="21"/>
                <w:b w:val="1"/>
                <w:bCs w:val="1"/>
                <w:color w:val="auto"/>
                <w:w w:val="97"/>
              </w:rPr>
              <w:t>Facility Fee</w:t>
            </w:r>
          </w:p>
        </w:tc>
        <w:tc>
          <w:tcPr>
            <w:tcW w:w="2440" w:type="dxa"/>
            <w:vAlign w:val="bottom"/>
            <w:tcBorders>
              <w:right w:val="single" w:sz="8" w:color="auto"/>
            </w:tcBorders>
            <w:vMerge w:val="continue"/>
            <w:shd w:val="clear" w:color="auto" w:fill="D9D9D9"/>
          </w:tcPr>
          <w:p>
            <w:pPr>
              <w:spacing w:after="0"/>
              <w:rPr>
                <w:sz w:val="8"/>
                <w:szCs w:val="8"/>
                <w:color w:val="auto"/>
              </w:rPr>
            </w:pPr>
          </w:p>
        </w:tc>
        <w:tc>
          <w:tcPr>
            <w:tcW w:w="1100" w:type="dxa"/>
            <w:vAlign w:val="bottom"/>
            <w:tcBorders>
              <w:right w:val="single" w:sz="8" w:color="auto"/>
            </w:tcBorders>
            <w:vMerge w:val="continue"/>
            <w:shd w:val="clear" w:color="auto" w:fill="D9D9D9"/>
          </w:tcPr>
          <w:p>
            <w:pPr>
              <w:spacing w:after="0"/>
              <w:rPr>
                <w:sz w:val="8"/>
                <w:szCs w:val="8"/>
                <w:color w:val="auto"/>
              </w:rPr>
            </w:pPr>
          </w:p>
        </w:tc>
        <w:tc>
          <w:tcPr>
            <w:tcW w:w="1100" w:type="dxa"/>
            <w:vAlign w:val="bottom"/>
            <w:tcBorders>
              <w:right w:val="single" w:sz="8" w:color="auto"/>
            </w:tcBorders>
            <w:vMerge w:val="restart"/>
            <w:shd w:val="clear" w:color="auto" w:fill="D9D9D9"/>
          </w:tcPr>
          <w:p>
            <w:pPr>
              <w:jc w:val="center"/>
              <w:spacing w:after="0" w:line="207" w:lineRule="exact"/>
              <w:rPr>
                <w:sz w:val="20"/>
                <w:szCs w:val="20"/>
                <w:color w:val="auto"/>
              </w:rPr>
            </w:pPr>
            <w:r>
              <w:rPr>
                <w:rFonts w:ascii="Times New Roman" w:cs="Times New Roman" w:eastAsia="Times New Roman" w:hAnsi="Times New Roman"/>
                <w:sz w:val="21"/>
                <w:szCs w:val="21"/>
                <w:b w:val="1"/>
                <w:bCs w:val="1"/>
                <w:color w:val="auto"/>
                <w:w w:val="99"/>
              </w:rPr>
              <w:t>SOFR</w:t>
            </w:r>
          </w:p>
        </w:tc>
        <w:tc>
          <w:tcPr>
            <w:tcW w:w="110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1080" w:type="dxa"/>
            <w:vAlign w:val="bottom"/>
            <w:tcBorders>
              <w:left w:val="single" w:sz="8" w:color="auto"/>
              <w:right w:val="single" w:sz="8" w:color="auto"/>
            </w:tcBorders>
            <w:vMerge w:val="restart"/>
            <w:shd w:val="clear" w:color="auto" w:fill="D9D9D9"/>
          </w:tcPr>
          <w:p>
            <w:pPr>
              <w:jc w:val="center"/>
              <w:spacing w:after="0" w:line="207" w:lineRule="exact"/>
              <w:rPr>
                <w:sz w:val="20"/>
                <w:szCs w:val="20"/>
                <w:color w:val="auto"/>
              </w:rPr>
            </w:pPr>
            <w:r>
              <w:rPr>
                <w:rFonts w:ascii="Times New Roman" w:cs="Times New Roman" w:eastAsia="Times New Roman" w:hAnsi="Times New Roman"/>
                <w:sz w:val="21"/>
                <w:szCs w:val="21"/>
                <w:b w:val="1"/>
                <w:bCs w:val="1"/>
                <w:color w:val="auto"/>
                <w:w w:val="97"/>
              </w:rPr>
              <w:t>Level</w:t>
            </w:r>
          </w:p>
        </w:tc>
        <w:tc>
          <w:tcPr>
            <w:tcW w:w="1880" w:type="dxa"/>
            <w:vAlign w:val="bottom"/>
            <w:tcBorders>
              <w:right w:val="single" w:sz="8" w:color="auto"/>
            </w:tcBorders>
            <w:vMerge w:val="continue"/>
            <w:shd w:val="clear" w:color="auto" w:fill="D9D9D9"/>
          </w:tcPr>
          <w:p>
            <w:pPr>
              <w:spacing w:after="0"/>
              <w:rPr>
                <w:sz w:val="8"/>
                <w:szCs w:val="8"/>
                <w:color w:val="auto"/>
              </w:rPr>
            </w:pPr>
          </w:p>
        </w:tc>
        <w:tc>
          <w:tcPr>
            <w:tcW w:w="1360" w:type="dxa"/>
            <w:vAlign w:val="bottom"/>
            <w:tcBorders>
              <w:right w:val="single" w:sz="8" w:color="auto"/>
            </w:tcBorders>
            <w:vMerge w:val="continue"/>
            <w:shd w:val="clear" w:color="auto" w:fill="D9D9D9"/>
          </w:tcPr>
          <w:p>
            <w:pPr>
              <w:spacing w:after="0"/>
              <w:rPr>
                <w:sz w:val="8"/>
                <w:szCs w:val="8"/>
                <w:color w:val="auto"/>
              </w:rPr>
            </w:pPr>
          </w:p>
        </w:tc>
        <w:tc>
          <w:tcPr>
            <w:tcW w:w="1200" w:type="dxa"/>
            <w:vAlign w:val="bottom"/>
            <w:tcBorders>
              <w:right w:val="single" w:sz="8" w:color="auto"/>
            </w:tcBorders>
            <w:vMerge w:val="continue"/>
            <w:shd w:val="clear" w:color="auto" w:fill="D9D9D9"/>
          </w:tcPr>
          <w:p>
            <w:pPr>
              <w:spacing w:after="0"/>
              <w:rPr>
                <w:sz w:val="8"/>
                <w:szCs w:val="8"/>
                <w:color w:val="auto"/>
              </w:rPr>
            </w:pPr>
          </w:p>
        </w:tc>
        <w:tc>
          <w:tcPr>
            <w:tcW w:w="2440" w:type="dxa"/>
            <w:vAlign w:val="bottom"/>
            <w:tcBorders>
              <w:right w:val="single" w:sz="8" w:color="auto"/>
            </w:tcBorders>
            <w:vMerge w:val="restart"/>
            <w:shd w:val="clear" w:color="auto" w:fill="D9D9D9"/>
          </w:tcPr>
          <w:p>
            <w:pPr>
              <w:jc w:val="center"/>
              <w:spacing w:after="0" w:line="207" w:lineRule="exact"/>
              <w:rPr>
                <w:sz w:val="20"/>
                <w:szCs w:val="20"/>
                <w:color w:val="auto"/>
              </w:rPr>
            </w:pPr>
            <w:r>
              <w:rPr>
                <w:rFonts w:ascii="Times New Roman" w:cs="Times New Roman" w:eastAsia="Times New Roman" w:hAnsi="Times New Roman"/>
                <w:sz w:val="21"/>
                <w:szCs w:val="21"/>
                <w:b w:val="1"/>
                <w:bCs w:val="1"/>
                <w:color w:val="auto"/>
                <w:w w:val="98"/>
              </w:rPr>
              <w:t>Alternative Currency</w:t>
            </w:r>
          </w:p>
        </w:tc>
        <w:tc>
          <w:tcPr>
            <w:tcW w:w="1100" w:type="dxa"/>
            <w:vAlign w:val="bottom"/>
            <w:tcBorders>
              <w:right w:val="single" w:sz="8" w:color="auto"/>
            </w:tcBorders>
            <w:vMerge w:val="restart"/>
            <w:shd w:val="clear" w:color="auto" w:fill="D9D9D9"/>
          </w:tcPr>
          <w:p>
            <w:pPr>
              <w:jc w:val="center"/>
              <w:spacing w:after="0" w:line="207" w:lineRule="exact"/>
              <w:rPr>
                <w:sz w:val="20"/>
                <w:szCs w:val="20"/>
                <w:color w:val="auto"/>
              </w:rPr>
            </w:pPr>
            <w:r>
              <w:rPr>
                <w:rFonts w:ascii="Times New Roman" w:cs="Times New Roman" w:eastAsia="Times New Roman" w:hAnsi="Times New Roman"/>
                <w:sz w:val="21"/>
                <w:szCs w:val="21"/>
                <w:b w:val="1"/>
                <w:bCs w:val="1"/>
                <w:color w:val="auto"/>
                <w:w w:val="98"/>
              </w:rPr>
              <w:t>Loans</w:t>
            </w:r>
          </w:p>
        </w:tc>
        <w:tc>
          <w:tcPr>
            <w:tcW w:w="1100" w:type="dxa"/>
            <w:vAlign w:val="bottom"/>
            <w:tcBorders>
              <w:right w:val="single" w:sz="8" w:color="auto"/>
            </w:tcBorders>
            <w:vMerge w:val="continue"/>
            <w:shd w:val="clear" w:color="auto" w:fill="D9D9D9"/>
          </w:tcPr>
          <w:p>
            <w:pPr>
              <w:spacing w:after="0"/>
              <w:rPr>
                <w:sz w:val="8"/>
                <w:szCs w:val="8"/>
                <w:color w:val="auto"/>
              </w:rPr>
            </w:pPr>
          </w:p>
        </w:tc>
        <w:tc>
          <w:tcPr>
            <w:tcW w:w="1100" w:type="dxa"/>
            <w:vAlign w:val="bottom"/>
            <w:tcBorders>
              <w:right w:val="single" w:sz="8" w:color="auto"/>
            </w:tcBorders>
            <w:vMerge w:val="restart"/>
            <w:shd w:val="clear" w:color="auto" w:fill="D9D9D9"/>
          </w:tcPr>
          <w:p>
            <w:pPr>
              <w:jc w:val="center"/>
              <w:spacing w:after="0" w:line="207" w:lineRule="exact"/>
              <w:rPr>
                <w:sz w:val="20"/>
                <w:szCs w:val="20"/>
                <w:color w:val="auto"/>
              </w:rPr>
            </w:pPr>
            <w:r>
              <w:rPr>
                <w:rFonts w:ascii="Times New Roman" w:cs="Times New Roman" w:eastAsia="Times New Roman" w:hAnsi="Times New Roman"/>
                <w:sz w:val="21"/>
                <w:szCs w:val="21"/>
                <w:b w:val="1"/>
                <w:bCs w:val="1"/>
                <w:color w:val="auto"/>
                <w:w w:val="98"/>
              </w:rPr>
              <w:t>Loans</w:t>
            </w:r>
          </w:p>
        </w:tc>
        <w:tc>
          <w:tcPr>
            <w:tcW w:w="0" w:type="dxa"/>
            <w:vAlign w:val="bottom"/>
          </w:tcPr>
          <w:p>
            <w:pPr>
              <w:spacing w:after="0"/>
              <w:rPr>
                <w:sz w:val="1"/>
                <w:szCs w:val="1"/>
                <w:color w:val="auto"/>
              </w:rPr>
            </w:pPr>
          </w:p>
        </w:tc>
      </w:tr>
      <w:tr>
        <w:trPr>
          <w:trHeight w:val="103"/>
        </w:trPr>
        <w:tc>
          <w:tcPr>
            <w:tcW w:w="1080" w:type="dxa"/>
            <w:vAlign w:val="bottom"/>
            <w:tcBorders>
              <w:left w:val="single" w:sz="8" w:color="auto"/>
              <w:right w:val="single" w:sz="8" w:color="auto"/>
            </w:tcBorders>
            <w:vMerge w:val="continue"/>
            <w:shd w:val="clear" w:color="auto" w:fill="D9D9D9"/>
          </w:tcPr>
          <w:p>
            <w:pPr>
              <w:spacing w:after="0"/>
              <w:rPr>
                <w:sz w:val="8"/>
                <w:szCs w:val="8"/>
                <w:color w:val="auto"/>
              </w:rPr>
            </w:pPr>
          </w:p>
        </w:tc>
        <w:tc>
          <w:tcPr>
            <w:tcW w:w="1880" w:type="dxa"/>
            <w:vAlign w:val="bottom"/>
            <w:tcBorders>
              <w:right w:val="single" w:sz="8" w:color="auto"/>
            </w:tcBorders>
            <w:shd w:val="clear" w:color="auto" w:fill="D9D9D9"/>
          </w:tcPr>
          <w:p>
            <w:pPr>
              <w:spacing w:after="0"/>
              <w:rPr>
                <w:sz w:val="8"/>
                <w:szCs w:val="8"/>
                <w:color w:val="auto"/>
              </w:rPr>
            </w:pPr>
          </w:p>
        </w:tc>
        <w:tc>
          <w:tcPr>
            <w:tcW w:w="1360" w:type="dxa"/>
            <w:vAlign w:val="bottom"/>
            <w:tcBorders>
              <w:right w:val="single" w:sz="8" w:color="auto"/>
            </w:tcBorders>
            <w:shd w:val="clear" w:color="auto" w:fill="D9D9D9"/>
          </w:tcPr>
          <w:p>
            <w:pPr>
              <w:spacing w:after="0"/>
              <w:rPr>
                <w:sz w:val="8"/>
                <w:szCs w:val="8"/>
                <w:color w:val="auto"/>
              </w:rPr>
            </w:pPr>
          </w:p>
        </w:tc>
        <w:tc>
          <w:tcPr>
            <w:tcW w:w="1200" w:type="dxa"/>
            <w:vAlign w:val="bottom"/>
            <w:tcBorders>
              <w:right w:val="single" w:sz="8" w:color="auto"/>
            </w:tcBorders>
            <w:shd w:val="clear" w:color="auto" w:fill="D9D9D9"/>
          </w:tcPr>
          <w:p>
            <w:pPr>
              <w:spacing w:after="0"/>
              <w:rPr>
                <w:sz w:val="8"/>
                <w:szCs w:val="8"/>
                <w:color w:val="auto"/>
              </w:rPr>
            </w:pPr>
          </w:p>
        </w:tc>
        <w:tc>
          <w:tcPr>
            <w:tcW w:w="2440" w:type="dxa"/>
            <w:vAlign w:val="bottom"/>
            <w:tcBorders>
              <w:right w:val="single" w:sz="8" w:color="auto"/>
            </w:tcBorders>
            <w:vMerge w:val="continue"/>
            <w:shd w:val="clear" w:color="auto" w:fill="D9D9D9"/>
          </w:tcPr>
          <w:p>
            <w:pPr>
              <w:spacing w:after="0"/>
              <w:rPr>
                <w:sz w:val="8"/>
                <w:szCs w:val="8"/>
                <w:color w:val="auto"/>
              </w:rPr>
            </w:pPr>
          </w:p>
        </w:tc>
        <w:tc>
          <w:tcPr>
            <w:tcW w:w="1100" w:type="dxa"/>
            <w:vAlign w:val="bottom"/>
            <w:tcBorders>
              <w:right w:val="single" w:sz="8" w:color="auto"/>
            </w:tcBorders>
            <w:vMerge w:val="continue"/>
            <w:shd w:val="clear" w:color="auto" w:fill="D9D9D9"/>
          </w:tcPr>
          <w:p>
            <w:pPr>
              <w:spacing w:after="0"/>
              <w:rPr>
                <w:sz w:val="8"/>
                <w:szCs w:val="8"/>
                <w:color w:val="auto"/>
              </w:rPr>
            </w:pPr>
          </w:p>
        </w:tc>
        <w:tc>
          <w:tcPr>
            <w:tcW w:w="11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Loans</w:t>
            </w:r>
          </w:p>
        </w:tc>
        <w:tc>
          <w:tcPr>
            <w:tcW w:w="110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080" w:type="dxa"/>
            <w:vAlign w:val="bottom"/>
            <w:tcBorders>
              <w:left w:val="single" w:sz="8" w:color="auto"/>
              <w:right w:val="single" w:sz="8" w:color="auto"/>
            </w:tcBorders>
            <w:shd w:val="clear" w:color="auto" w:fill="D9D9D9"/>
          </w:tcPr>
          <w:p>
            <w:pPr>
              <w:spacing w:after="0"/>
              <w:rPr>
                <w:sz w:val="14"/>
                <w:szCs w:val="14"/>
                <w:color w:val="auto"/>
              </w:rPr>
            </w:pPr>
          </w:p>
        </w:tc>
        <w:tc>
          <w:tcPr>
            <w:tcW w:w="1880" w:type="dxa"/>
            <w:vAlign w:val="bottom"/>
            <w:tcBorders>
              <w:right w:val="single" w:sz="8" w:color="auto"/>
            </w:tcBorders>
            <w:shd w:val="clear" w:color="auto" w:fill="D9D9D9"/>
          </w:tcPr>
          <w:p>
            <w:pPr>
              <w:spacing w:after="0"/>
              <w:rPr>
                <w:sz w:val="14"/>
                <w:szCs w:val="14"/>
                <w:color w:val="auto"/>
              </w:rPr>
            </w:pPr>
          </w:p>
        </w:tc>
        <w:tc>
          <w:tcPr>
            <w:tcW w:w="1360" w:type="dxa"/>
            <w:vAlign w:val="bottom"/>
            <w:tcBorders>
              <w:right w:val="single" w:sz="8" w:color="auto"/>
            </w:tcBorders>
            <w:shd w:val="clear" w:color="auto" w:fill="D9D9D9"/>
          </w:tcPr>
          <w:p>
            <w:pPr>
              <w:spacing w:after="0"/>
              <w:rPr>
                <w:sz w:val="14"/>
                <w:szCs w:val="14"/>
                <w:color w:val="auto"/>
              </w:rPr>
            </w:pPr>
          </w:p>
        </w:tc>
        <w:tc>
          <w:tcPr>
            <w:tcW w:w="1200" w:type="dxa"/>
            <w:vAlign w:val="bottom"/>
            <w:tcBorders>
              <w:right w:val="single" w:sz="8" w:color="auto"/>
            </w:tcBorders>
            <w:shd w:val="clear" w:color="auto" w:fill="D9D9D9"/>
          </w:tcPr>
          <w:p>
            <w:pPr>
              <w:spacing w:after="0"/>
              <w:rPr>
                <w:sz w:val="14"/>
                <w:szCs w:val="14"/>
                <w:color w:val="auto"/>
              </w:rPr>
            </w:pPr>
          </w:p>
        </w:tc>
        <w:tc>
          <w:tcPr>
            <w:tcW w:w="2440" w:type="dxa"/>
            <w:vAlign w:val="bottom"/>
            <w:tcBorders>
              <w:right w:val="single" w:sz="8" w:color="auto"/>
            </w:tcBorders>
            <w:vMerge w:val="restart"/>
            <w:shd w:val="clear" w:color="auto" w:fill="D9D9D9"/>
          </w:tcPr>
          <w:p>
            <w:pPr>
              <w:jc w:val="center"/>
              <w:spacing w:after="0" w:line="207" w:lineRule="exact"/>
              <w:rPr>
                <w:sz w:val="20"/>
                <w:szCs w:val="20"/>
                <w:color w:val="auto"/>
              </w:rPr>
            </w:pPr>
            <w:r>
              <w:rPr>
                <w:rFonts w:ascii="Times New Roman" w:cs="Times New Roman" w:eastAsia="Times New Roman" w:hAnsi="Times New Roman"/>
                <w:sz w:val="21"/>
                <w:szCs w:val="21"/>
                <w:b w:val="1"/>
                <w:bCs w:val="1"/>
                <w:color w:val="auto"/>
                <w:w w:val="97"/>
              </w:rPr>
              <w:t>Daily Rate Loans and</w:t>
            </w:r>
          </w:p>
        </w:tc>
        <w:tc>
          <w:tcPr>
            <w:tcW w:w="1100" w:type="dxa"/>
            <w:vAlign w:val="bottom"/>
            <w:tcBorders>
              <w:right w:val="single" w:sz="8" w:color="auto"/>
            </w:tcBorders>
            <w:shd w:val="clear" w:color="auto" w:fill="D9D9D9"/>
          </w:tcPr>
          <w:p>
            <w:pPr>
              <w:spacing w:after="0"/>
              <w:rPr>
                <w:sz w:val="14"/>
                <w:szCs w:val="14"/>
                <w:color w:val="auto"/>
              </w:rPr>
            </w:pPr>
          </w:p>
        </w:tc>
        <w:tc>
          <w:tcPr>
            <w:tcW w:w="1100" w:type="dxa"/>
            <w:vAlign w:val="bottom"/>
            <w:tcBorders>
              <w:right w:val="single" w:sz="8" w:color="auto"/>
            </w:tcBorders>
            <w:vMerge w:val="continue"/>
            <w:shd w:val="clear" w:color="auto" w:fill="D9D9D9"/>
          </w:tcPr>
          <w:p>
            <w:pPr>
              <w:spacing w:after="0"/>
              <w:rPr>
                <w:sz w:val="14"/>
                <w:szCs w:val="14"/>
                <w:color w:val="auto"/>
              </w:rPr>
            </w:pPr>
          </w:p>
        </w:tc>
        <w:tc>
          <w:tcPr>
            <w:tcW w:w="1100" w:type="dxa"/>
            <w:vAlign w:val="bottom"/>
            <w:tcBorders>
              <w:right w:val="single" w:sz="8" w:color="auto"/>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1080" w:type="dxa"/>
            <w:vAlign w:val="bottom"/>
            <w:tcBorders>
              <w:left w:val="single" w:sz="8" w:color="auto"/>
              <w:right w:val="single" w:sz="8" w:color="auto"/>
            </w:tcBorders>
            <w:shd w:val="clear" w:color="auto" w:fill="D9D9D9"/>
          </w:tcPr>
          <w:p>
            <w:pPr>
              <w:spacing w:after="0"/>
              <w:rPr>
                <w:sz w:val="3"/>
                <w:szCs w:val="3"/>
                <w:color w:val="auto"/>
              </w:rPr>
            </w:pPr>
          </w:p>
        </w:tc>
        <w:tc>
          <w:tcPr>
            <w:tcW w:w="1880" w:type="dxa"/>
            <w:vAlign w:val="bottom"/>
            <w:tcBorders>
              <w:right w:val="single" w:sz="8" w:color="auto"/>
            </w:tcBorders>
            <w:shd w:val="clear" w:color="auto" w:fill="D9D9D9"/>
          </w:tcPr>
          <w:p>
            <w:pPr>
              <w:spacing w:after="0"/>
              <w:rPr>
                <w:sz w:val="3"/>
                <w:szCs w:val="3"/>
                <w:color w:val="auto"/>
              </w:rPr>
            </w:pPr>
          </w:p>
        </w:tc>
        <w:tc>
          <w:tcPr>
            <w:tcW w:w="1360" w:type="dxa"/>
            <w:vAlign w:val="bottom"/>
            <w:tcBorders>
              <w:right w:val="single" w:sz="8" w:color="auto"/>
            </w:tcBorders>
            <w:shd w:val="clear" w:color="auto" w:fill="D9D9D9"/>
          </w:tcPr>
          <w:p>
            <w:pPr>
              <w:spacing w:after="0"/>
              <w:rPr>
                <w:sz w:val="3"/>
                <w:szCs w:val="3"/>
                <w:color w:val="auto"/>
              </w:rPr>
            </w:pPr>
          </w:p>
        </w:tc>
        <w:tc>
          <w:tcPr>
            <w:tcW w:w="1200" w:type="dxa"/>
            <w:vAlign w:val="bottom"/>
            <w:tcBorders>
              <w:right w:val="single" w:sz="8" w:color="auto"/>
            </w:tcBorders>
            <w:shd w:val="clear" w:color="auto" w:fill="D9D9D9"/>
          </w:tcPr>
          <w:p>
            <w:pPr>
              <w:spacing w:after="0"/>
              <w:rPr>
                <w:sz w:val="3"/>
                <w:szCs w:val="3"/>
                <w:color w:val="auto"/>
              </w:rPr>
            </w:pPr>
          </w:p>
        </w:tc>
        <w:tc>
          <w:tcPr>
            <w:tcW w:w="2440" w:type="dxa"/>
            <w:vAlign w:val="bottom"/>
            <w:tcBorders>
              <w:right w:val="single" w:sz="8" w:color="auto"/>
            </w:tcBorders>
            <w:vMerge w:val="continue"/>
            <w:shd w:val="clear" w:color="auto" w:fill="D9D9D9"/>
          </w:tcPr>
          <w:p>
            <w:pPr>
              <w:spacing w:after="0"/>
              <w:rPr>
                <w:sz w:val="3"/>
                <w:szCs w:val="3"/>
                <w:color w:val="auto"/>
              </w:rPr>
            </w:pPr>
          </w:p>
        </w:tc>
        <w:tc>
          <w:tcPr>
            <w:tcW w:w="1100" w:type="dxa"/>
            <w:vAlign w:val="bottom"/>
            <w:tcBorders>
              <w:right w:val="single" w:sz="8" w:color="auto"/>
            </w:tcBorders>
            <w:shd w:val="clear" w:color="auto" w:fill="D9D9D9"/>
          </w:tcPr>
          <w:p>
            <w:pPr>
              <w:spacing w:after="0"/>
              <w:rPr>
                <w:sz w:val="3"/>
                <w:szCs w:val="3"/>
                <w:color w:val="auto"/>
              </w:rPr>
            </w:pPr>
          </w:p>
        </w:tc>
        <w:tc>
          <w:tcPr>
            <w:tcW w:w="1100" w:type="dxa"/>
            <w:vAlign w:val="bottom"/>
            <w:tcBorders>
              <w:right w:val="single" w:sz="8" w:color="auto"/>
            </w:tcBorders>
            <w:shd w:val="clear" w:color="auto" w:fill="D9D9D9"/>
          </w:tcPr>
          <w:p>
            <w:pPr>
              <w:spacing w:after="0"/>
              <w:rPr>
                <w:sz w:val="3"/>
                <w:szCs w:val="3"/>
                <w:color w:val="auto"/>
              </w:rPr>
            </w:pPr>
          </w:p>
        </w:tc>
        <w:tc>
          <w:tcPr>
            <w:tcW w:w="1100" w:type="dxa"/>
            <w:vAlign w:val="bottom"/>
            <w:tcBorders>
              <w:right w:val="single" w:sz="8" w:color="auto"/>
            </w:tcBorders>
            <w:shd w:val="clear" w:color="auto" w:fill="D9D9D9"/>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1080" w:type="dxa"/>
            <w:vAlign w:val="bottom"/>
            <w:tcBorders>
              <w:left w:val="single" w:sz="8" w:color="auto"/>
              <w:bottom w:val="single" w:sz="8" w:color="auto"/>
              <w:right w:val="single" w:sz="8" w:color="auto"/>
            </w:tcBorders>
            <w:shd w:val="clear" w:color="auto" w:fill="D9D9D9"/>
          </w:tcPr>
          <w:p>
            <w:pPr>
              <w:spacing w:after="0"/>
              <w:rPr>
                <w:sz w:val="23"/>
                <w:szCs w:val="23"/>
                <w:color w:val="auto"/>
              </w:rPr>
            </w:pPr>
          </w:p>
        </w:tc>
        <w:tc>
          <w:tcPr>
            <w:tcW w:w="1880" w:type="dxa"/>
            <w:vAlign w:val="bottom"/>
            <w:tcBorders>
              <w:bottom w:val="single" w:sz="8" w:color="auto"/>
              <w:right w:val="single" w:sz="8" w:color="auto"/>
            </w:tcBorders>
            <w:shd w:val="clear" w:color="auto" w:fill="D9D9D9"/>
          </w:tcPr>
          <w:p>
            <w:pPr>
              <w:spacing w:after="0"/>
              <w:rPr>
                <w:sz w:val="23"/>
                <w:szCs w:val="23"/>
                <w:color w:val="auto"/>
              </w:rPr>
            </w:pPr>
          </w:p>
        </w:tc>
        <w:tc>
          <w:tcPr>
            <w:tcW w:w="1360" w:type="dxa"/>
            <w:vAlign w:val="bottom"/>
            <w:tcBorders>
              <w:bottom w:val="single" w:sz="8" w:color="auto"/>
              <w:right w:val="single" w:sz="8" w:color="auto"/>
            </w:tcBorders>
            <w:shd w:val="clear" w:color="auto" w:fill="D9D9D9"/>
          </w:tcPr>
          <w:p>
            <w:pPr>
              <w:spacing w:after="0"/>
              <w:rPr>
                <w:sz w:val="23"/>
                <w:szCs w:val="23"/>
                <w:color w:val="auto"/>
              </w:rPr>
            </w:pPr>
          </w:p>
        </w:tc>
        <w:tc>
          <w:tcPr>
            <w:tcW w:w="1200" w:type="dxa"/>
            <w:vAlign w:val="bottom"/>
            <w:tcBorders>
              <w:bottom w:val="single" w:sz="8" w:color="auto"/>
              <w:right w:val="single" w:sz="8" w:color="auto"/>
            </w:tcBorders>
            <w:shd w:val="clear" w:color="auto" w:fill="D9D9D9"/>
          </w:tcPr>
          <w:p>
            <w:pPr>
              <w:spacing w:after="0"/>
              <w:rPr>
                <w:sz w:val="23"/>
                <w:szCs w:val="23"/>
                <w:color w:val="auto"/>
              </w:rPr>
            </w:pPr>
          </w:p>
        </w:tc>
        <w:tc>
          <w:tcPr>
            <w:tcW w:w="24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Letters of Credit</w:t>
            </w:r>
          </w:p>
        </w:tc>
        <w:tc>
          <w:tcPr>
            <w:tcW w:w="1100" w:type="dxa"/>
            <w:vAlign w:val="bottom"/>
            <w:tcBorders>
              <w:bottom w:val="single" w:sz="8" w:color="auto"/>
              <w:right w:val="single" w:sz="8" w:color="auto"/>
            </w:tcBorders>
            <w:shd w:val="clear" w:color="auto" w:fill="D9D9D9"/>
          </w:tcPr>
          <w:p>
            <w:pPr>
              <w:spacing w:after="0"/>
              <w:rPr>
                <w:sz w:val="23"/>
                <w:szCs w:val="23"/>
                <w:color w:val="auto"/>
              </w:rPr>
            </w:pPr>
          </w:p>
        </w:tc>
        <w:tc>
          <w:tcPr>
            <w:tcW w:w="1100" w:type="dxa"/>
            <w:vAlign w:val="bottom"/>
            <w:tcBorders>
              <w:bottom w:val="single" w:sz="8" w:color="auto"/>
              <w:right w:val="single" w:sz="8" w:color="auto"/>
            </w:tcBorders>
            <w:shd w:val="clear" w:color="auto" w:fill="D9D9D9"/>
          </w:tcPr>
          <w:p>
            <w:pPr>
              <w:spacing w:after="0"/>
              <w:rPr>
                <w:sz w:val="23"/>
                <w:szCs w:val="23"/>
                <w:color w:val="auto"/>
              </w:rPr>
            </w:pPr>
          </w:p>
        </w:tc>
        <w:tc>
          <w:tcPr>
            <w:tcW w:w="1100" w:type="dxa"/>
            <w:vAlign w:val="bottom"/>
            <w:tcBorders>
              <w:bottom w:val="single" w:sz="8" w:color="auto"/>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1</w:t>
            </w:r>
          </w:p>
        </w:tc>
        <w:tc>
          <w:tcPr>
            <w:tcW w:w="18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21"/>
                <w:szCs w:val="21"/>
                <w:color w:val="auto"/>
                <w:w w:val="98"/>
              </w:rPr>
              <w:t>Less than or equal to</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 A- / A3</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0.075%</w:t>
            </w:r>
          </w:p>
        </w:tc>
        <w:tc>
          <w:tcPr>
            <w:tcW w:w="2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5"/>
              </w:rPr>
              <w:t>0.800%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0.000%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0.750%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0.000%</w:t>
            </w:r>
          </w:p>
        </w:tc>
        <w:tc>
          <w:tcPr>
            <w:tcW w:w="0" w:type="dxa"/>
            <w:vAlign w:val="bottom"/>
          </w:tcPr>
          <w:p>
            <w:pPr>
              <w:spacing w:after="0"/>
              <w:rPr>
                <w:sz w:val="1"/>
                <w:szCs w:val="1"/>
                <w:color w:val="auto"/>
              </w:rPr>
            </w:pPr>
          </w:p>
        </w:tc>
      </w:tr>
      <w:tr>
        <w:trPr>
          <w:trHeight w:val="165"/>
        </w:trPr>
        <w:tc>
          <w:tcPr>
            <w:tcW w:w="1080" w:type="dxa"/>
            <w:vAlign w:val="bottom"/>
            <w:tcBorders>
              <w:left w:val="single" w:sz="8" w:color="auto"/>
              <w:right w:val="single" w:sz="8" w:color="auto"/>
            </w:tcBorders>
            <w:vMerge w:val="continue"/>
          </w:tcPr>
          <w:p>
            <w:pPr>
              <w:spacing w:after="0"/>
              <w:rPr>
                <w:sz w:val="14"/>
                <w:szCs w:val="14"/>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7"/>
              </w:rPr>
              <w:t>0.25x</w:t>
            </w:r>
          </w:p>
        </w:tc>
        <w:tc>
          <w:tcPr>
            <w:tcW w:w="136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244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11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1080" w:type="dxa"/>
            <w:vAlign w:val="bottom"/>
            <w:tcBorders>
              <w:left w:val="single" w:sz="8" w:color="auto"/>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vMerge w:val="continue"/>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244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2</w:t>
            </w:r>
          </w:p>
        </w:tc>
        <w:tc>
          <w:tcPr>
            <w:tcW w:w="18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21"/>
                <w:szCs w:val="21"/>
                <w:color w:val="auto"/>
                <w:w w:val="98"/>
              </w:rPr>
              <w:t>Less than or equal to</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BBB+ /Baa1</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0.100%</w:t>
            </w:r>
          </w:p>
        </w:tc>
        <w:tc>
          <w:tcPr>
            <w:tcW w:w="2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5"/>
              </w:rPr>
              <w:t>0.900%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0.000%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0.875%</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0.000%</w:t>
            </w:r>
          </w:p>
        </w:tc>
        <w:tc>
          <w:tcPr>
            <w:tcW w:w="0" w:type="dxa"/>
            <w:vAlign w:val="bottom"/>
          </w:tcPr>
          <w:p>
            <w:pPr>
              <w:spacing w:after="0"/>
              <w:rPr>
                <w:sz w:val="1"/>
                <w:szCs w:val="1"/>
                <w:color w:val="auto"/>
              </w:rPr>
            </w:pPr>
          </w:p>
        </w:tc>
      </w:tr>
      <w:tr>
        <w:trPr>
          <w:trHeight w:val="207"/>
        </w:trPr>
        <w:tc>
          <w:tcPr>
            <w:tcW w:w="1080" w:type="dxa"/>
            <w:vAlign w:val="bottom"/>
            <w:tcBorders>
              <w:left w:val="single" w:sz="8" w:color="auto"/>
              <w:right w:val="single" w:sz="8" w:color="auto"/>
            </w:tcBorders>
            <w:vMerge w:val="continue"/>
          </w:tcPr>
          <w:p>
            <w:pPr>
              <w:spacing w:after="0"/>
              <w:rPr>
                <w:sz w:val="17"/>
                <w:szCs w:val="17"/>
                <w:color w:val="auto"/>
              </w:rPr>
            </w:pPr>
          </w:p>
        </w:tc>
        <w:tc>
          <w:tcPr>
            <w:tcW w:w="1880" w:type="dxa"/>
            <w:vAlign w:val="bottom"/>
            <w:tcBorders>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1"/>
                <w:szCs w:val="21"/>
                <w:color w:val="auto"/>
                <w:w w:val="98"/>
              </w:rPr>
              <w:t>1.00x but greater than</w:t>
            </w:r>
          </w:p>
        </w:tc>
        <w:tc>
          <w:tcPr>
            <w:tcW w:w="1360" w:type="dxa"/>
            <w:vAlign w:val="bottom"/>
            <w:tcBorders>
              <w:right w:val="single" w:sz="8" w:color="auto"/>
            </w:tcBorders>
            <w:vMerge w:val="continue"/>
          </w:tcPr>
          <w:p>
            <w:pPr>
              <w:spacing w:after="0"/>
              <w:rPr>
                <w:sz w:val="17"/>
                <w:szCs w:val="17"/>
                <w:color w:val="auto"/>
              </w:rPr>
            </w:pPr>
          </w:p>
        </w:tc>
        <w:tc>
          <w:tcPr>
            <w:tcW w:w="1200" w:type="dxa"/>
            <w:vAlign w:val="bottom"/>
            <w:tcBorders>
              <w:right w:val="single" w:sz="8" w:color="auto"/>
            </w:tcBorders>
            <w:vMerge w:val="continue"/>
          </w:tcPr>
          <w:p>
            <w:pPr>
              <w:spacing w:after="0"/>
              <w:rPr>
                <w:sz w:val="17"/>
                <w:szCs w:val="17"/>
                <w:color w:val="auto"/>
              </w:rPr>
            </w:pPr>
          </w:p>
        </w:tc>
        <w:tc>
          <w:tcPr>
            <w:tcW w:w="2440" w:type="dxa"/>
            <w:vAlign w:val="bottom"/>
            <w:tcBorders>
              <w:right w:val="single" w:sz="8" w:color="auto"/>
            </w:tcBorders>
            <w:vMerge w:val="continue"/>
          </w:tcPr>
          <w:p>
            <w:pPr>
              <w:spacing w:after="0"/>
              <w:rPr>
                <w:sz w:val="17"/>
                <w:szCs w:val="17"/>
                <w:color w:val="auto"/>
              </w:rPr>
            </w:pPr>
          </w:p>
        </w:tc>
        <w:tc>
          <w:tcPr>
            <w:tcW w:w="1100" w:type="dxa"/>
            <w:vAlign w:val="bottom"/>
            <w:tcBorders>
              <w:right w:val="single" w:sz="8" w:color="auto"/>
            </w:tcBorders>
            <w:vMerge w:val="continue"/>
          </w:tcPr>
          <w:p>
            <w:pPr>
              <w:spacing w:after="0"/>
              <w:rPr>
                <w:sz w:val="17"/>
                <w:szCs w:val="17"/>
                <w:color w:val="auto"/>
              </w:rPr>
            </w:pPr>
          </w:p>
        </w:tc>
        <w:tc>
          <w:tcPr>
            <w:tcW w:w="1100" w:type="dxa"/>
            <w:vAlign w:val="bottom"/>
            <w:tcBorders>
              <w:right w:val="single" w:sz="8" w:color="auto"/>
            </w:tcBorders>
            <w:vMerge w:val="continue"/>
          </w:tcPr>
          <w:p>
            <w:pPr>
              <w:spacing w:after="0"/>
              <w:rPr>
                <w:sz w:val="17"/>
                <w:szCs w:val="17"/>
                <w:color w:val="auto"/>
              </w:rPr>
            </w:pPr>
          </w:p>
        </w:tc>
        <w:tc>
          <w:tcPr>
            <w:tcW w:w="11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080" w:type="dxa"/>
            <w:vAlign w:val="bottom"/>
            <w:tcBorders>
              <w:left w:val="single" w:sz="8" w:color="auto"/>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0.25x</w:t>
            </w:r>
          </w:p>
        </w:tc>
        <w:tc>
          <w:tcPr>
            <w:tcW w:w="1360" w:type="dxa"/>
            <w:vAlign w:val="bottom"/>
            <w:tcBorders>
              <w:bottom w:val="single" w:sz="8" w:color="auto"/>
              <w:right w:val="single" w:sz="8" w:color="auto"/>
            </w:tcBorders>
          </w:tcPr>
          <w:p>
            <w:pPr>
              <w:spacing w:after="0"/>
              <w:rPr>
                <w:sz w:val="23"/>
                <w:szCs w:val="23"/>
                <w:color w:val="auto"/>
              </w:rPr>
            </w:pPr>
          </w:p>
        </w:tc>
        <w:tc>
          <w:tcPr>
            <w:tcW w:w="1200" w:type="dxa"/>
            <w:vAlign w:val="bottom"/>
            <w:tcBorders>
              <w:bottom w:val="single" w:sz="8" w:color="auto"/>
              <w:right w:val="single" w:sz="8" w:color="auto"/>
            </w:tcBorders>
          </w:tcPr>
          <w:p>
            <w:pPr>
              <w:spacing w:after="0"/>
              <w:rPr>
                <w:sz w:val="23"/>
                <w:szCs w:val="23"/>
                <w:color w:val="auto"/>
              </w:rPr>
            </w:pPr>
          </w:p>
        </w:tc>
        <w:tc>
          <w:tcPr>
            <w:tcW w:w="244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3</w:t>
            </w:r>
          </w:p>
        </w:tc>
        <w:tc>
          <w:tcPr>
            <w:tcW w:w="18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21"/>
                <w:szCs w:val="21"/>
                <w:color w:val="auto"/>
                <w:w w:val="98"/>
              </w:rPr>
              <w:t>Less than or equal to</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7"/>
              </w:rPr>
              <w:t>BBB /Baa2</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0.125%</w:t>
            </w:r>
          </w:p>
        </w:tc>
        <w:tc>
          <w:tcPr>
            <w:tcW w:w="2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5"/>
              </w:rPr>
              <w:t>1.000%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0.000%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1.000%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0.000%</w:t>
            </w:r>
          </w:p>
        </w:tc>
        <w:tc>
          <w:tcPr>
            <w:tcW w:w="0" w:type="dxa"/>
            <w:vAlign w:val="bottom"/>
          </w:tcPr>
          <w:p>
            <w:pPr>
              <w:spacing w:after="0"/>
              <w:rPr>
                <w:sz w:val="1"/>
                <w:szCs w:val="1"/>
                <w:color w:val="auto"/>
              </w:rPr>
            </w:pPr>
          </w:p>
        </w:tc>
      </w:tr>
      <w:tr>
        <w:trPr>
          <w:trHeight w:val="207"/>
        </w:trPr>
        <w:tc>
          <w:tcPr>
            <w:tcW w:w="1080" w:type="dxa"/>
            <w:vAlign w:val="bottom"/>
            <w:tcBorders>
              <w:left w:val="single" w:sz="8" w:color="auto"/>
              <w:right w:val="single" w:sz="8" w:color="auto"/>
            </w:tcBorders>
            <w:vMerge w:val="continue"/>
          </w:tcPr>
          <w:p>
            <w:pPr>
              <w:spacing w:after="0"/>
              <w:rPr>
                <w:sz w:val="17"/>
                <w:szCs w:val="17"/>
                <w:color w:val="auto"/>
              </w:rPr>
            </w:pPr>
          </w:p>
        </w:tc>
        <w:tc>
          <w:tcPr>
            <w:tcW w:w="1880" w:type="dxa"/>
            <w:vAlign w:val="bottom"/>
            <w:tcBorders>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1"/>
                <w:szCs w:val="21"/>
                <w:color w:val="auto"/>
                <w:w w:val="98"/>
              </w:rPr>
              <w:t>1.50x but greater than</w:t>
            </w:r>
          </w:p>
        </w:tc>
        <w:tc>
          <w:tcPr>
            <w:tcW w:w="1360" w:type="dxa"/>
            <w:vAlign w:val="bottom"/>
            <w:tcBorders>
              <w:right w:val="single" w:sz="8" w:color="auto"/>
            </w:tcBorders>
            <w:vMerge w:val="continue"/>
          </w:tcPr>
          <w:p>
            <w:pPr>
              <w:spacing w:after="0"/>
              <w:rPr>
                <w:sz w:val="17"/>
                <w:szCs w:val="17"/>
                <w:color w:val="auto"/>
              </w:rPr>
            </w:pPr>
          </w:p>
        </w:tc>
        <w:tc>
          <w:tcPr>
            <w:tcW w:w="1200" w:type="dxa"/>
            <w:vAlign w:val="bottom"/>
            <w:tcBorders>
              <w:right w:val="single" w:sz="8" w:color="auto"/>
            </w:tcBorders>
            <w:vMerge w:val="continue"/>
          </w:tcPr>
          <w:p>
            <w:pPr>
              <w:spacing w:after="0"/>
              <w:rPr>
                <w:sz w:val="17"/>
                <w:szCs w:val="17"/>
                <w:color w:val="auto"/>
              </w:rPr>
            </w:pPr>
          </w:p>
        </w:tc>
        <w:tc>
          <w:tcPr>
            <w:tcW w:w="2440" w:type="dxa"/>
            <w:vAlign w:val="bottom"/>
            <w:tcBorders>
              <w:right w:val="single" w:sz="8" w:color="auto"/>
            </w:tcBorders>
            <w:vMerge w:val="continue"/>
          </w:tcPr>
          <w:p>
            <w:pPr>
              <w:spacing w:after="0"/>
              <w:rPr>
                <w:sz w:val="17"/>
                <w:szCs w:val="17"/>
                <w:color w:val="auto"/>
              </w:rPr>
            </w:pPr>
          </w:p>
        </w:tc>
        <w:tc>
          <w:tcPr>
            <w:tcW w:w="1100" w:type="dxa"/>
            <w:vAlign w:val="bottom"/>
            <w:tcBorders>
              <w:right w:val="single" w:sz="8" w:color="auto"/>
            </w:tcBorders>
            <w:vMerge w:val="continue"/>
          </w:tcPr>
          <w:p>
            <w:pPr>
              <w:spacing w:after="0"/>
              <w:rPr>
                <w:sz w:val="17"/>
                <w:szCs w:val="17"/>
                <w:color w:val="auto"/>
              </w:rPr>
            </w:pPr>
          </w:p>
        </w:tc>
        <w:tc>
          <w:tcPr>
            <w:tcW w:w="1100" w:type="dxa"/>
            <w:vAlign w:val="bottom"/>
            <w:tcBorders>
              <w:right w:val="single" w:sz="8" w:color="auto"/>
            </w:tcBorders>
            <w:vMerge w:val="continue"/>
          </w:tcPr>
          <w:p>
            <w:pPr>
              <w:spacing w:after="0"/>
              <w:rPr>
                <w:sz w:val="17"/>
                <w:szCs w:val="17"/>
                <w:color w:val="auto"/>
              </w:rPr>
            </w:pPr>
          </w:p>
        </w:tc>
        <w:tc>
          <w:tcPr>
            <w:tcW w:w="11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080" w:type="dxa"/>
            <w:vAlign w:val="bottom"/>
            <w:tcBorders>
              <w:left w:val="single" w:sz="8" w:color="auto"/>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1.00x</w:t>
            </w:r>
          </w:p>
        </w:tc>
        <w:tc>
          <w:tcPr>
            <w:tcW w:w="1360" w:type="dxa"/>
            <w:vAlign w:val="bottom"/>
            <w:tcBorders>
              <w:bottom w:val="single" w:sz="8" w:color="auto"/>
              <w:right w:val="single" w:sz="8" w:color="auto"/>
            </w:tcBorders>
          </w:tcPr>
          <w:p>
            <w:pPr>
              <w:spacing w:after="0"/>
              <w:rPr>
                <w:sz w:val="23"/>
                <w:szCs w:val="23"/>
                <w:color w:val="auto"/>
              </w:rPr>
            </w:pPr>
          </w:p>
        </w:tc>
        <w:tc>
          <w:tcPr>
            <w:tcW w:w="1200" w:type="dxa"/>
            <w:vAlign w:val="bottom"/>
            <w:tcBorders>
              <w:bottom w:val="single" w:sz="8" w:color="auto"/>
              <w:right w:val="single" w:sz="8" w:color="auto"/>
            </w:tcBorders>
          </w:tcPr>
          <w:p>
            <w:pPr>
              <w:spacing w:after="0"/>
              <w:rPr>
                <w:sz w:val="23"/>
                <w:szCs w:val="23"/>
                <w:color w:val="auto"/>
              </w:rPr>
            </w:pPr>
          </w:p>
        </w:tc>
        <w:tc>
          <w:tcPr>
            <w:tcW w:w="244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rPr>
              <w:t>4</w:t>
            </w:r>
          </w:p>
        </w:tc>
        <w:tc>
          <w:tcPr>
            <w:tcW w:w="18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21"/>
                <w:szCs w:val="21"/>
                <w:color w:val="auto"/>
                <w:w w:val="98"/>
              </w:rPr>
              <w:t>Less than or equal to</w:t>
            </w:r>
          </w:p>
        </w:tc>
        <w:tc>
          <w:tcPr>
            <w:tcW w:w="1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BBB- /Baa3</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0.175%</w:t>
            </w:r>
          </w:p>
        </w:tc>
        <w:tc>
          <w:tcPr>
            <w:tcW w:w="2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5"/>
              </w:rPr>
              <w:t>1.200%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0.200%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1.250%</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1"/>
                <w:szCs w:val="21"/>
                <w:color w:val="auto"/>
                <w:w w:val="98"/>
              </w:rPr>
              <w:t>0.250%</w:t>
            </w:r>
          </w:p>
        </w:tc>
        <w:tc>
          <w:tcPr>
            <w:tcW w:w="0" w:type="dxa"/>
            <w:vAlign w:val="bottom"/>
          </w:tcPr>
          <w:p>
            <w:pPr>
              <w:spacing w:after="0"/>
              <w:rPr>
                <w:sz w:val="1"/>
                <w:szCs w:val="1"/>
                <w:color w:val="auto"/>
              </w:rPr>
            </w:pPr>
          </w:p>
        </w:tc>
      </w:tr>
      <w:tr>
        <w:trPr>
          <w:trHeight w:val="207"/>
        </w:trPr>
        <w:tc>
          <w:tcPr>
            <w:tcW w:w="1080" w:type="dxa"/>
            <w:vAlign w:val="bottom"/>
            <w:tcBorders>
              <w:left w:val="single" w:sz="8" w:color="auto"/>
              <w:right w:val="single" w:sz="8" w:color="auto"/>
            </w:tcBorders>
            <w:vMerge w:val="continue"/>
          </w:tcPr>
          <w:p>
            <w:pPr>
              <w:spacing w:after="0"/>
              <w:rPr>
                <w:sz w:val="17"/>
                <w:szCs w:val="17"/>
                <w:color w:val="auto"/>
              </w:rPr>
            </w:pPr>
          </w:p>
        </w:tc>
        <w:tc>
          <w:tcPr>
            <w:tcW w:w="1880" w:type="dxa"/>
            <w:vAlign w:val="bottom"/>
            <w:tcBorders>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21"/>
                <w:szCs w:val="21"/>
                <w:color w:val="auto"/>
                <w:w w:val="98"/>
              </w:rPr>
              <w:t>2.00x but greater than</w:t>
            </w:r>
          </w:p>
        </w:tc>
        <w:tc>
          <w:tcPr>
            <w:tcW w:w="1360" w:type="dxa"/>
            <w:vAlign w:val="bottom"/>
            <w:tcBorders>
              <w:right w:val="single" w:sz="8" w:color="auto"/>
            </w:tcBorders>
            <w:vMerge w:val="continue"/>
          </w:tcPr>
          <w:p>
            <w:pPr>
              <w:spacing w:after="0"/>
              <w:rPr>
                <w:sz w:val="17"/>
                <w:szCs w:val="17"/>
                <w:color w:val="auto"/>
              </w:rPr>
            </w:pPr>
          </w:p>
        </w:tc>
        <w:tc>
          <w:tcPr>
            <w:tcW w:w="1200" w:type="dxa"/>
            <w:vAlign w:val="bottom"/>
            <w:tcBorders>
              <w:right w:val="single" w:sz="8" w:color="auto"/>
            </w:tcBorders>
            <w:vMerge w:val="continue"/>
          </w:tcPr>
          <w:p>
            <w:pPr>
              <w:spacing w:after="0"/>
              <w:rPr>
                <w:sz w:val="17"/>
                <w:szCs w:val="17"/>
                <w:color w:val="auto"/>
              </w:rPr>
            </w:pPr>
          </w:p>
        </w:tc>
        <w:tc>
          <w:tcPr>
            <w:tcW w:w="2440" w:type="dxa"/>
            <w:vAlign w:val="bottom"/>
            <w:tcBorders>
              <w:right w:val="single" w:sz="8" w:color="auto"/>
            </w:tcBorders>
            <w:vMerge w:val="continue"/>
          </w:tcPr>
          <w:p>
            <w:pPr>
              <w:spacing w:after="0"/>
              <w:rPr>
                <w:sz w:val="17"/>
                <w:szCs w:val="17"/>
                <w:color w:val="auto"/>
              </w:rPr>
            </w:pPr>
          </w:p>
        </w:tc>
        <w:tc>
          <w:tcPr>
            <w:tcW w:w="1100" w:type="dxa"/>
            <w:vAlign w:val="bottom"/>
            <w:tcBorders>
              <w:right w:val="single" w:sz="8" w:color="auto"/>
            </w:tcBorders>
            <w:vMerge w:val="continue"/>
          </w:tcPr>
          <w:p>
            <w:pPr>
              <w:spacing w:after="0"/>
              <w:rPr>
                <w:sz w:val="17"/>
                <w:szCs w:val="17"/>
                <w:color w:val="auto"/>
              </w:rPr>
            </w:pPr>
          </w:p>
        </w:tc>
        <w:tc>
          <w:tcPr>
            <w:tcW w:w="1100" w:type="dxa"/>
            <w:vAlign w:val="bottom"/>
            <w:tcBorders>
              <w:right w:val="single" w:sz="8" w:color="auto"/>
            </w:tcBorders>
            <w:vMerge w:val="continue"/>
          </w:tcPr>
          <w:p>
            <w:pPr>
              <w:spacing w:after="0"/>
              <w:rPr>
                <w:sz w:val="17"/>
                <w:szCs w:val="17"/>
                <w:color w:val="auto"/>
              </w:rPr>
            </w:pPr>
          </w:p>
        </w:tc>
        <w:tc>
          <w:tcPr>
            <w:tcW w:w="11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080" w:type="dxa"/>
            <w:vAlign w:val="bottom"/>
            <w:tcBorders>
              <w:left w:val="single" w:sz="8" w:color="auto"/>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1.50x</w:t>
            </w:r>
          </w:p>
        </w:tc>
        <w:tc>
          <w:tcPr>
            <w:tcW w:w="1360" w:type="dxa"/>
            <w:vAlign w:val="bottom"/>
            <w:tcBorders>
              <w:bottom w:val="single" w:sz="8" w:color="auto"/>
              <w:right w:val="single" w:sz="8" w:color="auto"/>
            </w:tcBorders>
          </w:tcPr>
          <w:p>
            <w:pPr>
              <w:spacing w:after="0"/>
              <w:rPr>
                <w:sz w:val="23"/>
                <w:szCs w:val="23"/>
                <w:color w:val="auto"/>
              </w:rPr>
            </w:pPr>
          </w:p>
        </w:tc>
        <w:tc>
          <w:tcPr>
            <w:tcW w:w="1200" w:type="dxa"/>
            <w:vAlign w:val="bottom"/>
            <w:tcBorders>
              <w:bottom w:val="single" w:sz="8" w:color="auto"/>
              <w:right w:val="single" w:sz="8" w:color="auto"/>
            </w:tcBorders>
          </w:tcPr>
          <w:p>
            <w:pPr>
              <w:spacing w:after="0"/>
              <w:rPr>
                <w:sz w:val="23"/>
                <w:szCs w:val="23"/>
                <w:color w:val="auto"/>
              </w:rPr>
            </w:pPr>
          </w:p>
        </w:tc>
        <w:tc>
          <w:tcPr>
            <w:tcW w:w="244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11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rPr>
              <w:t>5</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Greater than 2.00x</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&lt; BB+ /Ba1</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0.225%</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5"/>
              </w:rPr>
              <w:t>1.400%</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0.400%</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1.500%</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0.500%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jc w:val="both"/>
        <w:ind w:right="20" w:firstLine="620"/>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 Rating</w:t>
      </w:r>
      <w:r>
        <w:rPr>
          <w:rFonts w:ascii="Times New Roman" w:cs="Times New Roman" w:eastAsia="Times New Roman" w:hAnsi="Times New Roman"/>
          <w:sz w:val="21"/>
          <w:szCs w:val="21"/>
          <w:color w:val="auto"/>
        </w:rPr>
        <w:t>” means, as of any date of determination, the rating as determined by either S&amp;P or Moody’s (collectively, the “</w:t>
      </w:r>
      <w:r>
        <w:rPr>
          <w:rFonts w:ascii="Times New Roman" w:cs="Times New Roman" w:eastAsia="Times New Roman" w:hAnsi="Times New Roman"/>
          <w:sz w:val="21"/>
          <w:szCs w:val="21"/>
          <w:u w:val="single" w:color="auto"/>
          <w:color w:val="auto"/>
        </w:rPr>
        <w:t>Debt Ratings</w:t>
      </w:r>
      <w:r>
        <w:rPr>
          <w:rFonts w:ascii="Times New Roman" w:cs="Times New Roman" w:eastAsia="Times New Roman" w:hAnsi="Times New Roman"/>
          <w:sz w:val="21"/>
          <w:szCs w:val="21"/>
          <w:color w:val="auto"/>
        </w:rPr>
        <w:t xml:space="preserve">”) of Toro’s non-credit-enhanced, senior unsecured long-term debt;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Debt Rating is issued by each of the foregoing rating agencies and such Debt Ratings differ, then the higher of such Debt Ratings shall apply (with the Debt Rating for Pricing Level 1 being the highest and the Debt Rating for Pricing Level 5 being the lowest), unless there is a split in Debt Ratings of more than one level, in which case the Pricing Level that is one level higher than the Pricing Level of the lower Debt Rating shall apply.</w:t>
      </w:r>
    </w:p>
    <w:p>
      <w:pPr>
        <w:spacing w:after="0" w:line="149" w:lineRule="exact"/>
        <w:rPr>
          <w:sz w:val="20"/>
          <w:szCs w:val="20"/>
          <w:color w:val="auto"/>
        </w:rPr>
      </w:pPr>
    </w:p>
    <w:p>
      <w:pPr>
        <w:jc w:val="both"/>
        <w:ind w:right="20"/>
        <w:spacing w:after="0" w:line="210" w:lineRule="auto"/>
        <w:rPr>
          <w:sz w:val="20"/>
          <w:szCs w:val="20"/>
          <w:color w:val="auto"/>
        </w:rPr>
      </w:pPr>
      <w:r>
        <w:rPr>
          <w:rFonts w:ascii="Times New Roman" w:cs="Times New Roman" w:eastAsia="Times New Roman" w:hAnsi="Times New Roman"/>
          <w:sz w:val="21"/>
          <w:szCs w:val="21"/>
          <w:color w:val="auto"/>
        </w:rPr>
        <w:t xml:space="preserve">If, as of any date of determination, the Leverage Ratio for such period corresponds to a Pricing Level different than that Pricing Level corresponding to the Debt Rating issued at the time of calculation of such ratio (provided that for purposes of the Closing Date, the Debt Rating shall be the Debt Rating specified in the certificate delivered pursuant to </w:t>
      </w:r>
      <w:r>
        <w:rPr>
          <w:rFonts w:ascii="Times New Roman" w:cs="Times New Roman" w:eastAsia="Times New Roman" w:hAnsi="Times New Roman"/>
          <w:sz w:val="21"/>
          <w:szCs w:val="21"/>
          <w:u w:val="single" w:color="auto"/>
          <w:color w:val="auto"/>
        </w:rPr>
        <w:t>Section 4.01(a)(viii)</w:t>
      </w:r>
      <w:r>
        <w:rPr>
          <w:rFonts w:ascii="Times New Roman" w:cs="Times New Roman" w:eastAsia="Times New Roman" w:hAnsi="Times New Roman"/>
          <w:sz w:val="21"/>
          <w:szCs w:val="21"/>
          <w:color w:val="auto"/>
        </w:rPr>
        <w:t xml:space="preserve">), then the lower of such two Pricing Levels (with Pricing Level 1 being the lowest and the Pricing Level 5 being the highest) will apply, unless there is a split of more than one level in corresponding Pricing Levels, in which case the Pricing Level that is one level higher than the lower Pricing Level will apply. Thereafter, each change in the Applicable Rate resulting from a publicly announced change in the Debt Rating will be effective during the period commencing on the date of the public announcement thereof and ending on the date immediately preceding the effective date of the next such change, and any change in the Applicable Rate resulting from a change in the Leverage Ratio for such period will become effective as of the first Business Day after the date on which such Compliance Certificate is delivered pursuant to </w:t>
      </w:r>
      <w:r>
        <w:rPr>
          <w:rFonts w:ascii="Times New Roman" w:cs="Times New Roman" w:eastAsia="Times New Roman" w:hAnsi="Times New Roman"/>
          <w:sz w:val="21"/>
          <w:szCs w:val="21"/>
          <w:u w:val="single" w:color="auto"/>
          <w:color w:val="auto"/>
        </w:rPr>
        <w:t>Section 6.02(a)</w:t>
      </w:r>
      <w:r>
        <w:rPr>
          <w:rFonts w:ascii="Times New Roman" w:cs="Times New Roman" w:eastAsia="Times New Roman" w:hAnsi="Times New Roman"/>
          <w:sz w:val="21"/>
          <w:szCs w:val="21"/>
          <w:color w:val="auto"/>
        </w:rPr>
        <w:t xml:space="preserve">; provided,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 Compliance Certificate is not delivered when due in accordance with such Section, then Pricing Level 5 will be the applicable Pricing Level corresponding to such ratio for determination as set forth above of the Applicable Rate as of the first Business Day after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60"/>
          </w:cols>
          <w:pgMar w:left="320" w:top="1386" w:right="319" w:bottom="1440" w:gutter="0" w:footer="0" w:header="0"/>
        </w:sectPr>
      </w:pPr>
    </w:p>
    <w:bookmarkStart w:id="75" w:name="page76"/>
    <w:bookmarkEnd w:id="75"/>
    <w:p>
      <w:pPr>
        <w:jc w:val="both"/>
        <w:spacing w:after="0" w:line="225" w:lineRule="auto"/>
        <w:rPr>
          <w:sz w:val="20"/>
          <w:szCs w:val="20"/>
          <w:color w:val="auto"/>
        </w:rPr>
      </w:pPr>
      <w:r>
        <w:rPr>
          <w:rFonts w:ascii="Times New Roman" w:cs="Times New Roman" w:eastAsia="Times New Roman" w:hAnsi="Times New Roman"/>
          <w:sz w:val="21"/>
          <w:szCs w:val="21"/>
          <w:color w:val="auto"/>
        </w:rPr>
        <w:t>on which such Compliance Certificate was required to have been delivered. In the event that a Debt Rating has not been issued as of any date of determination, the Pricing Level corresponding to the Leverage Ratio for such period as of such date of determination shall apply. In the event that only one Debt Rating has been issued as of any date of determination, that Debt Rating shall apply.</w:t>
      </w:r>
    </w:p>
    <w:p>
      <w:pPr>
        <w:spacing w:after="0" w:line="148" w:lineRule="exact"/>
        <w:rPr>
          <w:sz w:val="20"/>
          <w:szCs w:val="20"/>
          <w:color w:val="auto"/>
        </w:rPr>
      </w:pPr>
    </w:p>
    <w:p>
      <w:pPr>
        <w:jc w:val="both"/>
        <w:ind w:firstLine="620"/>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Reference Rate</w:t>
      </w:r>
      <w:r>
        <w:rPr>
          <w:rFonts w:ascii="Times New Roman" w:cs="Times New Roman" w:eastAsia="Times New Roman" w:hAnsi="Times New Roman"/>
          <w:sz w:val="21"/>
          <w:szCs w:val="21"/>
          <w:color w:val="auto"/>
        </w:rPr>
        <w:t xml:space="preserve">” means, for any Term SOFR Loan, the Term SOFR Screen Rate, for any Alternative Currency Term Rate Loan denominated in Euro, EURIBOR, for any Alternative Currency Term Rate Loan denominated in Canadian Dollars, CDOR, for any Alternative Currency Term Rate Loan denominated in Australian Dollars, BBSY, for any Alternative Currency Term Rate Loan denominated in Mexican Pesos, TIIE, for any Alternative Currency Daily Rate Loan denominated in Sterling, SONIA, and for any other Alternative Currency Loans denominated in any other Alternative Currency that is approved in accordance with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1.05</w:t>
      </w:r>
      <w:r>
        <w:rPr>
          <w:rFonts w:ascii="Times New Roman" w:cs="Times New Roman" w:eastAsia="Times New Roman" w:hAnsi="Times New Roman"/>
          <w:sz w:val="21"/>
          <w:szCs w:val="21"/>
          <w:color w:val="auto"/>
        </w:rPr>
        <w:t xml:space="preserve">, such Alternative Currency for any Alternative Currency Loans denominated in an Alternative Currency approved in accordance with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xml:space="preserve">, the rate per annum as designated with respect to such Alternative Currency, and with respect to any Successor Rate determined in accordance with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such Successor Rate, as applicable.</w:t>
      </w:r>
    </w:p>
    <w:p>
      <w:pPr>
        <w:spacing w:after="0" w:line="146"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Revolving Credit Percentage</w:t>
      </w:r>
      <w:r>
        <w:rPr>
          <w:rFonts w:ascii="Times New Roman" w:cs="Times New Roman" w:eastAsia="Times New Roman" w:hAnsi="Times New Roman"/>
          <w:sz w:val="21"/>
          <w:szCs w:val="21"/>
          <w:color w:val="auto"/>
        </w:rPr>
        <w:t>” means, with respect to any Revolving Credit Lender at any time, such Revolving Credit Lender’s Applicable Percentage in respect of the Revolving Credit Facility at such time.</w:t>
      </w:r>
    </w:p>
    <w:p>
      <w:pPr>
        <w:spacing w:after="0" w:line="145" w:lineRule="exact"/>
        <w:rPr>
          <w:sz w:val="20"/>
          <w:szCs w:val="20"/>
          <w:color w:val="auto"/>
        </w:rPr>
      </w:pPr>
    </w:p>
    <w:p>
      <w:pPr>
        <w:jc w:val="both"/>
        <w:ind w:firstLine="62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Time</w:t>
      </w:r>
      <w:r>
        <w:rPr>
          <w:rFonts w:ascii="Times New Roman" w:cs="Times New Roman" w:eastAsia="Times New Roman" w:hAnsi="Times New Roman"/>
          <w:sz w:val="20"/>
          <w:szCs w:val="20"/>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Applicant Borrower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Appropriate Lender</w:t>
      </w:r>
      <w:r>
        <w:rPr>
          <w:rFonts w:ascii="Times New Roman" w:cs="Times New Roman" w:eastAsia="Times New Roman" w:hAnsi="Times New Roman"/>
          <w:sz w:val="21"/>
          <w:szCs w:val="21"/>
          <w:color w:val="auto"/>
        </w:rPr>
        <w:t xml:space="preserve">” means, at any time, (a) with respect to any of the Term Facility or the Revolving Credit Facility, a Lender that has a Commitment with respect to such Facility or holds a Term Loan or a Revolving Credit Loan, respectively, at such time, (b) with respect to the Letter of Credit Sublimit, (i) the L/C Issuer and (ii) if any Letters of Credit have been issued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2.03(a),</w:t>
      </w:r>
      <w:r>
        <w:rPr>
          <w:rFonts w:ascii="Times New Roman" w:cs="Times New Roman" w:eastAsia="Times New Roman" w:hAnsi="Times New Roman"/>
          <w:sz w:val="21"/>
          <w:szCs w:val="21"/>
          <w:color w:val="auto"/>
        </w:rPr>
        <w:t xml:space="preserve"> the Revolving Credit Lenders and (c) with respect to the Swing Line Sublimit, (i) the Swing Line Lender and (ii) if any Swing Line Loans are outstanding pursuant to </w:t>
      </w:r>
      <w:r>
        <w:rPr>
          <w:rFonts w:ascii="Times New Roman" w:cs="Times New Roman" w:eastAsia="Times New Roman" w:hAnsi="Times New Roman"/>
          <w:sz w:val="21"/>
          <w:szCs w:val="21"/>
          <w:u w:val="single" w:color="auto"/>
          <w:color w:val="auto"/>
        </w:rPr>
        <w:t>Section 2.04(a)</w:t>
      </w:r>
      <w:r>
        <w:rPr>
          <w:rFonts w:ascii="Times New Roman" w:cs="Times New Roman" w:eastAsia="Times New Roman" w:hAnsi="Times New Roman"/>
          <w:sz w:val="21"/>
          <w:szCs w:val="21"/>
          <w:color w:val="auto"/>
        </w:rPr>
        <w:t>, the Revolving Credit Lenders.</w:t>
      </w:r>
    </w:p>
    <w:p>
      <w:pPr>
        <w:spacing w:after="0" w:line="149"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Fund</w:t>
      </w:r>
      <w:r>
        <w:rPr>
          <w:rFonts w:ascii="Times New Roman" w:cs="Times New Roman" w:eastAsia="Times New Roman" w:hAnsi="Times New Roman"/>
          <w:sz w:val="21"/>
          <w:szCs w:val="21"/>
          <w:color w:val="auto"/>
        </w:rPr>
        <w:t>” means any Fund that is administered or managed by (a) a Lender, (b) an Affiliate of a Lender or (c) an entity or an Affiliate of an entity that administers or manages a Lender.</w:t>
      </w:r>
    </w:p>
    <w:p>
      <w:pPr>
        <w:spacing w:after="0" w:line="145"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Arrangers</w:t>
      </w:r>
      <w:r>
        <w:rPr>
          <w:rFonts w:ascii="Times New Roman" w:cs="Times New Roman" w:eastAsia="Times New Roman" w:hAnsi="Times New Roman"/>
          <w:sz w:val="21"/>
          <w:szCs w:val="21"/>
          <w:color w:val="auto"/>
        </w:rPr>
        <w:t>” means BofA Securities, Inc., WFS and U.S. Bank National Association, in their capacities as joint lead arrangers and joint bookrunners.</w:t>
      </w:r>
    </w:p>
    <w:p>
      <w:pPr>
        <w:spacing w:after="0" w:line="145"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Assignee Group</w:t>
      </w:r>
      <w:r>
        <w:rPr>
          <w:rFonts w:ascii="Times New Roman" w:cs="Times New Roman" w:eastAsia="Times New Roman" w:hAnsi="Times New Roman"/>
          <w:sz w:val="21"/>
          <w:szCs w:val="21"/>
          <w:color w:val="auto"/>
        </w:rPr>
        <w:t>” means two or more Eligible Assignees that are Affiliates of one another or two or more Approved Funds managed by the same investment advisor.</w:t>
      </w:r>
    </w:p>
    <w:p>
      <w:pPr>
        <w:spacing w:after="0" w:line="145"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Assignment and Assumption</w:t>
      </w:r>
      <w:r>
        <w:rPr>
          <w:rFonts w:ascii="Times New Roman" w:cs="Times New Roman" w:eastAsia="Times New Roman" w:hAnsi="Times New Roman"/>
          <w:sz w:val="21"/>
          <w:szCs w:val="21"/>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1"/>
          <w:szCs w:val="21"/>
          <w:u w:val="single" w:color="auto"/>
          <w:color w:val="auto"/>
        </w:rPr>
        <w:t>Section 11.06(b)</w:t>
      </w:r>
      <w:r>
        <w:rPr>
          <w:rFonts w:ascii="Times New Roman" w:cs="Times New Roman" w:eastAsia="Times New Roman" w:hAnsi="Times New Roman"/>
          <w:sz w:val="21"/>
          <w:szCs w:val="21"/>
          <w:color w:val="auto"/>
        </w:rPr>
        <w:t>), and accepted by the Administrative Agent, in substantially the form of Exhibit E or any other form (including electronic documentation generated by use of an electronic platform) approved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42" w:right="339" w:bottom="1440" w:gutter="0" w:footer="0" w:header="0"/>
        </w:sectPr>
      </w:pPr>
    </w:p>
    <w:bookmarkStart w:id="76" w:name="page77"/>
    <w:bookmarkEnd w:id="76"/>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Attorney Costs</w:t>
      </w:r>
      <w:r>
        <w:rPr>
          <w:rFonts w:ascii="Times New Roman" w:cs="Times New Roman" w:eastAsia="Times New Roman" w:hAnsi="Times New Roman"/>
          <w:sz w:val="21"/>
          <w:szCs w:val="21"/>
          <w:color w:val="auto"/>
        </w:rPr>
        <w:t>” means and includes all reasonable fees and disbursements of any law firm or other external counsel.</w:t>
      </w:r>
    </w:p>
    <w:p>
      <w:pPr>
        <w:spacing w:after="0" w:line="172" w:lineRule="exact"/>
        <w:rPr>
          <w:sz w:val="20"/>
          <w:szCs w:val="20"/>
          <w:color w:val="auto"/>
        </w:rPr>
      </w:pPr>
    </w:p>
    <w:p>
      <w:pPr>
        <w:jc w:val="both"/>
        <w:ind w:firstLine="620"/>
        <w:spacing w:after="0" w:line="23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Indebtedness</w:t>
      </w:r>
      <w:r>
        <w:rPr>
          <w:rFonts w:ascii="Times New Roman" w:cs="Times New Roman" w:eastAsia="Times New Roman" w:hAnsi="Times New Roman"/>
          <w:sz w:val="20"/>
          <w:szCs w:val="20"/>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48"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Audited Financial Statements</w:t>
      </w:r>
      <w:r>
        <w:rPr>
          <w:rFonts w:ascii="Times New Roman" w:cs="Times New Roman" w:eastAsia="Times New Roman" w:hAnsi="Times New Roman"/>
          <w:sz w:val="21"/>
          <w:szCs w:val="21"/>
          <w:color w:val="auto"/>
        </w:rPr>
        <w:t>” means the audited consolidated balance sheet of Toro and its Subsidiaries for the fiscal year ended October 31, 2020, and the related consolidated statements of income or operations, shareholders’ equity and cash flows for such fiscal year of Toro and its Subsidiaries, including the notes thereto.</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Australian Dollar</w:t>
      </w:r>
      <w:r>
        <w:rPr>
          <w:rFonts w:ascii="Times New Roman" w:cs="Times New Roman" w:eastAsia="Times New Roman" w:hAnsi="Times New Roman"/>
          <w:sz w:val="21"/>
          <w:szCs w:val="21"/>
          <w:color w:val="auto"/>
        </w:rPr>
        <w:t>” means the lawful currency of Australia.</w:t>
      </w:r>
    </w:p>
    <w:p>
      <w:pPr>
        <w:spacing w:after="0" w:line="172"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Availability Period</w:t>
      </w:r>
      <w:r>
        <w:rPr>
          <w:rFonts w:ascii="Times New Roman" w:cs="Times New Roman" w:eastAsia="Times New Roman" w:hAnsi="Times New Roman"/>
          <w:sz w:val="21"/>
          <w:szCs w:val="21"/>
          <w:color w:val="auto"/>
        </w:rPr>
        <w:t xml:space="preserve">” means, in respect of the Revolving Credit Facility, the period from and including the Closing Date to the earliest of (a) the Maturity Date for the Revolving Credit Facility, (b) the date of termination of the Revolving Credit Commitments pursuant to Section 2.06, and (c) the date of termination of the commitment of each Revolving Credit Lender to make Revolving Credit Loans and of the obligation of the L/C Issuer to make L/C Credit Extensions pursuant to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Action</w:t>
      </w:r>
      <w:r>
        <w:rPr>
          <w:rFonts w:ascii="Times New Roman" w:cs="Times New Roman" w:eastAsia="Times New Roman" w:hAnsi="Times New Roman"/>
          <w:sz w:val="21"/>
          <w:szCs w:val="21"/>
          <w:color w:val="auto"/>
        </w:rPr>
        <w:t>” means the exercise of any Write-Down and Conversion Powers by the applicable Resolution Authority in respect of any liability of an Affected Financial Institution.</w:t>
      </w:r>
    </w:p>
    <w:p>
      <w:pPr>
        <w:spacing w:after="0" w:line="145" w:lineRule="exact"/>
        <w:rPr>
          <w:sz w:val="20"/>
          <w:szCs w:val="20"/>
          <w:color w:val="auto"/>
        </w:rPr>
      </w:pPr>
    </w:p>
    <w:p>
      <w:pPr>
        <w:jc w:val="both"/>
        <w:ind w:firstLine="620"/>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Bail-In Legislation</w:t>
      </w:r>
      <w:r>
        <w:rPr>
          <w:rFonts w:ascii="Times New Roman" w:cs="Times New Roman" w:eastAsia="Times New Roman" w:hAnsi="Times New Roman"/>
          <w:sz w:val="21"/>
          <w:szCs w:val="21"/>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Bank of America</w:t>
      </w:r>
      <w:r>
        <w:rPr>
          <w:rFonts w:ascii="Times New Roman" w:cs="Times New Roman" w:eastAsia="Times New Roman" w:hAnsi="Times New Roman"/>
          <w:sz w:val="21"/>
          <w:szCs w:val="21"/>
          <w:color w:val="auto"/>
        </w:rPr>
        <w:t>” means Bank of America, N.A. and its successors.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w:t>
      </w:r>
      <w:r>
        <w:rPr>
          <w:rFonts w:ascii="Times New Roman" w:cs="Times New Roman" w:eastAsia="Times New Roman" w:hAnsi="Times New Roman"/>
          <w:sz w:val="21"/>
          <w:szCs w:val="21"/>
          <w:color w:val="auto"/>
        </w:rPr>
        <w:t xml:space="preserve">” means for any day a fluctuating rate per annum equal to the highest of (a) the Federal Funds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1/2 of 1%,</w:t>
      </w:r>
    </w:p>
    <w:p>
      <w:pPr>
        <w:jc w:val="both"/>
        <w:ind w:firstLine="3"/>
        <w:spacing w:after="0" w:line="211" w:lineRule="auto"/>
        <w:tabs>
          <w:tab w:leader="none" w:pos="298"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rate of interest in effect for such day as publicly announced from time to time by Bank of America as its “prime rate,” (c) Term SOFR plus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xml:space="preserve"> hereof, then the Base Rate shall be the greater of clauses (a), (b) and (d) above and shall be determined without reference to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above.</w:t>
      </w:r>
    </w:p>
    <w:p>
      <w:pPr>
        <w:spacing w:after="0" w:line="146" w:lineRule="exact"/>
        <w:rPr>
          <w:sz w:val="20"/>
          <w:szCs w:val="20"/>
          <w:color w:val="auto"/>
        </w:rPr>
      </w:pPr>
    </w:p>
    <w:p>
      <w:pPr>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Rate Loan</w:t>
      </w:r>
      <w:r>
        <w:rPr>
          <w:rFonts w:ascii="Times New Roman" w:cs="Times New Roman" w:eastAsia="Times New Roman" w:hAnsi="Times New Roman"/>
          <w:sz w:val="21"/>
          <w:szCs w:val="21"/>
          <w:color w:val="auto"/>
        </w:rPr>
        <w:t>” means a Loan that bears interest based on the Base Rate. All Base Rate Loans shall be denominated in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42" w:right="339" w:bottom="1440" w:gutter="0" w:footer="0" w:header="0"/>
        </w:sectPr>
      </w:pPr>
    </w:p>
    <w:bookmarkStart w:id="77" w:name="page78"/>
    <w:bookmarkEnd w:id="77"/>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Certification</w:t>
      </w:r>
      <w:r>
        <w:rPr>
          <w:rFonts w:ascii="Times New Roman" w:cs="Times New Roman" w:eastAsia="Times New Roman" w:hAnsi="Times New Roman"/>
          <w:sz w:val="21"/>
          <w:szCs w:val="21"/>
          <w:color w:val="auto"/>
        </w:rPr>
        <w:t>” means a certification regarding beneficial ownership required by the Beneficial Ownership Regulation.</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Beneficial Ownership Regulation”</w:t>
      </w:r>
      <w:r>
        <w:rPr>
          <w:rFonts w:ascii="Times New Roman" w:cs="Times New Roman" w:eastAsia="Times New Roman" w:hAnsi="Times New Roman"/>
          <w:sz w:val="21"/>
          <w:szCs w:val="21"/>
          <w:color w:val="auto"/>
        </w:rPr>
        <w:t xml:space="preserve"> means 31 C.F.R. § 1010.230.</w:t>
      </w:r>
    </w:p>
    <w:p>
      <w:pPr>
        <w:spacing w:after="0" w:line="17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Benefit Plan</w:t>
      </w:r>
      <w:r>
        <w:rPr>
          <w:rFonts w:ascii="Times New Roman" w:cs="Times New Roman" w:eastAsia="Times New Roman" w:hAnsi="Times New Roman"/>
          <w:sz w:val="21"/>
          <w:szCs w:val="21"/>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48"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BofA Fee Letter</w:t>
      </w:r>
      <w:r>
        <w:rPr>
          <w:rFonts w:ascii="Times New Roman" w:cs="Times New Roman" w:eastAsia="Times New Roman" w:hAnsi="Times New Roman"/>
          <w:sz w:val="21"/>
          <w:szCs w:val="21"/>
          <w:color w:val="auto"/>
        </w:rPr>
        <w:t>” means that certain letter agreement, dated September 2, 2021 among Toro, Toro Luxembourg, the Administrative Agent and BofA Securities, Inc., as amended by that certain letter agreement, dated September 30, 2021 among Toro, Toro Luxembourg, the Administrative Agent and BofA Securities, Inc.</w:t>
      </w:r>
    </w:p>
    <w:p>
      <w:pPr>
        <w:spacing w:after="0" w:line="148"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each has the meaning specified in the introductory paragraph hereto and, solely with respect to the Term Facility, means Toro.</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Borrower Materials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Revolving Credit Borrowing, a Swing Line Borrowing or a Term Borrowing, as the context may require.</w:t>
      </w:r>
    </w:p>
    <w:p>
      <w:pPr>
        <w:spacing w:after="0" w:line="183"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148" w:lineRule="exact"/>
        <w:rPr>
          <w:sz w:val="20"/>
          <w:szCs w:val="20"/>
          <w:color w:val="auto"/>
        </w:rPr>
      </w:pPr>
    </w:p>
    <w:p>
      <w:pPr>
        <w:jc w:val="both"/>
        <w:ind w:left="620" w:firstLine="624"/>
        <w:spacing w:after="0" w:line="220" w:lineRule="auto"/>
        <w:tabs>
          <w:tab w:leader="none" w:pos="169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day relates to any interest rate settings as to an Alternative Currency Term Rate Loan denominated in Euro, any fundings, disbursements, settlements and payments in Euro in respect of any such Alternative Currency Term Rate Loan, or any other dealings in Euro to be carried out pursuant to this Agreement in respect of any such Alternative Currency Term Rate Loan, means a TARGET Day;</w:t>
      </w:r>
    </w:p>
    <w:p>
      <w:pPr>
        <w:spacing w:after="0" w:line="148" w:lineRule="exact"/>
        <w:rPr>
          <w:rFonts w:ascii="Times New Roman" w:cs="Times New Roman" w:eastAsia="Times New Roman" w:hAnsi="Times New Roman"/>
          <w:sz w:val="21"/>
          <w:szCs w:val="21"/>
          <w:color w:val="auto"/>
        </w:rPr>
      </w:pPr>
    </w:p>
    <w:p>
      <w:pPr>
        <w:jc w:val="both"/>
        <w:ind w:left="620" w:firstLine="624"/>
        <w:spacing w:after="0" w:line="225" w:lineRule="auto"/>
        <w:tabs>
          <w:tab w:leader="none" w:pos="1787"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day relates to any interest rate settings as to an Alternative Currency Daily Rate Loan denominated in Sterling, means a day other than a day on which banks are closed for general business in London because such day is a Saturday, Sunday or a legal holiday under the laws of the United Kingdom;</w:t>
      </w:r>
    </w:p>
    <w:p>
      <w:pPr>
        <w:spacing w:after="0" w:line="147" w:lineRule="exact"/>
        <w:rPr>
          <w:rFonts w:ascii="Times New Roman" w:cs="Times New Roman" w:eastAsia="Times New Roman" w:hAnsi="Times New Roman"/>
          <w:sz w:val="21"/>
          <w:szCs w:val="21"/>
          <w:color w:val="auto"/>
        </w:rPr>
      </w:pPr>
    </w:p>
    <w:p>
      <w:pPr>
        <w:jc w:val="both"/>
        <w:ind w:left="620" w:firstLine="624"/>
        <w:spacing w:after="0" w:line="220" w:lineRule="auto"/>
        <w:tabs>
          <w:tab w:leader="none" w:pos="1806"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day relates to any interest rate settings as to an Alternative Currency Term Rate Loan or Alternative Currency Daily Rate Loan denominated in a currency other than Dollars, Sterling or Euro, means any such day on which dealings in deposits in the relevant currency are conducted by and between banks in the London or other applicable offshore interbank market for such currency; and</w:t>
      </w:r>
    </w:p>
    <w:p>
      <w:pPr>
        <w:spacing w:after="0" w:line="148" w:lineRule="exact"/>
        <w:rPr>
          <w:rFonts w:ascii="Times New Roman" w:cs="Times New Roman" w:eastAsia="Times New Roman" w:hAnsi="Times New Roman"/>
          <w:sz w:val="21"/>
          <w:szCs w:val="21"/>
          <w:color w:val="auto"/>
        </w:rPr>
      </w:pPr>
    </w:p>
    <w:p>
      <w:pPr>
        <w:jc w:val="both"/>
        <w:ind w:left="620" w:firstLine="624"/>
        <w:spacing w:after="0" w:line="215" w:lineRule="auto"/>
        <w:tabs>
          <w:tab w:leader="none" w:pos="178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such day relates to any fundings, disbursements, settlements and payments in a currency other than Dollars, Sterling or Euro in respect of an Alternative Currency Term Rate Loan or Alternative Currency Daily Rate Loan denominated in a currency other than Dollars, Sterling or Euro, or any other dealings in any currency other than Dollars, Sterling or Euro to be carried out pursuant to this Agreement in respect of any such Alternative Currency Term Rate Loan or Alternative Currency Daily Rate Loan (other than any interest rate settings), means any such day on which banks are open for foreign exchange business in the principal financial center of the country of such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42" w:right="339" w:bottom="1440" w:gutter="0" w:footer="0" w:header="0"/>
        </w:sectPr>
      </w:pPr>
    </w:p>
    <w:bookmarkStart w:id="78" w:name="page79"/>
    <w:bookmarkEnd w:id="78"/>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Dollar</w:t>
      </w:r>
      <w:r>
        <w:rPr>
          <w:rFonts w:ascii="Times New Roman" w:cs="Times New Roman" w:eastAsia="Times New Roman" w:hAnsi="Times New Roman"/>
          <w:sz w:val="21"/>
          <w:szCs w:val="21"/>
          <w:color w:val="auto"/>
        </w:rPr>
        <w:t>” means the lawful currency of Canada.</w:t>
      </w:r>
    </w:p>
    <w:p>
      <w:pPr>
        <w:spacing w:after="0" w:line="172" w:lineRule="exact"/>
        <w:rPr>
          <w:sz w:val="20"/>
          <w:szCs w:val="20"/>
          <w:color w:val="auto"/>
        </w:rPr>
      </w:pPr>
    </w:p>
    <w:p>
      <w:pPr>
        <w:jc w:val="both"/>
        <w:ind w:firstLine="620"/>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Collateralize</w:t>
      </w:r>
      <w:r>
        <w:rPr>
          <w:rFonts w:ascii="Times New Roman" w:cs="Times New Roman" w:eastAsia="Times New Roman" w:hAnsi="Times New Roman"/>
          <w:sz w:val="21"/>
          <w:szCs w:val="21"/>
          <w:color w:val="auto"/>
        </w:rPr>
        <w:t>” means to deposit or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L/C Issuer. “Cash Collateral” shall have a meaning correlative to the foregoing and shall include the proceeds of such cash collateral and other credit support.</w:t>
      </w:r>
    </w:p>
    <w:p>
      <w:pPr>
        <w:spacing w:after="0" w:line="149" w:lineRule="exact"/>
        <w:rPr>
          <w:sz w:val="20"/>
          <w:szCs w:val="20"/>
          <w:color w:val="auto"/>
        </w:rPr>
      </w:pPr>
    </w:p>
    <w:p>
      <w:pPr>
        <w:jc w:val="both"/>
        <w:ind w:firstLine="620"/>
        <w:spacing w:after="0" w:line="21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Law</w:t>
      </w:r>
      <w:r>
        <w:rPr>
          <w:rFonts w:ascii="Times New Roman" w:cs="Times New Roman" w:eastAsia="Times New Roman" w:hAnsi="Times New Roman"/>
          <w:sz w:val="21"/>
          <w:szCs w:val="21"/>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an event or series of events by which (a) any Person or group within the meaning of Section 13(d)</w:t>
      </w:r>
    </w:p>
    <w:p>
      <w:pPr>
        <w:jc w:val="both"/>
        <w:ind w:firstLine="3"/>
        <w:spacing w:after="0" w:line="218" w:lineRule="auto"/>
        <w:tabs>
          <w:tab w:leader="none" w:pos="33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the Exchange Act and the rules and regulations promulgated thereunder, shall, after the Closing Date, acquire beneficial ownership (within the meaning of Rule 13d-3 of the Exchange Act), directly or indirectly, of securities of Toro (or other securities convertible into such securities) representing thirty percent (30%) of the combined voting power of all securities of Toro entitled to vote in the election of directors, other than securities having such power only by reason of the happening of a contingency (hereinafter called a “</w:t>
      </w:r>
      <w:r>
        <w:rPr>
          <w:rFonts w:ascii="Times New Roman" w:cs="Times New Roman" w:eastAsia="Times New Roman" w:hAnsi="Times New Roman"/>
          <w:sz w:val="20"/>
          <w:szCs w:val="20"/>
          <w:u w:val="single" w:color="auto"/>
          <w:color w:val="auto"/>
        </w:rPr>
        <w:t>Controlling Person</w:t>
      </w:r>
      <w:r>
        <w:rPr>
          <w:rFonts w:ascii="Times New Roman" w:cs="Times New Roman" w:eastAsia="Times New Roman" w:hAnsi="Times New Roman"/>
          <w:sz w:val="20"/>
          <w:szCs w:val="20"/>
          <w:color w:val="auto"/>
        </w:rPr>
        <w:t xml:space="preserve">”); or (b) Toro shall cease to own, directly or indirectly, 100% of all of each other Borrower’s issued and outstanding shares of common stock (except for any outstanding qualifying director shares); or (c) a majority of the Board of Directors of Toro shall cease for any reason to consist of (i) individuals who on the Closing Date were serving as directors of Toro and (ii) individuals who subsequently become members of the Board of Directors if such individuals’ nomination for election or election to the Board of Directors is recommended or approved by a majority of the Board of Directors of Toro; or (iv) a default or the happening of any event shall occur under any charter, indenture, agreement or other instrument in connection with which any preferred stock of Toro may be issued, and as a result of such default or event the holders of such preferred stock shall designate or elect members of the Board of Directors of Toro. For purposes of clause (a) above, a Person or group shall not be a Controlling Person if such Person or group holds voting power in good faith and not for the purpose of circumventing </w:t>
      </w:r>
      <w:r>
        <w:rPr>
          <w:rFonts w:ascii="Times New Roman" w:cs="Times New Roman" w:eastAsia="Times New Roman" w:hAnsi="Times New Roman"/>
          <w:sz w:val="20"/>
          <w:szCs w:val="20"/>
          <w:u w:val="single" w:color="auto"/>
          <w:color w:val="auto"/>
        </w:rPr>
        <w:t>Section 8.01(l)</w:t>
      </w:r>
      <w:r>
        <w:rPr>
          <w:rFonts w:ascii="Times New Roman" w:cs="Times New Roman" w:eastAsia="Times New Roman" w:hAnsi="Times New Roman"/>
          <w:sz w:val="20"/>
          <w:szCs w:val="20"/>
          <w:color w:val="auto"/>
        </w:rPr>
        <w:t xml:space="preserve"> as an agent, bank, broker, nominee, trustee, or holder of revocable proxies given in response to a solicitation pursuant to the Exchange Act, for one or more beneficial owners who do not individually, or, if they are a group acting in concert, as a group, have the voting power specified in clause (a).</w:t>
      </w:r>
    </w:p>
    <w:p>
      <w:pPr>
        <w:spacing w:after="0" w:line="15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Class</w:t>
      </w:r>
      <w:r>
        <w:rPr>
          <w:rFonts w:ascii="Times New Roman" w:cs="Times New Roman" w:eastAsia="Times New Roman" w:hAnsi="Times New Roman"/>
          <w:sz w:val="21"/>
          <w:szCs w:val="21"/>
          <w:color w:val="auto"/>
        </w:rPr>
        <w:t>”, when used in reference to any Loan or Borrowing, refers to whether such Loan, or the Loans comprising such Borrowing, are Revolving Credit Loans or Term Loans and, when used in reference to any Commitment, refers to whether such Commitment is a Revolving Credit Commitment or Term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42" w:right="339" w:bottom="1440" w:gutter="0" w:footer="0" w:header="0"/>
        </w:sectPr>
      </w:pPr>
    </w:p>
    <w:bookmarkStart w:id="79" w:name="page80"/>
    <w:bookmarkEnd w:id="79"/>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Closing Date</w:t>
      </w:r>
      <w:r>
        <w:rPr>
          <w:rFonts w:ascii="Times New Roman" w:cs="Times New Roman" w:eastAsia="Times New Roman" w:hAnsi="Times New Roman"/>
          <w:sz w:val="21"/>
          <w:szCs w:val="21"/>
          <w:color w:val="auto"/>
        </w:rPr>
        <w:t xml:space="preserve">” means the first date all the conditions precedent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are satisfied or waived in accordance with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CME</w:t>
      </w:r>
      <w:r>
        <w:rPr>
          <w:rFonts w:ascii="Times New Roman" w:cs="Times New Roman" w:eastAsia="Times New Roman" w:hAnsi="Times New Roman"/>
          <w:sz w:val="21"/>
          <w:szCs w:val="21"/>
          <w:color w:val="auto"/>
        </w:rPr>
        <w:t>” means CME Group Benchmark Administration Limited.</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Commitment</w:t>
      </w:r>
      <w:r>
        <w:rPr>
          <w:rFonts w:ascii="Times New Roman" w:cs="Times New Roman" w:eastAsia="Times New Roman" w:hAnsi="Times New Roman"/>
          <w:sz w:val="21"/>
          <w:szCs w:val="21"/>
          <w:color w:val="auto"/>
        </w:rPr>
        <w:t>” means a Term Commitment or a Revolving Credit Commitment, as the context may require.</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Communication</w:t>
      </w:r>
      <w:r>
        <w:rPr>
          <w:rFonts w:ascii="Times New Roman" w:cs="Times New Roman" w:eastAsia="Times New Roman" w:hAnsi="Times New Roman"/>
          <w:sz w:val="21"/>
          <w:szCs w:val="21"/>
          <w:color w:val="auto"/>
        </w:rPr>
        <w:t>” means this Agreement, any Loan Document and any document, any amendment, approval, consent, information, notice, certificate, request, statement, disclosure or authorization related to any Loan Document.</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Compliance Certificate</w:t>
      </w:r>
      <w:r>
        <w:rPr>
          <w:rFonts w:ascii="Times New Roman" w:cs="Times New Roman" w:eastAsia="Times New Roman" w:hAnsi="Times New Roman"/>
          <w:sz w:val="21"/>
          <w:szCs w:val="21"/>
          <w:color w:val="auto"/>
        </w:rPr>
        <w:t xml:space="preserve">” means a certificate substantially in the form of </w:t>
      </w:r>
      <w:r>
        <w:rPr>
          <w:rFonts w:ascii="Times New Roman" w:cs="Times New Roman" w:eastAsia="Times New Roman" w:hAnsi="Times New Roman"/>
          <w:sz w:val="21"/>
          <w:szCs w:val="21"/>
          <w:u w:val="single" w:color="auto"/>
          <w:color w:val="auto"/>
        </w:rPr>
        <w:t>Exhibit D.</w:t>
      </w:r>
    </w:p>
    <w:p>
      <w:pPr>
        <w:spacing w:after="0" w:line="172" w:lineRule="exact"/>
        <w:rPr>
          <w:sz w:val="20"/>
          <w:szCs w:val="20"/>
          <w:color w:val="auto"/>
        </w:rPr>
      </w:pPr>
    </w:p>
    <w:p>
      <w:pPr>
        <w:jc w:val="both"/>
        <w:ind w:firstLine="620"/>
        <w:spacing w:after="0" w:line="21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Conforming Changes</w:t>
      </w:r>
      <w:r>
        <w:rPr>
          <w:rFonts w:ascii="Times New Roman" w:cs="Times New Roman" w:eastAsia="Times New Roman" w:hAnsi="Times New Roman"/>
          <w:sz w:val="21"/>
          <w:szCs w:val="21"/>
          <w:color w:val="auto"/>
        </w:rPr>
        <w:t>” means, with respect to the use, administration of or any conventions associated with SOFR, SONIA or any proposed Successor Rate or Term SOFR, as applicable, any conforming changes to the definitions of “Base Rate”, “SOFR”, “SONIA”, “Term SOFR”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spacing w:after="0" w:line="146"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Connection Income Taxes</w:t>
      </w:r>
      <w:r>
        <w:rPr>
          <w:rFonts w:ascii="Times New Roman" w:cs="Times New Roman" w:eastAsia="Times New Roman" w:hAnsi="Times New Roman"/>
          <w:sz w:val="21"/>
          <w:szCs w:val="21"/>
          <w:color w:val="auto"/>
        </w:rPr>
        <w:t>” means Other Connection Taxes that are imposed on or measured by net income (however denominated) or that are franchise Taxes or branch profits Taxes.</w:t>
      </w:r>
    </w:p>
    <w:p>
      <w:pPr>
        <w:spacing w:after="0" w:line="145" w:lineRule="exact"/>
        <w:rPr>
          <w:sz w:val="20"/>
          <w:szCs w:val="20"/>
          <w:color w:val="auto"/>
        </w:rPr>
      </w:pPr>
    </w:p>
    <w:p>
      <w:pPr>
        <w:jc w:val="both"/>
        <w:ind w:firstLine="620"/>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EBIT</w:t>
      </w:r>
      <w:r>
        <w:rPr>
          <w:rFonts w:ascii="Times New Roman" w:cs="Times New Roman" w:eastAsia="Times New Roman" w:hAnsi="Times New Roman"/>
          <w:sz w:val="21"/>
          <w:szCs w:val="21"/>
          <w:color w:val="auto"/>
        </w:rPr>
        <w:t xml:space="preserve">” means, for any period, for Toro and its Subsidiaries on a consolidated basis, an amount equal to Consolidated Net Income for such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following to the extent deducted in calculating such Consolidated Net Income: (a) Consolidated Interest Charges for such period, (b) the provision for Federal, state, local and foreign income taxes payable by Toro and its Subsidiaries for such period, and (c) one-time, non-recurring cash fees and expenses, not to exceed $50,000,000 in the aggregate, related to (i) restructurings or (ii) cost savings, restructuring, severance, integration, or consolidation related to an Acquisition, and to include without limitation advisory, legal, financing, and consulting fees related to an Acquisition, incurred in anticipation of, in connection with or as a result of such Acquisition.</w:t>
      </w:r>
    </w:p>
    <w:p>
      <w:pPr>
        <w:spacing w:after="0" w:line="147" w:lineRule="exact"/>
        <w:rPr>
          <w:sz w:val="20"/>
          <w:szCs w:val="20"/>
          <w:color w:val="auto"/>
        </w:rPr>
      </w:pPr>
    </w:p>
    <w:p>
      <w:pPr>
        <w:jc w:val="both"/>
        <w:ind w:firstLine="620"/>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Interest Charges</w:t>
      </w:r>
      <w:r>
        <w:rPr>
          <w:rFonts w:ascii="Times New Roman" w:cs="Times New Roman" w:eastAsia="Times New Roman" w:hAnsi="Times New Roman"/>
          <w:sz w:val="21"/>
          <w:szCs w:val="21"/>
          <w:color w:val="auto"/>
        </w:rPr>
        <w:t>” means, for any period, for Toro and its Subsidiaries on a consolidated basis, the sum of (a) all interest, discounts, premium payments, commissions, fees (other than fees incurred hereunder or in connection herewith), charges and related expenses of Toro and its Subsidiaries in connection with Indebtedness (including capitalized interest) or in connection with the deferred purchase price of assets or incurred with respect to any Receivables Purchase Facility permitted hereunder, in each case to the extent treated as interest in accordance with GAAP and (b) the portion of rent expense of Toro and its Subsidiaries with respect to such period under capital leases that is treated as interest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342" w:right="339" w:bottom="1440" w:gutter="0" w:footer="0" w:header="0"/>
        </w:sectPr>
      </w:pPr>
    </w:p>
    <w:bookmarkStart w:id="80" w:name="page81"/>
    <w:bookmarkEnd w:id="80"/>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Net Income</w:t>
      </w:r>
      <w:r>
        <w:rPr>
          <w:rFonts w:ascii="Times New Roman" w:cs="Times New Roman" w:eastAsia="Times New Roman" w:hAnsi="Times New Roman"/>
          <w:sz w:val="21"/>
          <w:szCs w:val="21"/>
          <w:color w:val="auto"/>
        </w:rPr>
        <w:t>” means, for any period, for Toro and its Subsidiaries on a consolidated basis, the net income of Toro and its Subsidiaries for that period.</w:t>
      </w:r>
    </w:p>
    <w:p>
      <w:pPr>
        <w:spacing w:after="0" w:line="145" w:lineRule="exact"/>
        <w:rPr>
          <w:sz w:val="20"/>
          <w:szCs w:val="20"/>
          <w:color w:val="auto"/>
        </w:rPr>
      </w:pPr>
    </w:p>
    <w:p>
      <w:pPr>
        <w:jc w:val="both"/>
        <w:ind w:firstLine="620"/>
        <w:spacing w:after="0" w:line="21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Contingent Obligation</w:t>
      </w:r>
      <w:r>
        <w:rPr>
          <w:rFonts w:ascii="Times New Roman" w:cs="Times New Roman" w:eastAsia="Times New Roman" w:hAnsi="Times New Roman"/>
          <w:sz w:val="20"/>
          <w:szCs w:val="20"/>
          <w:color w:val="auto"/>
        </w:rPr>
        <w:t>” means, as to any Person, any direct or indirect liability of that Person, whether or not contingent, with or without recourse, (a) with respect to any Indebtedness, lease, dividend, letter of credit or other obligation (the “primary obligations”) of another Person (the “primary obligor”), including any obligation of that Person (i) to purchase, repurchase or otherwise acquire such primary obligations or any security therefor, (ii) to advance or provide funds for the payment or discharge of any such primary obligation, or to maintain working capital or equity capital of the primary obligor or otherwise to maintain the net worth or solvency or any balance sheet item, level of income or financial condition of the primary obligor, (iii) to purchase property, securities or services primarily for the purpose of assuring the owner of any such primary obligation of the ability of the primary obligor to make payment of such primary obligation, or (iv) otherwise to assure or hold harmless the holder of any such primary obligation against loss in respect thereof (each, a “</w:t>
      </w:r>
      <w:r>
        <w:rPr>
          <w:rFonts w:ascii="Times New Roman" w:cs="Times New Roman" w:eastAsia="Times New Roman" w:hAnsi="Times New Roman"/>
          <w:sz w:val="20"/>
          <w:szCs w:val="20"/>
          <w:u w:val="single" w:color="auto"/>
          <w:color w:val="auto"/>
        </w:rPr>
        <w:t>Guaranty Obligation</w:t>
      </w:r>
      <w:r>
        <w:rPr>
          <w:rFonts w:ascii="Times New Roman" w:cs="Times New Roman" w:eastAsia="Times New Roman" w:hAnsi="Times New Roman"/>
          <w:sz w:val="20"/>
          <w:szCs w:val="20"/>
          <w:color w:val="auto"/>
        </w:rPr>
        <w:t>”); (b) with respect to any Surety Instrument issued for the account of that Person or as to which that Person is otherwise liable for reimbursement of drawings or payments; (c) to purchase any materials, supplies or other property from, or to obtain the services of, another Person if the relevant contract or other related document or obligation requires that payment for such materials, supplies or other property, or for such services, shall be made regardless of whether delivery of such materials, supplies or other property is ever made or tendered, or such services are ever performed or tendered, or (d) in respect of any Swap Contract which is not a Permitted Swap Obligation. The amount of any Contingent Obligation shall, in the case of Guaranty Obligations, be deemed equal to the stated or determinable amount of the primary obligation in respect of which such Guaranty Obligation is made or, if not stated or if indeterminable, the maximum reasonably anticipated liability in respect thereof, and in the case of other Contingent Obligations other than in respect of Swap Contracts, shall be equal to the maximum reasonably anticipated liability in respect thereof and, in the case of Contingent Obligations in respect of Swap Contracts which are not Permitted Swap Obligations, shall be equal to the Swap Termination Value at any time of determination.</w:t>
      </w:r>
    </w:p>
    <w:p>
      <w:pPr>
        <w:spacing w:after="0" w:line="147"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Contractual Obligation</w:t>
      </w:r>
      <w:r>
        <w:rPr>
          <w:rFonts w:ascii="Times New Roman" w:cs="Times New Roman" w:eastAsia="Times New Roman" w:hAnsi="Times New Roman"/>
          <w:sz w:val="21"/>
          <w:szCs w:val="21"/>
          <w:color w:val="auto"/>
        </w:rPr>
        <w:t>” means, as to any Person, any provision of any security issued by such Person or of any agreement, instrument or other undertaking to which such Person is a party or by which it or any of its property is bound.</w:t>
      </w:r>
    </w:p>
    <w:p>
      <w:pPr>
        <w:spacing w:after="0" w:line="145"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Controlling Person</w:t>
      </w:r>
      <w:r>
        <w:rPr>
          <w:rFonts w:ascii="Times New Roman" w:cs="Times New Roman" w:eastAsia="Times New Roman" w:hAnsi="Times New Roman"/>
          <w:sz w:val="21"/>
          <w:szCs w:val="21"/>
          <w:color w:val="auto"/>
        </w:rPr>
        <w:t>” has the meaning specified in the definition of Change of Control.</w:t>
      </w:r>
    </w:p>
    <w:p>
      <w:pPr>
        <w:spacing w:after="0" w:line="17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Covered Entity</w:t>
      </w:r>
      <w:r>
        <w:rPr>
          <w:rFonts w:ascii="Times New Roman" w:cs="Times New Roman" w:eastAsia="Times New Roman" w:hAnsi="Times New Roman"/>
          <w:sz w:val="21"/>
          <w:szCs w:val="21"/>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Extension</w:t>
      </w:r>
      <w:r>
        <w:rPr>
          <w:rFonts w:ascii="Times New Roman" w:cs="Times New Roman" w:eastAsia="Times New Roman" w:hAnsi="Times New Roman"/>
          <w:sz w:val="21"/>
          <w:szCs w:val="21"/>
          <w:color w:val="auto"/>
        </w:rPr>
        <w:t>” means each of the following: (a) a Borrowing and (b) an L/C Credit Extension.</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Party</w:t>
      </w:r>
      <w:r>
        <w:rPr>
          <w:rFonts w:ascii="Times New Roman" w:cs="Times New Roman" w:eastAsia="Times New Roman" w:hAnsi="Times New Roman"/>
          <w:sz w:val="21"/>
          <w:szCs w:val="21"/>
          <w:color w:val="auto"/>
        </w:rPr>
        <w:t>” means the L/C Issuer, the Swing Line Lender, and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342" w:right="339" w:bottom="1440" w:gutter="0" w:footer="0" w:header="0"/>
        </w:sectPr>
      </w:pPr>
    </w:p>
    <w:bookmarkStart w:id="81" w:name="page82"/>
    <w:bookmarkEnd w:id="81"/>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Daily Simple SOFR</w:t>
      </w:r>
      <w:r>
        <w:rPr>
          <w:rFonts w:ascii="Times New Roman" w:cs="Times New Roman" w:eastAsia="Times New Roman" w:hAnsi="Times New Roman"/>
          <w:sz w:val="21"/>
          <w:szCs w:val="21"/>
          <w:color w:val="auto"/>
        </w:rPr>
        <w:t>” with respect to any applicable determination date means the SOFR published on such date on the Federal Reserve Bank of New York’s website (or any successor source).</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Debt Rating</w:t>
      </w:r>
      <w:r>
        <w:rPr>
          <w:rFonts w:ascii="Times New Roman" w:cs="Times New Roman" w:eastAsia="Times New Roman" w:hAnsi="Times New Roman"/>
          <w:sz w:val="21"/>
          <w:szCs w:val="21"/>
          <w:color w:val="auto"/>
        </w:rPr>
        <w:t>” has the meaning specified in the definition of “Applicable Rate.”</w:t>
      </w:r>
    </w:p>
    <w:p>
      <w:pPr>
        <w:spacing w:after="0" w:line="172" w:lineRule="exact"/>
        <w:rPr>
          <w:sz w:val="20"/>
          <w:szCs w:val="20"/>
          <w:color w:val="auto"/>
        </w:rPr>
      </w:pPr>
    </w:p>
    <w:p>
      <w:pPr>
        <w:jc w:val="both"/>
        <w:ind w:firstLine="62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46"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w:t>
      </w:r>
      <w:r>
        <w:rPr>
          <w:rFonts w:ascii="Times New Roman" w:cs="Times New Roman" w:eastAsia="Times New Roman" w:hAnsi="Times New Roman"/>
          <w:sz w:val="21"/>
          <w:szCs w:val="21"/>
          <w:color w:val="auto"/>
        </w:rPr>
        <w:t>” means any event or condition that constitutes an Event of Default or that, with the giving of any notice, the passage of time, or both, would be an Event of Default.</w:t>
      </w:r>
    </w:p>
    <w:p>
      <w:pPr>
        <w:spacing w:after="0" w:line="145" w:lineRule="exact"/>
        <w:rPr>
          <w:sz w:val="20"/>
          <w:szCs w:val="20"/>
          <w:color w:val="auto"/>
        </w:rPr>
      </w:pPr>
    </w:p>
    <w:p>
      <w:pPr>
        <w:jc w:val="both"/>
        <w:ind w:firstLine="620"/>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 when used with respect to Obligations other than Letter of Credit Fees, an interest rate equal to (i) the Base Rate plus (ii) the Applicable Rate applicable to Base Rate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2% per annum; provided, however, that with respect to an Alternative Currency Term Rate Loan, Alternative Currency Daily Rate Loan or Term SOFR Loan, the Default Rate shall be an interest rate equal to the interest rate (including any Applicable Rate) otherwise applicable to such Loan plus 2% per annum, and (b) when used with respect to Letter of Credit Fees, a rate equal to the Applicable Rate applicable to Letters of Credit plus 2% per annum.</w:t>
      </w:r>
    </w:p>
    <w:p>
      <w:pPr>
        <w:spacing w:after="0" w:line="148" w:lineRule="exact"/>
        <w:rPr>
          <w:sz w:val="20"/>
          <w:szCs w:val="20"/>
          <w:color w:val="auto"/>
        </w:rPr>
      </w:pPr>
    </w:p>
    <w:p>
      <w:pPr>
        <w:jc w:val="both"/>
        <w:ind w:firstLine="620"/>
        <w:spacing w:after="0" w:line="20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2.16(b)</w:t>
      </w:r>
      <w:r>
        <w:rPr>
          <w:rFonts w:ascii="Times New Roman" w:cs="Times New Roman" w:eastAsia="Times New Roman" w:hAnsi="Times New Roman"/>
          <w:sz w:val="21"/>
          <w:szCs w:val="21"/>
          <w:color w:val="auto"/>
        </w:rPr>
        <w:t xml:space="preserve">, any Lender that (a) has failed to (i) fund all or any portion of its Loans within two (2) Business Days of the date such Loans were required to be funded hereunder unless such Lender notifies the Administrative Agent and Toro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the case of any Lender, in respect of its participation in Letters of Credit or Swing Line Loans) within two (2) Business Days of the date when due, (b) has notified Toro,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Toro, to confirm in writing to the Administrative Agent and Toro that it will comply with its prospective funding obligations hereunder (provided that such Lender shall cease to be a Defaulting Lender pursuant to this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upon receipt of such written confirmation by the Administrative Agent and Toro),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342" w:right="339" w:bottom="1440" w:gutter="0" w:footer="0" w:header="0"/>
        </w:sectPr>
      </w:pPr>
    </w:p>
    <w:bookmarkStart w:id="82" w:name="page83"/>
    <w:bookmarkEnd w:id="82"/>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1"/>
          <w:szCs w:val="21"/>
          <w:u w:val="single" w:color="auto"/>
          <w:color w:val="auto"/>
        </w:rPr>
        <w:t>clauses (a) through (d)</w:t>
      </w:r>
      <w:r>
        <w:rPr>
          <w:rFonts w:ascii="Times New Roman" w:cs="Times New Roman" w:eastAsia="Times New Roman" w:hAnsi="Times New Roman"/>
          <w:sz w:val="21"/>
          <w:szCs w:val="21"/>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21"/>
          <w:szCs w:val="21"/>
          <w:u w:val="single" w:color="auto"/>
          <w:color w:val="auto"/>
        </w:rPr>
        <w:t>Section 2.16(b)</w:t>
      </w:r>
      <w:r>
        <w:rPr>
          <w:rFonts w:ascii="Times New Roman" w:cs="Times New Roman" w:eastAsia="Times New Roman" w:hAnsi="Times New Roman"/>
          <w:sz w:val="21"/>
          <w:szCs w:val="21"/>
          <w:color w:val="auto"/>
        </w:rPr>
        <w:t>) as of the date established therefor by the Administrative Agent in a written notice of such determination, which shall be delivered by the Administrative Agent to Toro, the L/C Issuer, the Swing Line Lender and each other Lender promptly following such determination.</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Designated Borrower</w:t>
      </w:r>
      <w:r>
        <w:rPr>
          <w:rFonts w:ascii="Times New Roman" w:cs="Times New Roman" w:eastAsia="Times New Roman" w:hAnsi="Times New Roman"/>
          <w:sz w:val="21"/>
          <w:szCs w:val="21"/>
          <w:color w:val="auto"/>
        </w:rPr>
        <w:t>” has the meaning specified in the introductory paragraph hereto.</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Designated Borrower Notice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Designated Borrower Request and Assumption Agreement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2.17.</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Designated Jurisdiction</w:t>
      </w:r>
      <w:r>
        <w:rPr>
          <w:rFonts w:ascii="Times New Roman" w:cs="Times New Roman" w:eastAsia="Times New Roman" w:hAnsi="Times New Roman"/>
          <w:sz w:val="21"/>
          <w:szCs w:val="21"/>
          <w:color w:val="auto"/>
        </w:rPr>
        <w:t>” means any country or territory to the extent that such country or territory itself is the subject of any Sanction.</w:t>
      </w:r>
    </w:p>
    <w:p>
      <w:pPr>
        <w:spacing w:after="0" w:line="145"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Disposition</w:t>
      </w:r>
      <w:r>
        <w:rPr>
          <w:rFonts w:ascii="Times New Roman" w:cs="Times New Roman" w:eastAsia="Times New Roman" w:hAnsi="Times New Roman"/>
          <w:sz w:val="21"/>
          <w:szCs w:val="21"/>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except for any issuance of Equity Interests by any Subsidiary of Toro to Toro or another Subsidiary of Toro), including any sale, assignment, transfer or other disposal, with or without recourse, of any notes or accounts receivable or any rights and claims associated therewith.</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Dividing Person</w:t>
      </w:r>
      <w:r>
        <w:rPr>
          <w:rFonts w:ascii="Times New Roman" w:cs="Times New Roman" w:eastAsia="Times New Roman" w:hAnsi="Times New Roman"/>
          <w:sz w:val="21"/>
          <w:szCs w:val="21"/>
          <w:color w:val="auto"/>
        </w:rPr>
        <w:t>” has the meaning specified in the definition of “</w:t>
      </w:r>
      <w:r>
        <w:rPr>
          <w:rFonts w:ascii="Times New Roman" w:cs="Times New Roman" w:eastAsia="Times New Roman" w:hAnsi="Times New Roman"/>
          <w:sz w:val="21"/>
          <w:szCs w:val="21"/>
          <w:u w:val="single" w:color="auto"/>
          <w:color w:val="auto"/>
        </w:rPr>
        <w:t>Division</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Division</w:t>
      </w:r>
      <w:r>
        <w:rPr>
          <w:rFonts w:ascii="Times New Roman" w:cs="Times New Roman" w:eastAsia="Times New Roman" w:hAnsi="Times New Roman"/>
          <w:sz w:val="21"/>
          <w:szCs w:val="21"/>
          <w:color w:val="auto"/>
        </w:rPr>
        <w:t>” means the division of the assets, liabilities and/or obligations of a Person (the “</w:t>
      </w:r>
      <w:r>
        <w:rPr>
          <w:rFonts w:ascii="Times New Roman" w:cs="Times New Roman" w:eastAsia="Times New Roman" w:hAnsi="Times New Roman"/>
          <w:sz w:val="21"/>
          <w:szCs w:val="21"/>
          <w:u w:val="single" w:color="auto"/>
          <w:color w:val="auto"/>
        </w:rPr>
        <w:t>Dividing Person</w:t>
      </w:r>
      <w:r>
        <w:rPr>
          <w:rFonts w:ascii="Times New Roman" w:cs="Times New Roman" w:eastAsia="Times New Roman" w:hAnsi="Times New Roman"/>
          <w:sz w:val="21"/>
          <w:szCs w:val="21"/>
          <w:color w:val="auto"/>
        </w:rPr>
        <w:t>”) among two or more Persons (whether pursuant to a “plan of division” or similar arrangement), which may or may not include the Dividing Person and pursuant to which the Dividing Person may or may not survive.</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Dollar</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 mean lawful money of the United States.</w:t>
      </w:r>
    </w:p>
    <w:p>
      <w:pPr>
        <w:spacing w:after="0" w:line="172"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Dollar Equivalent</w:t>
      </w:r>
      <w:r>
        <w:rPr>
          <w:rFonts w:ascii="Times New Roman" w:cs="Times New Roman" w:eastAsia="Times New Roman" w:hAnsi="Times New Roman"/>
          <w:sz w:val="21"/>
          <w:szCs w:val="21"/>
          <w:color w:val="auto"/>
        </w:rPr>
        <w:t>” means, at any time, (a) with respect to any amount denominated in Dollars, such amount, and (b) with respect to any amount denominated in any Alternative Currency, the equivalent amount thereof in Dollars as determined by the Administrative Agent or the L/C Issuer, as the case may be, at such time on the basis of the Spot Rate (determined in respect of the most recent Revaluation Date) for the purchase of Dollars with such Alternative Currency.</w:t>
      </w:r>
    </w:p>
    <w:p>
      <w:pPr>
        <w:spacing w:after="0" w:line="148"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Financial Institution</w:t>
      </w:r>
      <w:r>
        <w:rPr>
          <w:rFonts w:ascii="Times New Roman" w:cs="Times New Roman" w:eastAsia="Times New Roman" w:hAnsi="Times New Roman"/>
          <w:sz w:val="21"/>
          <w:szCs w:val="21"/>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Member Country</w:t>
      </w:r>
      <w:r>
        <w:rPr>
          <w:rFonts w:ascii="Times New Roman" w:cs="Times New Roman" w:eastAsia="Times New Roman" w:hAnsi="Times New Roman"/>
          <w:sz w:val="21"/>
          <w:szCs w:val="21"/>
          <w:color w:val="auto"/>
        </w:rPr>
        <w:t>” means any of the member states of the European Union,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342" w:right="339" w:bottom="1440" w:gutter="0" w:footer="0" w:header="0"/>
        </w:sectPr>
      </w:pPr>
    </w:p>
    <w:bookmarkStart w:id="83" w:name="page84"/>
    <w:bookmarkEnd w:id="83"/>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EEA Resolution Authority</w:t>
      </w:r>
      <w:r>
        <w:rPr>
          <w:rFonts w:ascii="Times New Roman" w:cs="Times New Roman" w:eastAsia="Times New Roman" w:hAnsi="Times New Roman"/>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48"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Electronic Record</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Electronic Signature</w:t>
      </w:r>
      <w:r>
        <w:rPr>
          <w:rFonts w:ascii="Times New Roman" w:cs="Times New Roman" w:eastAsia="Times New Roman" w:hAnsi="Times New Roman"/>
          <w:sz w:val="21"/>
          <w:szCs w:val="21"/>
          <w:color w:val="auto"/>
        </w:rPr>
        <w:t>” shall have the meanings assigned to them, respectively, by 15 USC §7006, as it may be amended from time to time.</w:t>
      </w:r>
    </w:p>
    <w:p>
      <w:pPr>
        <w:spacing w:after="0" w:line="145"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Assignee</w:t>
      </w:r>
      <w:r>
        <w:rPr>
          <w:rFonts w:ascii="Times New Roman" w:cs="Times New Roman" w:eastAsia="Times New Roman" w:hAnsi="Times New Roman"/>
          <w:sz w:val="21"/>
          <w:szCs w:val="21"/>
          <w:color w:val="auto"/>
        </w:rPr>
        <w:t xml:space="preserve">” means any Person that meets the requirements to be an assignee under </w:t>
      </w:r>
      <w:r>
        <w:rPr>
          <w:rFonts w:ascii="Times New Roman" w:cs="Times New Roman" w:eastAsia="Times New Roman" w:hAnsi="Times New Roman"/>
          <w:sz w:val="21"/>
          <w:szCs w:val="21"/>
          <w:u w:val="single" w:color="auto"/>
          <w:color w:val="auto"/>
        </w:rPr>
        <w:t>Section 11.06(b)(iii)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subject to such consents, if any, as may be required under </w:t>
      </w:r>
      <w:r>
        <w:rPr>
          <w:rFonts w:ascii="Times New Roman" w:cs="Times New Roman" w:eastAsia="Times New Roman" w:hAnsi="Times New Roman"/>
          <w:sz w:val="21"/>
          <w:szCs w:val="21"/>
          <w:u w:val="single" w:color="auto"/>
          <w:color w:val="auto"/>
        </w:rPr>
        <w:t>Section 11.06(b)(iii)</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End-User Financing Arrangements</w:t>
      </w:r>
      <w:r>
        <w:rPr>
          <w:rFonts w:ascii="Times New Roman" w:cs="Times New Roman" w:eastAsia="Times New Roman" w:hAnsi="Times New Roman"/>
          <w:sz w:val="21"/>
          <w:szCs w:val="21"/>
          <w:color w:val="auto"/>
        </w:rPr>
        <w:t>” has the meaning specified in the definition of “</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Laws</w:t>
      </w:r>
      <w:r>
        <w:rPr>
          <w:rFonts w:ascii="Times New Roman" w:cs="Times New Roman" w:eastAsia="Times New Roman" w:hAnsi="Times New Roman"/>
          <w:sz w:val="21"/>
          <w:szCs w:val="21"/>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48" w:lineRule="exact"/>
        <w:rPr>
          <w:sz w:val="20"/>
          <w:szCs w:val="20"/>
          <w:color w:val="auto"/>
        </w:rPr>
      </w:pPr>
    </w:p>
    <w:p>
      <w:pPr>
        <w:jc w:val="both"/>
        <w:ind w:firstLine="620"/>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Environmental Liability</w:t>
      </w:r>
      <w:r>
        <w:rPr>
          <w:rFonts w:ascii="Times New Roman" w:cs="Times New Roman" w:eastAsia="Times New Roman" w:hAnsi="Times New Roman"/>
          <w:sz w:val="21"/>
          <w:szCs w:val="21"/>
          <w:color w:val="auto"/>
        </w:rPr>
        <w:t>” means any liability, contingent or otherwise (including any liability for damages, costs of environmental remediation, fines, penalties or indemnities), of any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49" w:lineRule="exact"/>
        <w:rPr>
          <w:sz w:val="20"/>
          <w:szCs w:val="20"/>
          <w:color w:val="auto"/>
        </w:rPr>
      </w:pPr>
    </w:p>
    <w:p>
      <w:pPr>
        <w:jc w:val="both"/>
        <w:ind w:firstLine="620"/>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Interests</w:t>
      </w:r>
      <w:r>
        <w:rPr>
          <w:rFonts w:ascii="Times New Roman" w:cs="Times New Roman" w:eastAsia="Times New Roman" w:hAnsi="Times New Roman"/>
          <w:sz w:val="21"/>
          <w:szCs w:val="21"/>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47"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means the Employee Retirement Income Security Act of 1974, as amended, and the rules and regulations promulgated thereunder.</w:t>
      </w:r>
    </w:p>
    <w:p>
      <w:pPr>
        <w:spacing w:after="0" w:line="145"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Affiliate</w:t>
      </w:r>
      <w:r>
        <w:rPr>
          <w:rFonts w:ascii="Times New Roman" w:cs="Times New Roman" w:eastAsia="Times New Roman" w:hAnsi="Times New Roman"/>
          <w:sz w:val="21"/>
          <w:szCs w:val="21"/>
          <w:color w:val="auto"/>
        </w:rPr>
        <w:t>” means any trade or business (whether or not incorporated) under common control with any Borrower within the meaning of Section 414(b) or (c) of the Code (and Sections 414(m) and (o) of the Code for purposes of provisions relating to Section 412 of the Code).</w:t>
      </w:r>
    </w:p>
    <w:p>
      <w:pPr>
        <w:spacing w:after="0" w:line="148"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 Event</w:t>
      </w:r>
      <w:r>
        <w:rPr>
          <w:rFonts w:ascii="Times New Roman" w:cs="Times New Roman" w:eastAsia="Times New Roman" w:hAnsi="Times New Roman"/>
          <w:sz w:val="21"/>
          <w:szCs w:val="21"/>
          <w:color w:val="auto"/>
        </w:rPr>
        <w:t>” means (a) a Reportable Event with respect to a Pension Plan; (b) the withdrawal of any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any Borrower or any ERISA Affiliate from a Multiemployer Plan or notification that a Multiemployer Plan is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342" w:right="339" w:bottom="1440" w:gutter="0" w:footer="0" w:header="0"/>
        </w:sectPr>
      </w:pPr>
    </w:p>
    <w:bookmarkStart w:id="84" w:name="page85"/>
    <w:bookmarkEnd w:id="84"/>
    <w:p>
      <w:pPr>
        <w:jc w:val="both"/>
        <w:spacing w:after="0" w:line="210" w:lineRule="auto"/>
        <w:rPr>
          <w:sz w:val="20"/>
          <w:szCs w:val="20"/>
          <w:color w:val="auto"/>
        </w:rPr>
      </w:pPr>
      <w:r>
        <w:rPr>
          <w:rFonts w:ascii="Times New Roman" w:cs="Times New Roman" w:eastAsia="Times New Roman" w:hAnsi="Times New Roman"/>
          <w:sz w:val="21"/>
          <w:szCs w:val="21"/>
          <w:color w:val="auto"/>
        </w:rPr>
        <w:t>reorganization; (d) the receipt by any Loan Party or any of its ERISA Affiliates from the PBGC or a plan administrator of the filing of a notice of intent to terminate, or the treatment of a Pension Plan amendment as a termination of the Pension Plan under Section 4041 or 4041A of ERISA, which could reasonably be expected to result in liability of any Loan Party or any of its ERISA Affiliates in an aggregate amount exceeding $2,500,000;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any Borrower or any ERISA Affiliate; or (i) a Pension Plan has been terminated by the plan administrator thereof or by the PBGC, or an event or circumstance has occurred or exists that could reasonably be expected to cause the PBGC to institute proceedings under Title IV of ERISA to terminate any Pension Plan, which in each case and collectively, could reasonably be expected to result in liability of any Loan Party or any of its ERISA Affiliates in an aggregate amount exceeding $2,500,000.</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ESG</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ESG Amendment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ESG Pricing Provisions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 Bail-In Legislation Schedule</w:t>
      </w:r>
      <w:r>
        <w:rPr>
          <w:rFonts w:ascii="Times New Roman" w:cs="Times New Roman" w:eastAsia="Times New Roman" w:hAnsi="Times New Roman"/>
          <w:sz w:val="21"/>
          <w:szCs w:val="21"/>
          <w:color w:val="auto"/>
        </w:rPr>
        <w:t>” means the EU Bail-In Legislation Schedule published by the Loan Market Association (or any successor person), as in effect from time to time.</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EURIBOR</w:t>
      </w:r>
      <w:r>
        <w:rPr>
          <w:rFonts w:ascii="Times New Roman" w:cs="Times New Roman" w:eastAsia="Times New Roman" w:hAnsi="Times New Roman"/>
          <w:sz w:val="21"/>
          <w:szCs w:val="21"/>
          <w:color w:val="auto"/>
        </w:rPr>
        <w:t>” has the meaning specified in the definition of “Alternative Currency Term Rate”.</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Euro</w:t>
      </w:r>
      <w:r>
        <w:rPr>
          <w:rFonts w:ascii="Times New Roman" w:cs="Times New Roman" w:eastAsia="Times New Roman" w:hAnsi="Times New Roman"/>
          <w:sz w:val="21"/>
          <w:szCs w:val="21"/>
          <w:color w:val="auto"/>
        </w:rPr>
        <w:t>” means the single currency of the Participating Member States.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means the Securities Exchange Act of 1934, and regulations promulgated thereunder.</w:t>
      </w:r>
    </w:p>
    <w:p>
      <w:pPr>
        <w:spacing w:after="0" w:line="172" w:lineRule="exact"/>
        <w:rPr>
          <w:sz w:val="20"/>
          <w:szCs w:val="20"/>
          <w:color w:val="auto"/>
        </w:rPr>
      </w:pPr>
    </w:p>
    <w:p>
      <w:pPr>
        <w:jc w:val="both"/>
        <w:ind w:firstLine="620"/>
        <w:spacing w:after="0" w:line="22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Toro under </w:t>
      </w:r>
      <w:r>
        <w:rPr>
          <w:rFonts w:ascii="Times New Roman" w:cs="Times New Roman" w:eastAsia="Times New Roman" w:hAnsi="Times New Roman"/>
          <w:sz w:val="20"/>
          <w:szCs w:val="20"/>
          <w:u w:val="single" w:color="auto"/>
          <w:color w:val="auto"/>
        </w:rPr>
        <w:t>Section 11.13</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3.01(a)(ii)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and (d) any U.S. federal withholding Taxes imposed pursuant to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342" w:right="339" w:bottom="1440" w:gutter="0" w:footer="0" w:header="0"/>
        </w:sectPr>
      </w:pPr>
    </w:p>
    <w:bookmarkStart w:id="85" w:name="page86"/>
    <w:bookmarkEnd w:id="85"/>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Letters of Credit</w:t>
      </w:r>
      <w:r>
        <w:rPr>
          <w:rFonts w:ascii="Times New Roman" w:cs="Times New Roman" w:eastAsia="Times New Roman" w:hAnsi="Times New Roman"/>
          <w:sz w:val="21"/>
          <w:szCs w:val="21"/>
          <w:color w:val="auto"/>
        </w:rPr>
        <w:t xml:space="preserve">” means those letters of credit set forth on </w:t>
      </w:r>
      <w:r>
        <w:rPr>
          <w:rFonts w:ascii="Times New Roman" w:cs="Times New Roman" w:eastAsia="Times New Roman" w:hAnsi="Times New Roman"/>
          <w:sz w:val="21"/>
          <w:szCs w:val="21"/>
          <w:u w:val="single" w:color="auto"/>
          <w:color w:val="auto"/>
        </w:rPr>
        <w:t>Schedule 1.01(e)</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Liens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7.01(a)</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Revolving Credit Agreement</w:t>
      </w:r>
      <w:r>
        <w:rPr>
          <w:rFonts w:ascii="Times New Roman" w:cs="Times New Roman" w:eastAsia="Times New Roman" w:hAnsi="Times New Roman"/>
          <w:sz w:val="21"/>
          <w:szCs w:val="21"/>
          <w:color w:val="auto"/>
        </w:rPr>
        <w:t>” has the meaning specified in the introductory paragraph hereto.</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Revolving Lenders</w:t>
      </w:r>
      <w:r>
        <w:rPr>
          <w:rFonts w:ascii="Times New Roman" w:cs="Times New Roman" w:eastAsia="Times New Roman" w:hAnsi="Times New Roman"/>
          <w:sz w:val="21"/>
          <w:szCs w:val="21"/>
          <w:color w:val="auto"/>
        </w:rPr>
        <w:t>” has the meaning specified in the introductory paragraph hereto.</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Existing Term Loan Credit Agreement</w:t>
      </w:r>
      <w:r>
        <w:rPr>
          <w:rFonts w:ascii="Times New Roman" w:cs="Times New Roman" w:eastAsia="Times New Roman" w:hAnsi="Times New Roman"/>
          <w:sz w:val="21"/>
          <w:szCs w:val="21"/>
          <w:color w:val="auto"/>
        </w:rPr>
        <w:t>” means that certain Term Loan Credit Agreement dated as of March 19, 2019, as heretofore amended, among Toro, Bank of America, N.A., as administrative agent, and a syndicate of lenders.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Facility</w:t>
      </w:r>
      <w:r>
        <w:rPr>
          <w:rFonts w:ascii="Times New Roman" w:cs="Times New Roman" w:eastAsia="Times New Roman" w:hAnsi="Times New Roman"/>
          <w:sz w:val="21"/>
          <w:szCs w:val="21"/>
          <w:color w:val="auto"/>
        </w:rPr>
        <w:t>” means the Term Facility or the Revolving Credit Facility, as the context may require.</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Facility Fee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FASB ASC</w:t>
      </w:r>
      <w:r>
        <w:rPr>
          <w:rFonts w:ascii="Times New Roman" w:cs="Times New Roman" w:eastAsia="Times New Roman" w:hAnsi="Times New Roman"/>
          <w:sz w:val="21"/>
          <w:szCs w:val="21"/>
          <w:color w:val="auto"/>
        </w:rPr>
        <w:t>” means the Accounting Standards Codification of the Financial Accounting Standards Board.</w:t>
      </w:r>
    </w:p>
    <w:p>
      <w:pPr>
        <w:spacing w:after="0" w:line="17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FATCA</w:t>
      </w:r>
      <w:r>
        <w:rPr>
          <w:rFonts w:ascii="Times New Roman" w:cs="Times New Roman" w:eastAsia="Times New Roman" w:hAnsi="Times New Roman"/>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48"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Federal Funds Rate</w:t>
      </w:r>
      <w:r>
        <w:rPr>
          <w:rFonts w:ascii="Times New Roman" w:cs="Times New Roman" w:eastAsia="Times New Roman" w:hAnsi="Times New Roman"/>
          <w:sz w:val="21"/>
          <w:szCs w:val="21"/>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percent, such rate shall be deemed to be zero percent for purposes of this Agreement.</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Fee Letters</w:t>
      </w:r>
      <w:r>
        <w:rPr>
          <w:rFonts w:ascii="Times New Roman" w:cs="Times New Roman" w:eastAsia="Times New Roman" w:hAnsi="Times New Roman"/>
          <w:sz w:val="21"/>
          <w:szCs w:val="21"/>
          <w:color w:val="auto"/>
        </w:rPr>
        <w:t>” means, collectively, the BofA Fee Letter, the Wells Fargo Fee Letter and the U.S. Bank Fee Letter.</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Floor Plan Financing Arrangement</w:t>
      </w:r>
      <w:r>
        <w:rPr>
          <w:rFonts w:ascii="Times New Roman" w:cs="Times New Roman" w:eastAsia="Times New Roman" w:hAnsi="Times New Roman"/>
          <w:sz w:val="21"/>
          <w:szCs w:val="21"/>
          <w:color w:val="auto"/>
        </w:rPr>
        <w:t>” means any financing arrangement pursuant to which a capital provider agrees to provide inventory financing to certain dealers and distributors of certain products of Toro or its Subsidiaries.</w:t>
      </w:r>
    </w:p>
    <w:p>
      <w:pPr>
        <w:spacing w:after="0" w:line="145"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Lender</w:t>
      </w:r>
      <w:r>
        <w:rPr>
          <w:rFonts w:ascii="Times New Roman" w:cs="Times New Roman" w:eastAsia="Times New Roman" w:hAnsi="Times New Roman"/>
          <w:sz w:val="21"/>
          <w:szCs w:val="21"/>
          <w:color w:val="auto"/>
        </w:rPr>
        <w:t>” means, with respect to any Borrower, (a) if such Borrower is a U.S. Person, a Lender that is not a U.S. Person, and (b) if such Borrower is not a U.S. Person, a Lender that is resident or organized under the Laws of a jurisdiction other than that in which such Borrower is resident for tax purposes (including such a Lender when acting in the capacity of the L/C Issuer). For purposes of this definition, the United States, each State thereof and the District of Columbia shall be deemed to constitute a single jurisdiction.</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Obligor</w:t>
      </w:r>
      <w:r>
        <w:rPr>
          <w:rFonts w:ascii="Times New Roman" w:cs="Times New Roman" w:eastAsia="Times New Roman" w:hAnsi="Times New Roman"/>
          <w:sz w:val="21"/>
          <w:szCs w:val="21"/>
          <w:color w:val="auto"/>
        </w:rPr>
        <w:t>” means (a) Toro Luxembourg and (b) any other Loan Party that is a Foreign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342" w:right="339" w:bottom="1440" w:gutter="0" w:footer="0" w:header="0"/>
        </w:sectPr>
      </w:pPr>
    </w:p>
    <w:bookmarkStart w:id="86" w:name="page87"/>
    <w:bookmarkEnd w:id="86"/>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Foreign Subsidiary</w:t>
      </w:r>
      <w:r>
        <w:rPr>
          <w:rFonts w:ascii="Times New Roman" w:cs="Times New Roman" w:eastAsia="Times New Roman" w:hAnsi="Times New Roman"/>
          <w:sz w:val="21"/>
          <w:szCs w:val="21"/>
          <w:color w:val="auto"/>
        </w:rPr>
        <w:t>” means any Subsidiary that is organized under the laws of a jurisdiction other than the United States, a State thereof or the District of Columbia.</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FRB</w:t>
      </w:r>
      <w:r>
        <w:rPr>
          <w:rFonts w:ascii="Times New Roman" w:cs="Times New Roman" w:eastAsia="Times New Roman" w:hAnsi="Times New Roman"/>
          <w:sz w:val="21"/>
          <w:szCs w:val="21"/>
          <w:color w:val="auto"/>
        </w:rPr>
        <w:t>” means the Board of Governors of the Federal Reserve System of the United States.</w:t>
      </w:r>
    </w:p>
    <w:p>
      <w:pPr>
        <w:spacing w:after="0" w:line="172" w:lineRule="exact"/>
        <w:rPr>
          <w:sz w:val="20"/>
          <w:szCs w:val="20"/>
          <w:color w:val="auto"/>
        </w:rPr>
      </w:pPr>
    </w:p>
    <w:p>
      <w:pPr>
        <w:jc w:val="both"/>
        <w:ind w:firstLine="620"/>
        <w:spacing w:after="0" w:line="22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that is a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w:t>
      </w:r>
    </w:p>
    <w:p>
      <w:pPr>
        <w:spacing w:after="0" w:line="1" w:lineRule="exact"/>
        <w:rPr>
          <w:sz w:val="20"/>
          <w:szCs w:val="20"/>
          <w:color w:val="auto"/>
        </w:rPr>
      </w:pPr>
    </w:p>
    <w:p>
      <w:pPr>
        <w:jc w:val="both"/>
        <w:ind w:firstLine="3"/>
        <w:spacing w:after="0" w:line="218" w:lineRule="auto"/>
        <w:tabs>
          <w:tab w:leader="none" w:pos="314"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47"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Fund</w:t>
      </w:r>
      <w:r>
        <w:rPr>
          <w:rFonts w:ascii="Times New Roman" w:cs="Times New Roman" w:eastAsia="Times New Roman" w:hAnsi="Times New Roman"/>
          <w:sz w:val="21"/>
          <w:szCs w:val="21"/>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Funding Indemnity Letter</w:t>
      </w:r>
      <w:r>
        <w:rPr>
          <w:rFonts w:ascii="Times New Roman" w:cs="Times New Roman" w:eastAsia="Times New Roman" w:hAnsi="Times New Roman"/>
          <w:sz w:val="21"/>
          <w:szCs w:val="21"/>
          <w:color w:val="auto"/>
        </w:rPr>
        <w:t xml:space="preserve">” means a funding indemnity letter, substantially in the form of </w:t>
      </w:r>
      <w:r>
        <w:rPr>
          <w:rFonts w:ascii="Times New Roman" w:cs="Times New Roman" w:eastAsia="Times New Roman" w:hAnsi="Times New Roman"/>
          <w:sz w:val="21"/>
          <w:szCs w:val="21"/>
          <w:u w:val="single" w:color="auto"/>
          <w:color w:val="auto"/>
        </w:rPr>
        <w:t>Exhibit J</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GAAP</w:t>
      </w:r>
      <w:r>
        <w:rPr>
          <w:rFonts w:ascii="Times New Roman" w:cs="Times New Roman" w:eastAsia="Times New Roman" w:hAnsi="Times New Roman"/>
          <w:sz w:val="21"/>
          <w:szCs w:val="21"/>
          <w:color w:val="auto"/>
        </w:rPr>
        <w:t xml:space="preserve"> ”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except as provided in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 national bodies such as the European Union or the European Central Bank).</w:t>
      </w:r>
    </w:p>
    <w:p>
      <w:pPr>
        <w:spacing w:after="0" w:line="148" w:lineRule="exact"/>
        <w:rPr>
          <w:sz w:val="20"/>
          <w:szCs w:val="20"/>
          <w:color w:val="auto"/>
        </w:rPr>
      </w:pPr>
    </w:p>
    <w:p>
      <w:pPr>
        <w:jc w:val="both"/>
        <w:ind w:firstLine="620"/>
        <w:spacing w:after="0" w:line="21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342" w:right="339" w:bottom="1440" w:gutter="0" w:footer="0" w:header="0"/>
        </w:sectPr>
      </w:pPr>
    </w:p>
    <w:bookmarkStart w:id="87" w:name="page88"/>
    <w:bookmarkEnd w:id="87"/>
    <w:p>
      <w:pPr>
        <w:jc w:val="both"/>
        <w:spacing w:after="0" w:line="236" w:lineRule="auto"/>
        <w:rPr>
          <w:sz w:val="20"/>
          <w:szCs w:val="20"/>
          <w:color w:val="auto"/>
        </w:rPr>
      </w:pPr>
      <w:r>
        <w:rPr>
          <w:rFonts w:ascii="Times New Roman" w:cs="Times New Roman" w:eastAsia="Times New Roman" w:hAnsi="Times New Roman"/>
          <w:sz w:val="21"/>
          <w:szCs w:val="21"/>
          <w:color w:val="auto"/>
        </w:rPr>
        <w:t>not stated or determinable, the maximum reasonably anticipated liability in respect thereof as determined by the guaranteeing Person in good faith. The term “Guarantee” as a verb has a corresponding meaning.</w:t>
      </w:r>
    </w:p>
    <w:p>
      <w:pPr>
        <w:spacing w:after="0" w:line="145" w:lineRule="exact"/>
        <w:rPr>
          <w:sz w:val="20"/>
          <w:szCs w:val="20"/>
          <w:color w:val="auto"/>
        </w:rPr>
      </w:pPr>
    </w:p>
    <w:p>
      <w:pPr>
        <w:ind w:left="620" w:right="440"/>
        <w:spacing w:after="0" w:line="41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Guaranty</w:t>
      </w:r>
      <w:r>
        <w:rPr>
          <w:rFonts w:ascii="Times New Roman" w:cs="Times New Roman" w:eastAsia="Times New Roman" w:hAnsi="Times New Roman"/>
          <w:sz w:val="21"/>
          <w:szCs w:val="21"/>
          <w:color w:val="auto"/>
        </w:rPr>
        <w:t xml:space="preserve">” means the Guaranty made by Toro in favor of the Administrative Agent and the Lenders, set forth in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Guaranty Obligation</w:t>
      </w:r>
      <w:r>
        <w:rPr>
          <w:rFonts w:ascii="Times New Roman" w:cs="Times New Roman" w:eastAsia="Times New Roman" w:hAnsi="Times New Roman"/>
          <w:sz w:val="21"/>
          <w:szCs w:val="21"/>
          <w:color w:val="auto"/>
        </w:rPr>
        <w:t>” has the meaning specified in the definition of “</w:t>
      </w:r>
      <w:r>
        <w:rPr>
          <w:rFonts w:ascii="Times New Roman" w:cs="Times New Roman" w:eastAsia="Times New Roman" w:hAnsi="Times New Roman"/>
          <w:sz w:val="21"/>
          <w:szCs w:val="21"/>
          <w:u w:val="single" w:color="auto"/>
          <w:color w:val="auto"/>
        </w:rPr>
        <w:t>Contingent Obligation</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firstLine="620"/>
        <w:spacing w:after="0" w:line="23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Increase Effective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Increase Joinder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2.14(c)</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Commitments</w:t>
      </w:r>
      <w:r>
        <w:rPr>
          <w:rFonts w:ascii="Times New Roman" w:cs="Times New Roman" w:eastAsia="Times New Roman" w:hAnsi="Times New Roman"/>
          <w:sz w:val="21"/>
          <w:szCs w:val="21"/>
          <w:color w:val="auto"/>
        </w:rPr>
        <w:t>” means Incremental Revolving Commitments and/or the Incremental Term Commitments.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Debt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1.03(d)</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Revolving Commitment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Term Commitments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2.14(a)</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Term Loan Maturity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2.14(c)</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Term Loans</w:t>
      </w:r>
      <w:r>
        <w:rPr>
          <w:rFonts w:ascii="Times New Roman" w:cs="Times New Roman" w:eastAsia="Times New Roman" w:hAnsi="Times New Roman"/>
          <w:sz w:val="21"/>
          <w:szCs w:val="21"/>
          <w:color w:val="auto"/>
        </w:rPr>
        <w:t>” means any loans made pursuant to any Incremental Term Commitments.</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means, as to any Person at a particular time, without duplication, all of the following, whether or not included as indebtedness or liabilities in accordance with GAAP:</w:t>
      </w:r>
    </w:p>
    <w:p>
      <w:pPr>
        <w:spacing w:after="0" w:line="145" w:lineRule="exact"/>
        <w:rPr>
          <w:sz w:val="20"/>
          <w:szCs w:val="20"/>
          <w:color w:val="auto"/>
        </w:rPr>
      </w:pPr>
    </w:p>
    <w:p>
      <w:pPr>
        <w:ind w:left="620" w:firstLine="624"/>
        <w:spacing w:after="0" w:line="236" w:lineRule="auto"/>
        <w:tabs>
          <w:tab w:leader="none" w:pos="1829"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for borrowed money and all obligations of such Person evidenced by bonds, debentures, notes, loan agreements or other similar instruments;</w:t>
      </w:r>
    </w:p>
    <w:p>
      <w:pPr>
        <w:spacing w:after="0" w:line="145" w:lineRule="exact"/>
        <w:rPr>
          <w:rFonts w:ascii="Times New Roman" w:cs="Times New Roman" w:eastAsia="Times New Roman" w:hAnsi="Times New Roman"/>
          <w:sz w:val="21"/>
          <w:szCs w:val="21"/>
          <w:color w:val="auto"/>
        </w:rPr>
      </w:pPr>
    </w:p>
    <w:p>
      <w:pPr>
        <w:jc w:val="both"/>
        <w:ind w:left="620" w:firstLine="624"/>
        <w:spacing w:after="0" w:line="217" w:lineRule="auto"/>
        <w:tabs>
          <w:tab w:leader="none" w:pos="1908"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direct or contingent obligations of such Person arising under letters of credit (including standby and commercial), bankers’ acceptances, bank guaranties, surety bonds and similar instruments, except to the extent (i) issued as a means of trade payment in the ordinary course of business or to support or secure any other obligation of any Person unless such other obligation also constitutes Indebtedness hereunder and (ii) in an aggregate stated or principal amount at any time outstanding not to exceed $75,000,000;</w:t>
      </w:r>
    </w:p>
    <w:p>
      <w:pPr>
        <w:spacing w:after="0" w:line="148" w:lineRule="exact"/>
        <w:rPr>
          <w:rFonts w:ascii="Times New Roman" w:cs="Times New Roman" w:eastAsia="Times New Roman" w:hAnsi="Times New Roman"/>
          <w:sz w:val="21"/>
          <w:szCs w:val="21"/>
          <w:color w:val="auto"/>
        </w:rPr>
      </w:pPr>
    </w:p>
    <w:p>
      <w:pPr>
        <w:ind w:left="620" w:firstLine="624"/>
        <w:spacing w:after="0" w:line="236" w:lineRule="auto"/>
        <w:tabs>
          <w:tab w:leader="none" w:pos="1702"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to pay the deferred purchase price of property or services (other than trade accounts payable in the ordinary course of business);</w:t>
      </w:r>
    </w:p>
    <w:p>
      <w:pPr>
        <w:spacing w:after="0" w:line="145" w:lineRule="exact"/>
        <w:rPr>
          <w:rFonts w:ascii="Times New Roman" w:cs="Times New Roman" w:eastAsia="Times New Roman" w:hAnsi="Times New Roman"/>
          <w:sz w:val="21"/>
          <w:szCs w:val="21"/>
          <w:color w:val="auto"/>
        </w:rPr>
      </w:pPr>
    </w:p>
    <w:p>
      <w:pPr>
        <w:ind w:left="620" w:firstLine="624"/>
        <w:spacing w:after="0" w:line="236" w:lineRule="auto"/>
        <w:tabs>
          <w:tab w:leader="none" w:pos="1693"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(excluding prepaid interest thereon) secured by a Lien on property owned or being purchased by such Person (including indebtedness arising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342" w:right="339" w:bottom="1440" w:gutter="0" w:footer="0" w:header="0"/>
        </w:sectPr>
      </w:pPr>
    </w:p>
    <w:bookmarkStart w:id="88" w:name="page89"/>
    <w:bookmarkEnd w:id="88"/>
    <w:p>
      <w:pPr>
        <w:ind w:left="620"/>
        <w:spacing w:after="0" w:line="236" w:lineRule="auto"/>
        <w:rPr>
          <w:sz w:val="20"/>
          <w:szCs w:val="20"/>
          <w:color w:val="auto"/>
        </w:rPr>
      </w:pPr>
      <w:r>
        <w:rPr>
          <w:rFonts w:ascii="Times New Roman" w:cs="Times New Roman" w:eastAsia="Times New Roman" w:hAnsi="Times New Roman"/>
          <w:sz w:val="21"/>
          <w:szCs w:val="21"/>
          <w:color w:val="auto"/>
        </w:rPr>
        <w:t>conditional sales or other title retention agreements), whether or not such indebtedness shall have been assumed by such Person or is limited in recourse;</w:t>
      </w:r>
    </w:p>
    <w:p>
      <w:pPr>
        <w:spacing w:after="0" w:line="145" w:lineRule="exact"/>
        <w:rPr>
          <w:sz w:val="20"/>
          <w:szCs w:val="20"/>
          <w:color w:val="auto"/>
        </w:rPr>
      </w:pPr>
    </w:p>
    <w:p>
      <w:pPr>
        <w:ind w:left="1680" w:hanging="436"/>
        <w:spacing w:after="0"/>
        <w:tabs>
          <w:tab w:leader="none" w:pos="16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leases and Synthetic Lease Obligations;</w:t>
      </w:r>
    </w:p>
    <w:p>
      <w:pPr>
        <w:spacing w:after="0" w:line="171" w:lineRule="exact"/>
        <w:rPr>
          <w:rFonts w:ascii="Times New Roman" w:cs="Times New Roman" w:eastAsia="Times New Roman" w:hAnsi="Times New Roman"/>
          <w:sz w:val="21"/>
          <w:szCs w:val="21"/>
          <w:color w:val="auto"/>
        </w:rPr>
      </w:pPr>
    </w:p>
    <w:p>
      <w:pPr>
        <w:jc w:val="both"/>
        <w:ind w:left="620" w:firstLine="624"/>
        <w:spacing w:after="0" w:line="220" w:lineRule="auto"/>
        <w:tabs>
          <w:tab w:leader="none" w:pos="1663"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to purchase, redeem, retire, defease or otherwise make any payment in respect of any Equity Interest in such Person or any other Person (other than obligations of Toro or a Subsidiary of Toro to Red Iron under the terms of the Red Iron LLC Agreement (as in effect on the Closing Date)), valued, in the case of a redeemable preferred interest, at the greater of its voluntary or involuntary liquidation preference plus accrued and unpaid dividends;</w:t>
      </w:r>
    </w:p>
    <w:p>
      <w:pPr>
        <w:spacing w:after="0" w:line="148" w:lineRule="exact"/>
        <w:rPr>
          <w:rFonts w:ascii="Times New Roman" w:cs="Times New Roman" w:eastAsia="Times New Roman" w:hAnsi="Times New Roman"/>
          <w:sz w:val="21"/>
          <w:szCs w:val="21"/>
          <w:color w:val="auto"/>
        </w:rPr>
      </w:pPr>
    </w:p>
    <w:p>
      <w:pPr>
        <w:jc w:val="both"/>
        <w:ind w:left="620" w:firstLine="624"/>
        <w:spacing w:after="0" w:line="220" w:lineRule="auto"/>
        <w:tabs>
          <w:tab w:leader="none" w:pos="1744"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unpaid amount of all Receivables sold by any Person for which such Person has recourse liability or portion thereof for which such Person has recourse liability in cases where such recourse liability is not full except to the extent in an aggregate stated or principal amount, when taken together with amounts subject to the exception set forth in the following clause (h), at any time outstanding not to exceed $75,000,000; and</w:t>
      </w:r>
    </w:p>
    <w:p>
      <w:pPr>
        <w:spacing w:after="0" w:line="148" w:lineRule="exact"/>
        <w:rPr>
          <w:rFonts w:ascii="Times New Roman" w:cs="Times New Roman" w:eastAsia="Times New Roman" w:hAnsi="Times New Roman"/>
          <w:sz w:val="21"/>
          <w:szCs w:val="21"/>
          <w:color w:val="auto"/>
        </w:rPr>
      </w:pPr>
    </w:p>
    <w:p>
      <w:pPr>
        <w:jc w:val="both"/>
        <w:ind w:left="620" w:firstLine="624"/>
        <w:spacing w:after="0" w:line="213" w:lineRule="auto"/>
        <w:tabs>
          <w:tab w:leader="none" w:pos="1781"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Guarantees of such Person in respect of any of the foregoing, except to the extent (i) issued as a means of providing assurance of payment of amounts due by purchasers or lessees of the products or services of such Person or Affiliates of such Person to obligees providing financing for or purchasing obligations related to the acquisition or lease of such products or services (the “</w:t>
      </w:r>
      <w:r>
        <w:rPr>
          <w:rFonts w:ascii="Times New Roman" w:cs="Times New Roman" w:eastAsia="Times New Roman" w:hAnsi="Times New Roman"/>
          <w:sz w:val="21"/>
          <w:szCs w:val="21"/>
          <w:u w:val="single" w:color="auto"/>
          <w:color w:val="auto"/>
        </w:rPr>
        <w:t>End-User Financing Arrangements</w:t>
      </w:r>
      <w:r>
        <w:rPr>
          <w:rFonts w:ascii="Times New Roman" w:cs="Times New Roman" w:eastAsia="Times New Roman" w:hAnsi="Times New Roman"/>
          <w:sz w:val="21"/>
          <w:szCs w:val="21"/>
          <w:color w:val="auto"/>
        </w:rPr>
        <w:t>”); or, without duplication, (ii) to provide assurance of payments of amounts due Red Iron or TCF Canada in the ordinary course of Red Iron’s or TCF Canada’s business of financing purchases by distributors and dealers or products and services of such Person or an Affiliate of such Person (the “Red Iron/TCF Repurchase Obligations”), in an aggregate stated or principal amount, when taken together with amounts subject to the exception set forth in the preceding clause (g), at any time outstanding not to exceed $75,000,000.</w:t>
      </w:r>
    </w:p>
    <w:p>
      <w:pPr>
        <w:spacing w:after="0" w:line="146"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capital lease or Synthetic Lease Obligation as of any date shall be deemed to be the amount of Attributable Indebtedness in respect thereof as of such date.</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auto"/>
        </w:rPr>
        <w:t>For the avoidance of doubt, obligations with respect to Floor Plan Financing Arrangements shall not constitute “Indebtedness”.</w:t>
      </w:r>
    </w:p>
    <w:p>
      <w:pPr>
        <w:spacing w:after="0" w:line="183"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Indemnified Taxes</w:t>
      </w:r>
      <w:r>
        <w:rPr>
          <w:rFonts w:ascii="Times New Roman" w:cs="Times New Roman" w:eastAsia="Times New Roman" w:hAnsi="Times New Roman"/>
          <w:sz w:val="21"/>
          <w:szCs w:val="21"/>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Indemnitees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11.04(b)</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11.07</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Insolvency Proceeding</w:t>
      </w:r>
      <w:r>
        <w:rPr>
          <w:rFonts w:ascii="Times New Roman" w:cs="Times New Roman" w:eastAsia="Times New Roman" w:hAnsi="Times New Roman"/>
          <w:sz w:val="21"/>
          <w:szCs w:val="21"/>
          <w:color w:val="auto"/>
        </w:rPr>
        <w:t>” means, with respect to any Person, (a) any case, action or proceeding with respect to such Person before any court or other Governmental Authority relating to bankruptcy, reorganization, insolvency, liquidation, receivership, dissolution, winding-up or relief of debtors, or (b) any general assignment for the benefit of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342" w:right="339" w:bottom="1440" w:gutter="0" w:footer="0" w:header="0"/>
        </w:sectPr>
      </w:pPr>
    </w:p>
    <w:bookmarkStart w:id="89" w:name="page90"/>
    <w:bookmarkEnd w:id="89"/>
    <w:p>
      <w:pPr>
        <w:jc w:val="both"/>
        <w:spacing w:after="0" w:line="236" w:lineRule="auto"/>
        <w:rPr>
          <w:sz w:val="20"/>
          <w:szCs w:val="20"/>
          <w:color w:val="auto"/>
        </w:rPr>
      </w:pPr>
      <w:r>
        <w:rPr>
          <w:rFonts w:ascii="Times New Roman" w:cs="Times New Roman" w:eastAsia="Times New Roman" w:hAnsi="Times New Roman"/>
          <w:sz w:val="21"/>
          <w:szCs w:val="21"/>
          <w:color w:val="auto"/>
        </w:rPr>
        <w:t>composition, marshalling of assets for creditors, or other, similar arrangement in respect of its creditors generally or any substantial portion of its creditors; undertaken under U.S. Federal, state or foreign law, including the Bankruptcy Code of the United States.</w:t>
      </w:r>
    </w:p>
    <w:p>
      <w:pPr>
        <w:spacing w:after="0" w:line="145" w:lineRule="exact"/>
        <w:rPr>
          <w:sz w:val="20"/>
          <w:szCs w:val="20"/>
          <w:color w:val="auto"/>
        </w:rPr>
      </w:pPr>
    </w:p>
    <w:p>
      <w:pPr>
        <w:jc w:val="both"/>
        <w:ind w:firstLine="620"/>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means, (a) as to any Loan other than a Base Rate Loan, the last day of each Interest Period applicable to such Loan and the Maturity Date; provided, however, that if any Interest Period for an Alternative Currency Term Rate Loan or Term SOFR Loan exceeds three (3) months, the respective dates that fall every three (3) months after the beginning of such Interest Period shall also be Interest Payment Dates; (b) as to any Base Rate Loan (including a Swing Line Loan), the last Business Day of each March, June, September and December and the Maturity Date and (c) as to any Alternative Currency Daily Rate Loan, the last Business Day of each month and the Maturity Date.</w:t>
      </w:r>
    </w:p>
    <w:p>
      <w:pPr>
        <w:spacing w:after="0" w:line="149" w:lineRule="exact"/>
        <w:rPr>
          <w:sz w:val="20"/>
          <w:szCs w:val="20"/>
          <w:color w:val="auto"/>
        </w:rPr>
      </w:pPr>
    </w:p>
    <w:p>
      <w:pPr>
        <w:jc w:val="both"/>
        <w:ind w:firstLine="620"/>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means, as to each Alternative Currency Term Rate Loan or Term SOFR Loan, as applicable, the period commencing on the date such Alternative Currency Term Rate Loan or Term SOFR Loan is disbursed or converted to or continued as an Alternative Currency Term Rate Loan or Term SOFR Loan, as applicable and ending on the date one (1), three (3) or (in the case of Alternative Currency Term Rate Loans only) six (6) months thereafter (or in the case of an Alternative Currency Term Rate Loan denominated in Mexican Pesos, twenty-eight (28), ninety-one (91) or one hundred eighty two (182) days thereafter), as selected by Toro in its Loan Notice, or such other period that is twelve (12) months or less requested by Toro and consented to by all the Appropriate Lenders and the Administrative Agent (in the case of each requested Interest Period, subject to availability); provided that:</w:t>
      </w:r>
    </w:p>
    <w:p>
      <w:pPr>
        <w:spacing w:after="0" w:line="151" w:lineRule="exact"/>
        <w:rPr>
          <w:sz w:val="20"/>
          <w:szCs w:val="20"/>
          <w:color w:val="auto"/>
        </w:rPr>
      </w:pPr>
    </w:p>
    <w:p>
      <w:pPr>
        <w:jc w:val="both"/>
        <w:ind w:left="620" w:firstLine="624"/>
        <w:spacing w:after="0" w:line="225" w:lineRule="auto"/>
        <w:tabs>
          <w:tab w:leader="none" w:pos="1729"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Period that would otherwise end on a day that is not a Business Day shall be extended to the next succeeding Business Day unless, in the case of an Alternative Currency Term Rate Loan or Term SOFR Loan, such Business Day falls in another calendar month, in which case such Interest Period shall end on the immediately preceding Business Day;</w:t>
      </w:r>
    </w:p>
    <w:p>
      <w:pPr>
        <w:spacing w:after="0" w:line="147" w:lineRule="exact"/>
        <w:rPr>
          <w:rFonts w:ascii="Times New Roman" w:cs="Times New Roman" w:eastAsia="Times New Roman" w:hAnsi="Times New Roman"/>
          <w:sz w:val="21"/>
          <w:szCs w:val="21"/>
          <w:color w:val="auto"/>
        </w:rPr>
      </w:pPr>
    </w:p>
    <w:p>
      <w:pPr>
        <w:jc w:val="both"/>
        <w:ind w:left="620" w:firstLine="624"/>
        <w:spacing w:after="0" w:line="220" w:lineRule="auto"/>
        <w:tabs>
          <w:tab w:leader="none" w:pos="1728"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Period pertaining to an Alternative Currency Term Rate Loan or Term SOFR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35" w:lineRule="exact"/>
        <w:rPr>
          <w:rFonts w:ascii="Times New Roman" w:cs="Times New Roman" w:eastAsia="Times New Roman" w:hAnsi="Times New Roman"/>
          <w:sz w:val="21"/>
          <w:szCs w:val="21"/>
          <w:color w:val="auto"/>
        </w:rPr>
      </w:pPr>
    </w:p>
    <w:p>
      <w:pPr>
        <w:ind w:left="1900" w:hanging="656"/>
        <w:spacing w:after="0"/>
        <w:tabs>
          <w:tab w:leader="none" w:pos="1900"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Interest Period shall extend beyond the Maturity Date. “IRS” means the United States Internal Revenue</w:t>
      </w:r>
    </w:p>
    <w:p>
      <w:pPr>
        <w:ind w:left="6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Service.</w:t>
      </w:r>
    </w:p>
    <w:p>
      <w:pPr>
        <w:spacing w:after="0" w:line="150"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ISP</w:t>
      </w:r>
      <w:r>
        <w:rPr>
          <w:rFonts w:ascii="Times New Roman" w:cs="Times New Roman" w:eastAsia="Times New Roman" w:hAnsi="Times New Roman"/>
          <w:sz w:val="21"/>
          <w:szCs w:val="21"/>
          <w:color w:val="auto"/>
        </w:rPr>
        <w:t>” means the International Standby Practices, International Chamber of Commerce Publication No. 590 (or such later version thereof as may be in effect at the applicable time).</w:t>
      </w:r>
    </w:p>
    <w:p>
      <w:pPr>
        <w:spacing w:after="0" w:line="145"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Issuer Documents</w:t>
      </w:r>
      <w:r>
        <w:rPr>
          <w:rFonts w:ascii="Times New Roman" w:cs="Times New Roman" w:eastAsia="Times New Roman" w:hAnsi="Times New Roman"/>
          <w:sz w:val="21"/>
          <w:szCs w:val="21"/>
          <w:color w:val="auto"/>
        </w:rPr>
        <w:t>” means with respect to any Letter of Credit, the Letter of Credit Application, and any other document, agreement and instrument entered into by the L/C Issuer and the L/C Parties or in favor of the L/C Issuer and relating to any such Letter of Credit.</w:t>
      </w:r>
    </w:p>
    <w:p>
      <w:pPr>
        <w:spacing w:after="0" w:line="148"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Joint Venture</w:t>
      </w:r>
      <w:r>
        <w:rPr>
          <w:rFonts w:ascii="Times New Roman" w:cs="Times New Roman" w:eastAsia="Times New Roman" w:hAnsi="Times New Roman"/>
          <w:sz w:val="21"/>
          <w:szCs w:val="21"/>
          <w:color w:val="auto"/>
        </w:rPr>
        <w:t>” means a corporation, partnership, limited liability company, joint venture or other similar legal arrangement (whether created by contract or conducted through a separate legal entity) now or hereafter formed or entered into by any of the Borrowers or any of their Subsidiaries with another Person or in which the Borrowers or any of their Subsidiaries may invest in order to conduct or further a common venture or enterprise with such Person, the investment in which does not constitute an Acquisition.</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KPIs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342" w:right="339" w:bottom="1440" w:gutter="0" w:footer="0" w:header="0"/>
        </w:sectPr>
      </w:pPr>
    </w:p>
    <w:bookmarkStart w:id="90" w:name="page91"/>
    <w:bookmarkEnd w:id="90"/>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Latest Maturity Date</w:t>
      </w:r>
      <w:r>
        <w:rPr>
          <w:rFonts w:ascii="Times New Roman" w:cs="Times New Roman" w:eastAsia="Times New Roman" w:hAnsi="Times New Roman"/>
          <w:sz w:val="21"/>
          <w:szCs w:val="21"/>
          <w:color w:val="auto"/>
        </w:rPr>
        <w:t>” means, as of any date of determination, the latest maturity date applicable to any Loans or Commitments.</w:t>
      </w:r>
    </w:p>
    <w:p>
      <w:pPr>
        <w:spacing w:after="0" w:line="145"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Laws</w:t>
      </w:r>
      <w:r>
        <w:rPr>
          <w:rFonts w:ascii="Times New Roman" w:cs="Times New Roman" w:eastAsia="Times New Roman" w:hAnsi="Times New Roman"/>
          <w:sz w:val="21"/>
          <w:szCs w:val="21"/>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49"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Advance</w:t>
      </w:r>
      <w:r>
        <w:rPr>
          <w:rFonts w:ascii="Times New Roman" w:cs="Times New Roman" w:eastAsia="Times New Roman" w:hAnsi="Times New Roman"/>
          <w:sz w:val="21"/>
          <w:szCs w:val="21"/>
          <w:color w:val="auto"/>
        </w:rPr>
        <w:t>” means, with respect to each Revolving Credit Lender, such Lender’s funding of its participation in any L/C Borrowing in accordance with its Applicable Revolving Credit Percentage. All L/C Advances shall be denominated in Dollars.</w:t>
      </w:r>
    </w:p>
    <w:p>
      <w:pPr>
        <w:spacing w:after="0" w:line="145"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Borrowing</w:t>
      </w:r>
      <w:r>
        <w:rPr>
          <w:rFonts w:ascii="Times New Roman" w:cs="Times New Roman" w:eastAsia="Times New Roman" w:hAnsi="Times New Roman"/>
          <w:sz w:val="21"/>
          <w:szCs w:val="21"/>
          <w:color w:val="auto"/>
        </w:rPr>
        <w:t xml:space="preserve"> ” means an extension of credit resulting from a drawing under any Letter of Credit which has not been reimbursed on the date when made or refinanced as a Revolving Credit Borrowing. All L/C Borrowings shall be denominated in Dollars, and in regards to Letters of Credit issued in an Alternative Currency, shall be the Dollar Equivalent thereof.</w:t>
      </w:r>
    </w:p>
    <w:p>
      <w:pPr>
        <w:spacing w:after="0" w:line="148"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Credit Extension</w:t>
      </w:r>
      <w:r>
        <w:rPr>
          <w:rFonts w:ascii="Times New Roman" w:cs="Times New Roman" w:eastAsia="Times New Roman" w:hAnsi="Times New Roman"/>
          <w:sz w:val="21"/>
          <w:szCs w:val="21"/>
          <w:color w:val="auto"/>
        </w:rPr>
        <w:t>” means, with respect to any Letter of Credit, the issuance thereof or extension of the expiry date thereof, or the increase of the amount thereof.</w:t>
      </w:r>
    </w:p>
    <w:p>
      <w:pPr>
        <w:spacing w:after="0" w:line="145"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Issuer</w:t>
      </w:r>
      <w:r>
        <w:rPr>
          <w:rFonts w:ascii="Times New Roman" w:cs="Times New Roman" w:eastAsia="Times New Roman" w:hAnsi="Times New Roman"/>
          <w:sz w:val="21"/>
          <w:szCs w:val="21"/>
          <w:color w:val="auto"/>
        </w:rPr>
        <w:t xml:space="preserve">” means Bank of America in its capacity as issuer of Letters of Credit hereunder, or any successor issuer of Letters of Credit hereunder, in each case, with the commitments of each L/C Issuer as set forth in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jc w:val="both"/>
        <w:ind w:firstLine="620"/>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Obligations</w:t>
      </w:r>
      <w:r>
        <w:rPr>
          <w:rFonts w:ascii="Times New Roman" w:cs="Times New Roman" w:eastAsia="Times New Roman" w:hAnsi="Times New Roman"/>
          <w:sz w:val="21"/>
          <w:szCs w:val="21"/>
          <w:color w:val="auto"/>
        </w:rPr>
        <w:t xml:space="preserve">” means, as at any date of determination, the aggregate amount available to be drawn under all outstanding Letters of Credit plus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1"/>
          <w:szCs w:val="21"/>
          <w:u w:val="single" w:color="auto"/>
          <w:color w:val="auto"/>
        </w:rPr>
        <w:t>Section 1.08</w:t>
      </w:r>
      <w:r>
        <w:rPr>
          <w:rFonts w:ascii="Times New Roman" w:cs="Times New Roman" w:eastAsia="Times New Roman" w:hAnsi="Times New Roman"/>
          <w:sz w:val="21"/>
          <w:szCs w:val="21"/>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Parties</w:t>
      </w:r>
      <w:r>
        <w:rPr>
          <w:rFonts w:ascii="Times New Roman" w:cs="Times New Roman" w:eastAsia="Times New Roman" w:hAnsi="Times New Roman"/>
          <w:sz w:val="21"/>
          <w:szCs w:val="21"/>
          <w:color w:val="auto"/>
        </w:rPr>
        <w:t>” means, collectively, Toro and its Subsidiaries.</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has the meaning specified in the introductory paragraph hereto and, as the context requires, includes the Swing Line Lender.</w:t>
      </w:r>
    </w:p>
    <w:p>
      <w:pPr>
        <w:spacing w:after="0" w:line="145"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Lending Office</w:t>
      </w:r>
      <w:r>
        <w:rPr>
          <w:rFonts w:ascii="Times New Roman" w:cs="Times New Roman" w:eastAsia="Times New Roman" w:hAnsi="Times New Roman"/>
          <w:sz w:val="21"/>
          <w:szCs w:val="21"/>
          <w:color w:val="auto"/>
        </w:rPr>
        <w:t>” means, as to any Lender, the office or offices of such Lender described as such in such Lender’s Administrative Questionnaire, or such other office or offices as a Lender may from time to time notify Toro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48"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w:t>
      </w:r>
      <w:r>
        <w:rPr>
          <w:rFonts w:ascii="Times New Roman" w:cs="Times New Roman" w:eastAsia="Times New Roman" w:hAnsi="Times New Roman"/>
          <w:sz w:val="21"/>
          <w:szCs w:val="21"/>
          <w:color w:val="auto"/>
        </w:rPr>
        <w:t>” means any standby letter of credit issued hereunder and shall include the Existing Letters of Credit. Letters of Credit may be issued in Dollars or in an Alternative Currency.</w:t>
      </w:r>
    </w:p>
    <w:p>
      <w:pPr>
        <w:spacing w:after="0" w:line="145"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Application</w:t>
      </w:r>
      <w:r>
        <w:rPr>
          <w:rFonts w:ascii="Times New Roman" w:cs="Times New Roman" w:eastAsia="Times New Roman" w:hAnsi="Times New Roman"/>
          <w:sz w:val="21"/>
          <w:szCs w:val="21"/>
          <w:color w:val="auto"/>
        </w:rPr>
        <w:t>” means an application and agreement for the issuance or amendment of a Letter of Credit in the form from time to time in use by the L/C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342" w:right="339" w:bottom="1440" w:gutter="0" w:footer="0" w:header="0"/>
        </w:sectPr>
      </w:pPr>
    </w:p>
    <w:bookmarkStart w:id="91" w:name="page92"/>
    <w:bookmarkEnd w:id="91"/>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Expiration Date</w:t>
      </w:r>
      <w:r>
        <w:rPr>
          <w:rFonts w:ascii="Times New Roman" w:cs="Times New Roman" w:eastAsia="Times New Roman" w:hAnsi="Times New Roman"/>
          <w:sz w:val="21"/>
          <w:szCs w:val="21"/>
          <w:color w:val="auto"/>
        </w:rPr>
        <w:t>” means the day that is seven days prior to the Maturity Date then in effect (or, if such day is not a Business Day, the next preceding Business Day).</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Fee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2.03(h)</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Letter of Credit Sublimit</w:t>
      </w:r>
      <w:r>
        <w:rPr>
          <w:rFonts w:ascii="Times New Roman" w:cs="Times New Roman" w:eastAsia="Times New Roman" w:hAnsi="Times New Roman"/>
          <w:sz w:val="21"/>
          <w:szCs w:val="21"/>
          <w:color w:val="auto"/>
        </w:rPr>
        <w:t>” means an amount equal to the lesser of (a) $10,000,000 and (b) the Aggregate Commitments. The Letter of Credit Sublimit is part of, and not in addition to, the Revolving Credit Facility.</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Leverage Ratio</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48"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Limited Conditionality Acquisition</w:t>
      </w:r>
      <w:r>
        <w:rPr>
          <w:rFonts w:ascii="Times New Roman" w:cs="Times New Roman" w:eastAsia="Times New Roman" w:hAnsi="Times New Roman"/>
          <w:sz w:val="21"/>
          <w:szCs w:val="21"/>
          <w:color w:val="auto"/>
        </w:rPr>
        <w:t>” means any Acquisition that (a) is not prohibited hereunder, (b) is financed in whole or in part with a substantially concurrent incurrence of Indebtedness, and (c) is not conditioned on the availability of, or on obtaining, third-party financing.</w:t>
      </w:r>
    </w:p>
    <w:p>
      <w:pPr>
        <w:spacing w:after="0" w:line="148"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w:t>
      </w:r>
      <w:r>
        <w:rPr>
          <w:rFonts w:ascii="Times New Roman" w:cs="Times New Roman" w:eastAsia="Times New Roman" w:hAnsi="Times New Roman"/>
          <w:sz w:val="21"/>
          <w:szCs w:val="21"/>
          <w:color w:val="auto"/>
        </w:rPr>
        <w:t>” means an extension of credit by a Lender to a Borrower under Article II in the form of a Term Loan, a Revolving Credit Loan or a Swing Line Loan.</w:t>
      </w:r>
    </w:p>
    <w:p>
      <w:pPr>
        <w:spacing w:after="0" w:line="145"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Documents</w:t>
      </w:r>
      <w:r>
        <w:rPr>
          <w:rFonts w:ascii="Times New Roman" w:cs="Times New Roman" w:eastAsia="Times New Roman" w:hAnsi="Times New Roman"/>
          <w:sz w:val="21"/>
          <w:szCs w:val="21"/>
          <w:color w:val="auto"/>
        </w:rPr>
        <w:t xml:space="preserve">” means this Agreement, each Designated Borrower Request and Assumption Agreement, each Note, each Issuer Document, any agreement creating or perfecting rights in Cash Collateral pursuant to the provisions of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of this Agreement and the Fee Letters.</w:t>
      </w:r>
    </w:p>
    <w:p>
      <w:pPr>
        <w:spacing w:after="0" w:line="148"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Notice</w:t>
      </w:r>
      <w:r>
        <w:rPr>
          <w:rFonts w:ascii="Times New Roman" w:cs="Times New Roman" w:eastAsia="Times New Roman" w:hAnsi="Times New Roman"/>
          <w:sz w:val="21"/>
          <w:szCs w:val="21"/>
          <w:color w:val="auto"/>
        </w:rPr>
        <w:t xml:space="preserve">” means a notice of (a) Borrowing, (b) a conversion of Loans from one Type to the other, or (c) a continuation of Alternative Currency Term Rate Loans or Term SOFR Loans, pursuant to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which shall be substantially in the form of Exhibit A or such other form as may be approved by the Administrative Agent (including any form on an electronic platform or electronic transmission system as shall be approved by the Administrative Agent), appropriately completed and signed by a Responsible Officer of Toro.</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Parties</w:t>
      </w:r>
      <w:r>
        <w:rPr>
          <w:rFonts w:ascii="Times New Roman" w:cs="Times New Roman" w:eastAsia="Times New Roman" w:hAnsi="Times New Roman"/>
          <w:sz w:val="21"/>
          <w:szCs w:val="21"/>
          <w:color w:val="auto"/>
        </w:rPr>
        <w:t>” means, collectively, Toro and each Subsidiary Borrower.</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Margin Stock</w:t>
      </w:r>
      <w:r>
        <w:rPr>
          <w:rFonts w:ascii="Times New Roman" w:cs="Times New Roman" w:eastAsia="Times New Roman" w:hAnsi="Times New Roman"/>
          <w:sz w:val="21"/>
          <w:szCs w:val="21"/>
          <w:color w:val="auto"/>
        </w:rPr>
        <w:t>” means “margin stock” as such term is defined in Regulation T, U or X of the FRB.</w:t>
      </w:r>
    </w:p>
    <w:p>
      <w:pPr>
        <w:spacing w:after="0" w:line="172"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Adverse Effect</w:t>
      </w:r>
      <w:r>
        <w:rPr>
          <w:rFonts w:ascii="Times New Roman" w:cs="Times New Roman" w:eastAsia="Times New Roman" w:hAnsi="Times New Roman"/>
          <w:sz w:val="21"/>
          <w:szCs w:val="21"/>
          <w:color w:val="auto"/>
        </w:rPr>
        <w:t xml:space="preserve">” means (a) a material impairment of the ability of any Loan Party to perform its obligations under any Loan Document to which it is a party, (b) a material adverse effect upon the legality, validity, binding effect or enforceability against any Loan Party of any Loan Document to which it is a party, or (c) solely with respect to the provisions of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and the representations and warranties to be made on the Closing Date, a material adverse change in, or a material adverse effect on, the operations, business, assets, or condition (financial or otherwise) of Toro or Toro and its Subsidiaries, taken as a whole.</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Disposition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1.03(e)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342" w:right="339" w:bottom="1440" w:gutter="0" w:footer="0" w:header="0"/>
        </w:sectPr>
      </w:pPr>
    </w:p>
    <w:bookmarkStart w:id="92" w:name="page93"/>
    <w:bookmarkEnd w:id="92"/>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Subsidiary</w:t>
      </w:r>
      <w:r>
        <w:rPr>
          <w:rFonts w:ascii="Times New Roman" w:cs="Times New Roman" w:eastAsia="Times New Roman" w:hAnsi="Times New Roman"/>
          <w:sz w:val="21"/>
          <w:szCs w:val="21"/>
          <w:color w:val="auto"/>
        </w:rPr>
        <w:t xml:space="preserve">” means, at any time of determination, any Subsidiary having at such time either (a) 10% or more of the net book value of the consolidated total assets of Toro and its Subsidiaries as of the last day of the preceding fiscal quarter or (b) 5% or more of the consolidated total (gross) revenues of Toro and its Subsidiaries for the preceding four fiscal quarter period, in each case, based upon Toro’s most recent annual or quarterly financial statements delivered to the Lenders under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means October 5, 2026; provided, however, that, in each case, if such date is not a Business Day, the Maturity Date shall be the next preceding Business Day.</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Mexican Peso</w:t>
      </w:r>
      <w:r>
        <w:rPr>
          <w:rFonts w:ascii="Times New Roman" w:cs="Times New Roman" w:eastAsia="Times New Roman" w:hAnsi="Times New Roman"/>
          <w:sz w:val="21"/>
          <w:szCs w:val="21"/>
          <w:color w:val="auto"/>
        </w:rPr>
        <w:t>” means the lawful currency of Mexico.</w:t>
      </w:r>
    </w:p>
    <w:p>
      <w:pPr>
        <w:spacing w:after="0" w:line="172" w:lineRule="exact"/>
        <w:rPr>
          <w:sz w:val="20"/>
          <w:szCs w:val="20"/>
          <w:color w:val="auto"/>
        </w:rPr>
      </w:pPr>
    </w:p>
    <w:p>
      <w:pPr>
        <w:jc w:val="both"/>
        <w:ind w:firstLine="620"/>
        <w:spacing w:after="0" w:line="22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Collateral Amount</w:t>
      </w:r>
      <w:r>
        <w:rPr>
          <w:rFonts w:ascii="Times New Roman" w:cs="Times New Roman" w:eastAsia="Times New Roman" w:hAnsi="Times New Roman"/>
          <w:sz w:val="20"/>
          <w:szCs w:val="20"/>
          <w:color w:val="auto"/>
        </w:rPr>
        <w:t xml:space="preserve">” means, at any time, (a) with respect to Cash Collateral consisting of cash or deposit account balances provided to reduce or eliminate Fronting Exposure during the existence of a Defaulting Lender that is a Lender, an amount equal to 105% of the Fronting Exposure of the L/C Issuer with respect to Letters of Credit issued and outstanding at such time, (b) with respect to Cash Collateral consisting of cash or deposit account balances provided in accordance with the provisions of </w:t>
      </w:r>
      <w:r>
        <w:rPr>
          <w:rFonts w:ascii="Times New Roman" w:cs="Times New Roman" w:eastAsia="Times New Roman" w:hAnsi="Times New Roman"/>
          <w:sz w:val="20"/>
          <w:szCs w:val="20"/>
          <w:u w:val="single" w:color="auto"/>
          <w:color w:val="auto"/>
        </w:rPr>
        <w:t>Section 2.15(a)</w:t>
      </w:r>
    </w:p>
    <w:p>
      <w:pPr>
        <w:spacing w:after="0" w:line="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(a)(iii)</w:t>
      </w:r>
      <w:r>
        <w:rPr>
          <w:rFonts w:ascii="Times New Roman" w:cs="Times New Roman" w:eastAsia="Times New Roman" w:hAnsi="Times New Roman"/>
          <w:sz w:val="21"/>
          <w:szCs w:val="21"/>
          <w:color w:val="auto"/>
        </w:rPr>
        <w:t>, an amount equal to 105% of the Outstanding Amount of all L/C Obligations, and (c) otherwise, an amount determined by the Administrative Agent and the L/C Issuer in their sole discretion.</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Moody’s</w:t>
      </w:r>
      <w:r>
        <w:rPr>
          <w:rFonts w:ascii="Times New Roman" w:cs="Times New Roman" w:eastAsia="Times New Roman" w:hAnsi="Times New Roman"/>
          <w:sz w:val="21"/>
          <w:szCs w:val="21"/>
          <w:color w:val="auto"/>
        </w:rPr>
        <w:t>” means Moody’s Investors Service, Inc. and any successor thereto.</w:t>
      </w:r>
    </w:p>
    <w:p>
      <w:pPr>
        <w:spacing w:after="0" w:line="17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Multiemployer Plan</w:t>
      </w:r>
      <w:r>
        <w:rPr>
          <w:rFonts w:ascii="Times New Roman" w:cs="Times New Roman" w:eastAsia="Times New Roman" w:hAnsi="Times New Roman"/>
          <w:sz w:val="21"/>
          <w:szCs w:val="21"/>
          <w:color w:val="auto"/>
        </w:rPr>
        <w:t>” means any employee benefit plan of the type described in Section 4001(a)(3) of ERISA, to which any Borrower or any ERISA Affiliate makes or is obligated to make contributions, or during the preceding five plan years, has made or been obligated to make contributions.</w:t>
      </w:r>
    </w:p>
    <w:p>
      <w:pPr>
        <w:spacing w:after="0" w:line="148"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Multiple Employer Plan</w:t>
      </w:r>
      <w:r>
        <w:rPr>
          <w:rFonts w:ascii="Times New Roman" w:cs="Times New Roman" w:eastAsia="Times New Roman" w:hAnsi="Times New Roman"/>
          <w:sz w:val="21"/>
          <w:szCs w:val="21"/>
          <w:color w:val="auto"/>
        </w:rPr>
        <w:t>” means a Plan which has two or more contributing sponsors (including any Borrower or any ERISA Affiliate) at least two of whom are not under common control, as such a plan is described in Section 4064 of ERISA.</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Non-Defaulting Lender</w:t>
      </w:r>
      <w:r>
        <w:rPr>
          <w:rFonts w:ascii="Times New Roman" w:cs="Times New Roman" w:eastAsia="Times New Roman" w:hAnsi="Times New Roman"/>
          <w:sz w:val="21"/>
          <w:szCs w:val="21"/>
          <w:color w:val="auto"/>
        </w:rPr>
        <w:t>” means, at any time, each Lender that is not a Defaulting Lender at such time.</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Note</w:t>
      </w:r>
      <w:r>
        <w:rPr>
          <w:rFonts w:ascii="Times New Roman" w:cs="Times New Roman" w:eastAsia="Times New Roman" w:hAnsi="Times New Roman"/>
          <w:sz w:val="21"/>
          <w:szCs w:val="21"/>
          <w:color w:val="auto"/>
        </w:rPr>
        <w:t>” means a Term Note or a Revolving Credit Note, as the context may require.</w:t>
      </w:r>
    </w:p>
    <w:p>
      <w:pPr>
        <w:spacing w:after="0" w:line="172" w:lineRule="exact"/>
        <w:rPr>
          <w:sz w:val="20"/>
          <w:szCs w:val="20"/>
          <w:color w:val="auto"/>
        </w:rPr>
      </w:pPr>
    </w:p>
    <w:p>
      <w:pPr>
        <w:jc w:val="both"/>
        <w:ind w:firstLine="620"/>
        <w:spacing w:after="0" w:line="22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OFAC</w:t>
      </w:r>
      <w:r>
        <w:rPr>
          <w:rFonts w:ascii="Times New Roman" w:cs="Times New Roman" w:eastAsia="Times New Roman" w:hAnsi="Times New Roman"/>
          <w:sz w:val="21"/>
          <w:szCs w:val="21"/>
          <w:color w:val="auto"/>
        </w:rPr>
        <w:t>” means the Office of Foreign Assets Control of the United States Department of the Treasury.</w:t>
      </w:r>
    </w:p>
    <w:p>
      <w:pPr>
        <w:spacing w:after="0" w:line="172"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Organization Documents</w:t>
      </w:r>
      <w:r>
        <w:rPr>
          <w:rFonts w:ascii="Times New Roman" w:cs="Times New Roman" w:eastAsia="Times New Roman" w:hAnsi="Times New Roman"/>
          <w:sz w:val="21"/>
          <w:szCs w:val="21"/>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or limited liability company agreement (or equivalent or comparable constitutive documents with respect to any non-U.S.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342" w:right="339" w:bottom="1440" w:gutter="0" w:footer="0" w:header="0"/>
        </w:sectPr>
      </w:pPr>
    </w:p>
    <w:bookmarkStart w:id="93" w:name="page94"/>
    <w:bookmarkEnd w:id="93"/>
    <w:p>
      <w:pPr>
        <w:jc w:val="both"/>
        <w:spacing w:after="0" w:line="220" w:lineRule="auto"/>
        <w:rPr>
          <w:sz w:val="20"/>
          <w:szCs w:val="20"/>
          <w:color w:val="auto"/>
        </w:rPr>
      </w:pPr>
      <w:r>
        <w:rPr>
          <w:rFonts w:ascii="Times New Roman" w:cs="Times New Roman" w:eastAsia="Times New Roman" w:hAnsi="Times New Roman"/>
          <w:sz w:val="21"/>
          <w:szCs w:val="21"/>
          <w:color w:val="auto"/>
        </w:rPr>
        <w:t>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48"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Originators</w:t>
      </w:r>
      <w:r>
        <w:rPr>
          <w:rFonts w:ascii="Times New Roman" w:cs="Times New Roman" w:eastAsia="Times New Roman" w:hAnsi="Times New Roman"/>
          <w:sz w:val="21"/>
          <w:szCs w:val="21"/>
          <w:color w:val="auto"/>
        </w:rPr>
        <w:t>” means any Borrower and/or any of its domestic Wholly-Owned Subsidiaries in their respective capacities as parties to any documents related to any Receivables Purchase Facility, as sellers or transferors of any Receivables and related security in connection with a Permitted Receivables Transfer.</w:t>
      </w:r>
    </w:p>
    <w:p>
      <w:pPr>
        <w:spacing w:after="0" w:line="148"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Connection Taxes</w:t>
      </w:r>
      <w:r>
        <w:rPr>
          <w:rFonts w:ascii="Times New Roman" w:cs="Times New Roman" w:eastAsia="Times New Roman" w:hAnsi="Times New Roman"/>
          <w:sz w:val="21"/>
          <w:szCs w:val="21"/>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49"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Other Taxes</w:t>
      </w:r>
      <w:r>
        <w:rPr>
          <w:rFonts w:ascii="Times New Roman" w:cs="Times New Roman" w:eastAsia="Times New Roman" w:hAnsi="Times New Roman"/>
          <w:sz w:val="21"/>
          <w:szCs w:val="21"/>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jc w:val="both"/>
        <w:ind w:firstLine="620"/>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Outstanding Amount</w:t>
      </w:r>
      <w:r>
        <w:rPr>
          <w:rFonts w:ascii="Times New Roman" w:cs="Times New Roman" w:eastAsia="Times New Roman" w:hAnsi="Times New Roman"/>
          <w:sz w:val="21"/>
          <w:szCs w:val="21"/>
          <w:color w:val="auto"/>
        </w:rPr>
        <w:t>” means (a) with respect to Term Loans, Revolving Credit Loans and Swing Line Loans on any date, the Dollar Equivalent of the aggregate outstanding principal amount thereof after giving effect to any borrowings and prepayments or repayments of Term Loans, Revolving Credit Loans and Swing Line Loans, as the case may be, occurring on such date; and (b) with respect to any L/C Obligations on any date, the Dollar Equivalent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Borrowers of Unreimbursed Amounts.</w:t>
      </w:r>
    </w:p>
    <w:p>
      <w:pPr>
        <w:spacing w:after="0" w:line="149"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Overnight Rate</w:t>
      </w:r>
      <w:r>
        <w:rPr>
          <w:rFonts w:ascii="Times New Roman" w:cs="Times New Roman" w:eastAsia="Times New Roman" w:hAnsi="Times New Roman"/>
          <w:sz w:val="21"/>
          <w:szCs w:val="21"/>
          <w:color w:val="auto"/>
        </w:rPr>
        <w:t>” means, for any day, (a) with respect to any amount denominated in Dollars, the greater of (i) the Federal Funds Rate and (ii) an overnight rate determined by the Administrative Agent, the L/C Issuer, or the Swing Line Lender, as the case may be, in accordance with banking industry rules on interbank compensation, and (b) with respect to any amount denominated in an Alternative Currency, an overnight rate determined by the Administrative Agent in accordance with banking industry rules on interbank compensation.</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11.06(d</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11.06(d).</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Participating Member State</w:t>
      </w:r>
      <w:r>
        <w:rPr>
          <w:rFonts w:ascii="Times New Roman" w:cs="Times New Roman" w:eastAsia="Times New Roman" w:hAnsi="Times New Roman"/>
          <w:sz w:val="21"/>
          <w:szCs w:val="21"/>
          <w:color w:val="auto"/>
        </w:rPr>
        <w:t>” means any member state of the European Union that has the Euro as its lawful currency in accordance with legislation of the European Union relating to Economic and Monetary Union.</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PBGC</w:t>
      </w:r>
      <w:r>
        <w:rPr>
          <w:rFonts w:ascii="Times New Roman" w:cs="Times New Roman" w:eastAsia="Times New Roman" w:hAnsi="Times New Roman"/>
          <w:sz w:val="21"/>
          <w:szCs w:val="21"/>
          <w:color w:val="auto"/>
        </w:rPr>
        <w:t>” means the Pension Benefit Guaranty Corporation.</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Pension Act</w:t>
      </w:r>
      <w:r>
        <w:rPr>
          <w:rFonts w:ascii="Times New Roman" w:cs="Times New Roman" w:eastAsia="Times New Roman" w:hAnsi="Times New Roman"/>
          <w:sz w:val="21"/>
          <w:szCs w:val="21"/>
          <w:color w:val="auto"/>
        </w:rPr>
        <w:t>” means the Pension Protection Act of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1342" w:right="339" w:bottom="1440" w:gutter="0" w:footer="0" w:header="0"/>
        </w:sectPr>
      </w:pPr>
    </w:p>
    <w:bookmarkStart w:id="94" w:name="page95"/>
    <w:bookmarkEnd w:id="94"/>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Pension Funding Rules</w:t>
      </w:r>
      <w:r>
        <w:rPr>
          <w:rFonts w:ascii="Times New Roman" w:cs="Times New Roman" w:eastAsia="Times New Roman" w:hAnsi="Times New Roman"/>
          <w:sz w:val="21"/>
          <w:szCs w:val="21"/>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48"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Pension Plan</w:t>
      </w:r>
      <w:r>
        <w:rPr>
          <w:rFonts w:ascii="Times New Roman" w:cs="Times New Roman" w:eastAsia="Times New Roman" w:hAnsi="Times New Roman"/>
          <w:sz w:val="21"/>
          <w:szCs w:val="21"/>
          <w:color w:val="auto"/>
        </w:rPr>
        <w:t>” means any employee pension benefit plan (including a Multiple Employer Plan or a Multiemployer Plan) that is maintained or is contributed to by any Borrower or any ERISA Affiliate and is either covered by Title IV of ERISA or is subject to the minimum funding standards under Section 412 of the Code.</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Liens</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Receivables Transfer</w:t>
      </w:r>
      <w:r>
        <w:rPr>
          <w:rFonts w:ascii="Times New Roman" w:cs="Times New Roman" w:eastAsia="Times New Roman" w:hAnsi="Times New Roman"/>
          <w:sz w:val="21"/>
          <w:szCs w:val="21"/>
          <w:color w:val="auto"/>
        </w:rPr>
        <w:t>” means (a) a sale or other transfer by an Originator to an SPV of Receivables for fair market value and without recourse (except for limited recourse typical of such structured finance transactions), and/or (b) a sale or other transfer by an SPV to (a) purchasers of or other investors in such Receivables and related security or (b) any other Person (including an SPV) in a transaction in which purchasers or other investors purchase or are otherwise transferred such Receivables and related security, in the case of either clause (a) or (b) above pursuant to and in accordance with the terms of the documents related to any Receivables Purchase Facility.</w:t>
      </w:r>
    </w:p>
    <w:p>
      <w:pPr>
        <w:spacing w:after="0" w:line="149"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Swap Obligation</w:t>
      </w:r>
      <w:r>
        <w:rPr>
          <w:rFonts w:ascii="Times New Roman" w:cs="Times New Roman" w:eastAsia="Times New Roman" w:hAnsi="Times New Roman"/>
          <w:sz w:val="20"/>
          <w:szCs w:val="20"/>
          <w:color w:val="auto"/>
        </w:rPr>
        <w:t>” means all obligations (contingent or otherwise) of any Borrower or any Subsidiary existing or arising under Swap Contracts, provided that each of the following criteria is satisfied: (a) such obligations are (or were) entered into by such Person in the ordinary course of business for the purpose of directly mitigating risks associated with liabilities, commitments or assets held or reasonably anticipated by such Person, or changes in the value of securities issued by such Person in conjunction with a securities repurchase program not otherwise prohibited hereunder, and not for purposes of speculation or taking a “market view;” and</w:t>
      </w:r>
    </w:p>
    <w:p>
      <w:pPr>
        <w:spacing w:after="0" w:line="2" w:lineRule="exact"/>
        <w:rPr>
          <w:sz w:val="20"/>
          <w:szCs w:val="20"/>
          <w:color w:val="auto"/>
        </w:rPr>
      </w:pPr>
    </w:p>
    <w:p>
      <w:pPr>
        <w:ind w:firstLine="3"/>
        <w:spacing w:after="0" w:line="225" w:lineRule="auto"/>
        <w:tabs>
          <w:tab w:leader="none" w:pos="293"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Swap Contracts do not contain any provision (“walk-away” provision) exonerating the non-defaulting party from its obligation to make payments on outstanding transactions to the defaulting party.</w:t>
      </w:r>
    </w:p>
    <w:p>
      <w:pPr>
        <w:spacing w:after="0" w:line="145"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means any natural person, corporation, limited liability company, trust, joint venture, association, company, partnership, Governmental Authority or other entity.</w:t>
      </w:r>
    </w:p>
    <w:p>
      <w:pPr>
        <w:spacing w:after="0" w:line="145"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any employee benefit plan within the meaning of Section 3(3) of ERISA (including a Pension Plan), maintained for employees of any Borrower or any ERISA Affiliate or any such Plan to which any Borrower or any ERISA Affiliate is required to contribute on behalf of any of its employees.</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Platform</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PTE</w:t>
      </w:r>
      <w:r>
        <w:rPr>
          <w:rFonts w:ascii="Times New Roman" w:cs="Times New Roman" w:eastAsia="Times New Roman" w:hAnsi="Times New Roman"/>
          <w:sz w:val="21"/>
          <w:szCs w:val="21"/>
          <w:color w:val="auto"/>
        </w:rPr>
        <w:t>” means a prohibited transaction class exemption issued by the U.S. Department of Labor, as any such exemption may be amended from time to time.</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Public Lender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6.02</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Rate Determination Date</w:t>
      </w:r>
      <w:r>
        <w:rPr>
          <w:rFonts w:ascii="Times New Roman" w:cs="Times New Roman" w:eastAsia="Times New Roman" w:hAnsi="Times New Roman"/>
          <w:sz w:val="21"/>
          <w:szCs w:val="21"/>
          <w:color w:val="auto"/>
        </w:rPr>
        <w:t>” means two (2) Business Days prior to the commencement of such Interest Period (or such other day as is generally treated as the rate fixing day by market practice in such interbank market, as determined by the Administrative Agent; provided that to the extent such market practice is not administratively feasible for the Administrative Agent, such other day as otherwise reasonably determined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342" w:right="339" w:bottom="1440" w:gutter="0" w:footer="0" w:header="0"/>
        </w:sectPr>
      </w:pPr>
    </w:p>
    <w:bookmarkStart w:id="95" w:name="page96"/>
    <w:bookmarkEnd w:id="95"/>
    <w:p>
      <w:pPr>
        <w:jc w:val="both"/>
        <w:ind w:firstLine="620"/>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Receivables</w:t>
      </w:r>
      <w:r>
        <w:rPr>
          <w:rFonts w:ascii="Times New Roman" w:cs="Times New Roman" w:eastAsia="Times New Roman" w:hAnsi="Times New Roman"/>
          <w:sz w:val="21"/>
          <w:szCs w:val="21"/>
          <w:color w:val="auto"/>
        </w:rPr>
        <w:t>” shall mean, with respect to any Person, all obligations of any obligor (whether now existing or hereafter arising) under a contract for sale of goods or services by such Person or any of them, which shall include any obligation of such obligor (whether now existing or hereafter arising) to pay interest, finance charges or amounts with respect thereto, and, with respect to any of the foregoing receivables or obligations, (a) all of the interest of such Person in the goods (including returned goods) the sale of which gave rise to such receivable or obligation after the passage of title thereto to any obligor, (b) all other Liens and property subject thereto from time to time purporting to secure payment of such receivables or obligations, (c) all guarantees, insurance, letters of credit and other agreements or arrangements of whatever character from time to time supporting or securing payment of any such receivables or obligations, (d) all Records and (e) all proceeds of the foregoing.</w:t>
      </w:r>
    </w:p>
    <w:p>
      <w:pPr>
        <w:spacing w:after="0" w:line="146" w:lineRule="exact"/>
        <w:rPr>
          <w:sz w:val="20"/>
          <w:szCs w:val="20"/>
          <w:color w:val="auto"/>
        </w:rPr>
      </w:pPr>
    </w:p>
    <w:p>
      <w:pPr>
        <w:jc w:val="both"/>
        <w:ind w:firstLine="620"/>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Receivables Purchase Facility</w:t>
      </w:r>
      <w:r>
        <w:rPr>
          <w:rFonts w:ascii="Times New Roman" w:cs="Times New Roman" w:eastAsia="Times New Roman" w:hAnsi="Times New Roman"/>
          <w:sz w:val="21"/>
          <w:szCs w:val="21"/>
          <w:color w:val="auto"/>
        </w:rPr>
        <w:t>” shall mean any agreement of any Originator, approved by the Administrative Agent (such approval not to be unreasonably withheld), providing for sales, transfers or conveyances of Receivables of such Originator purporting to be sales (and considered sales under GAAP) that do not provide, directly or indirectly, for recourse against the seller of such Receivables (or against any of such seller’s Affiliates) by way of a guaranty or any other support arrangement, with respect to the amount of such Receivables (based on the financial condition or circumstances of the obligor thereunder), other than such limited recourse as is reasonable given market standards for transactions of a similar type, taking into account such factors as historical bad debt loss experience and obligor concentration levels.</w:t>
      </w:r>
    </w:p>
    <w:p>
      <w:pPr>
        <w:spacing w:after="0" w:line="147"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Recipient</w:t>
      </w:r>
      <w:r>
        <w:rPr>
          <w:rFonts w:ascii="Times New Roman" w:cs="Times New Roman" w:eastAsia="Times New Roman" w:hAnsi="Times New Roman"/>
          <w:sz w:val="21"/>
          <w:szCs w:val="21"/>
          <w:color w:val="auto"/>
        </w:rPr>
        <w:t>” means the Administrative Agent, any Lender, the L/C Issuer or any other recipient of any payment to be made by or on account of any obligation of any Loan Party hereunder.</w:t>
      </w:r>
    </w:p>
    <w:p>
      <w:pPr>
        <w:spacing w:after="0" w:line="145"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Records</w:t>
      </w:r>
      <w:r>
        <w:rPr>
          <w:rFonts w:ascii="Times New Roman" w:cs="Times New Roman" w:eastAsia="Times New Roman" w:hAnsi="Times New Roman"/>
          <w:sz w:val="21"/>
          <w:szCs w:val="21"/>
          <w:color w:val="auto"/>
        </w:rPr>
        <w:t>” means, for any Receivable, all contracts, books, records and other documents or information (including computer programs, tapes, disks, software and related property and rights) relating to such Receivable or the related obligor.</w:t>
      </w:r>
    </w:p>
    <w:p>
      <w:pPr>
        <w:spacing w:after="0" w:line="145"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Red Iron</w:t>
      </w:r>
      <w:r>
        <w:rPr>
          <w:rFonts w:ascii="Times New Roman" w:cs="Times New Roman" w:eastAsia="Times New Roman" w:hAnsi="Times New Roman"/>
          <w:sz w:val="21"/>
          <w:szCs w:val="21"/>
          <w:color w:val="auto"/>
        </w:rPr>
        <w:t>” means Red Iron Acceptance, LLC, a Delaware limited liability company. For avoidance of doubt, for so long as Red Iron is governed by the Red Iron LLC Agreement as in effect on the Closing Date, except for amendments that do not change the ownership interests of its members or materially change the overall management structure of Red Iron in a manner that would cause Red Iron to be considered a Subsidiary of Toro, any obligations of Red Iron shall not be considered an obligation of Toro or Red Iron Holding Corporation, a Delaware corporation.</w:t>
      </w:r>
    </w:p>
    <w:p>
      <w:pPr>
        <w:spacing w:after="0" w:line="149"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Red Iron LLC Agreement</w:t>
      </w:r>
      <w:r>
        <w:rPr>
          <w:rFonts w:ascii="Times New Roman" w:cs="Times New Roman" w:eastAsia="Times New Roman" w:hAnsi="Times New Roman"/>
          <w:sz w:val="21"/>
          <w:szCs w:val="21"/>
          <w:color w:val="auto"/>
        </w:rPr>
        <w:t>” means that certain limited liability company agreement of Red Iron Acceptance, LLC, dated as of August 12, 2009, by and among Red Iron Holding Corporation, a Delaware corporation and a Subsidiary of Toro, and TCFIF Joint Venture I, LLC, a Minnesota limited liability company, as amended prior to the date hereof.</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Red Iron/TCF Repurchase Obligations</w:t>
      </w:r>
      <w:r>
        <w:rPr>
          <w:rFonts w:ascii="Times New Roman" w:cs="Times New Roman" w:eastAsia="Times New Roman" w:hAnsi="Times New Roman"/>
          <w:sz w:val="21"/>
          <w:szCs w:val="21"/>
          <w:color w:val="auto"/>
        </w:rPr>
        <w:t>” has the meaning specified in the definition of “</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11.06(c)</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Related Parties</w:t>
      </w:r>
      <w:r>
        <w:rPr>
          <w:rFonts w:ascii="Times New Roman" w:cs="Times New Roman" w:eastAsia="Times New Roman" w:hAnsi="Times New Roman"/>
          <w:sz w:val="21"/>
          <w:szCs w:val="21"/>
          <w:color w:val="auto"/>
        </w:rPr>
        <w:t>” means, with respect to any Person, such Person’s Affiliates and the partners, directors, officers, employees, agents, trustees and advisors of such Person and of such Person’s Affiliates.</w:t>
      </w:r>
    </w:p>
    <w:p>
      <w:pPr>
        <w:spacing w:after="0" w:line="145"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Governmental Body</w:t>
      </w:r>
      <w:r>
        <w:rPr>
          <w:rFonts w:ascii="Times New Roman" w:cs="Times New Roman" w:eastAsia="Times New Roman" w:hAnsi="Times New Roman"/>
          <w:sz w:val="21"/>
          <w:szCs w:val="21"/>
          <w:color w:val="auto"/>
        </w:rPr>
        <w:t>” means (a) with respect to Loans denominated in Dollars, the Federal Reserve Board and/or the Federal Reserve Bank of New York, or a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342" w:right="339" w:bottom="1440" w:gutter="0" w:footer="0" w:header="0"/>
        </w:sectPr>
      </w:pPr>
    </w:p>
    <w:bookmarkStart w:id="96" w:name="page97"/>
    <w:bookmarkEnd w:id="96"/>
    <w:p>
      <w:pPr>
        <w:jc w:val="both"/>
        <w:spacing w:after="0" w:line="209" w:lineRule="auto"/>
        <w:rPr>
          <w:sz w:val="20"/>
          <w:szCs w:val="20"/>
          <w:color w:val="auto"/>
        </w:rPr>
      </w:pPr>
      <w:r>
        <w:rPr>
          <w:rFonts w:ascii="Times New Roman" w:cs="Times New Roman" w:eastAsia="Times New Roman" w:hAnsi="Times New Roman"/>
          <w:sz w:val="21"/>
          <w:szCs w:val="21"/>
          <w:color w:val="auto"/>
        </w:rPr>
        <w:t>officially endorsed or convened by the Federal Reserve Board and/or the Federal Reserve Bank of New York, (b) with respect to Loans denominated in Sterling, the Bank of England, or a committee officially endorsed or convened by the Bank of England or, in each case, any successor thereto, (c) with respect to Loans denominated in Euros, the European Central Bank, or a committee officially endorsed or convened by the European Central Bank or, in each case, any successor thereto, (d) with respect to Loans denominated in Canadian Dollars, the Bank of Canada, or a committee officially endorsed or convened by the Bank of Canada or, in each case, any successor thereto, (e) with respect to Loans denominated in Australian Dollars, the Reserve Bank of Australia, or a committee officially endorsed or convened by the Reserve Bank of Australia or, in each case, any successor thereto, (f) with respect to Loans denominated in Mexican Pesos, the Banco de México, or a committee officially endorsed or convened by the Banco de México or, in each case, any successor thereto and (g) with respect to Loans denominated in any other Applicable Currency, (i) the central bank for the currency in which such Loan is denominated or any central bank or other supervisor which is responsible for supervising either (x) such Successor Rate or (y) the administrator of such Successor Rate or (ii) any working group or committee officially endorsed or convened by (w) the central bank for the currency in which such Successor Rate is denominated, (x) any central bank or other supervisor that is responsible for supervising either (A) such Successor Rate or (B) the administrator of such Successor Rate, (y) a group of those central banks or other supervisors or (z) the Financial Stability Board or any part thereof.</w:t>
      </w:r>
    </w:p>
    <w:p>
      <w:pPr>
        <w:spacing w:after="0" w:line="157" w:lineRule="exact"/>
        <w:rPr>
          <w:sz w:val="20"/>
          <w:szCs w:val="20"/>
          <w:color w:val="auto"/>
        </w:rPr>
      </w:pPr>
    </w:p>
    <w:p>
      <w:pPr>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Rate</w:t>
      </w:r>
      <w:r>
        <w:rPr>
          <w:rFonts w:ascii="Times New Roman" w:cs="Times New Roman" w:eastAsia="Times New Roman" w:hAnsi="Times New Roman"/>
          <w:sz w:val="21"/>
          <w:szCs w:val="21"/>
          <w:color w:val="auto"/>
        </w:rPr>
        <w:t>” means with respect to any Credit Extension denominated in (a) Sterling, SONIA, (b) Canadian Dollars, CDOR, (c) Euros, EURIBOR, (d) Australian Dollars, BBSY, (e) Mexican Pesos, TIIE, as applicable.</w:t>
      </w:r>
    </w:p>
    <w:p>
      <w:pPr>
        <w:spacing w:after="0" w:line="145"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Reportable Event</w:t>
      </w:r>
      <w:r>
        <w:rPr>
          <w:rFonts w:ascii="Times New Roman" w:cs="Times New Roman" w:eastAsia="Times New Roman" w:hAnsi="Times New Roman"/>
          <w:sz w:val="21"/>
          <w:szCs w:val="21"/>
          <w:color w:val="auto"/>
        </w:rPr>
        <w:t>” means any of the events set forth in Section 4043(c) of ERISA, other than events for which the 30 day notice period has been waived.</w:t>
      </w:r>
    </w:p>
    <w:p>
      <w:pPr>
        <w:spacing w:after="0" w:line="145"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Request for Credit Extension</w:t>
      </w:r>
      <w:r>
        <w:rPr>
          <w:rFonts w:ascii="Times New Roman" w:cs="Times New Roman" w:eastAsia="Times New Roman" w:hAnsi="Times New Roman"/>
          <w:sz w:val="21"/>
          <w:szCs w:val="21"/>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48" w:lineRule="exact"/>
        <w:rPr>
          <w:sz w:val="20"/>
          <w:szCs w:val="20"/>
          <w:color w:val="auto"/>
        </w:rPr>
      </w:pPr>
    </w:p>
    <w:p>
      <w:pPr>
        <w:jc w:val="both"/>
        <w:ind w:firstLine="620"/>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Lenders</w:t>
      </w:r>
      <w:r>
        <w:rPr>
          <w:rFonts w:ascii="Times New Roman" w:cs="Times New Roman" w:eastAsia="Times New Roman" w:hAnsi="Times New Roman"/>
          <w:sz w:val="21"/>
          <w:szCs w:val="21"/>
          <w:color w:val="auto"/>
        </w:rPr>
        <w:t>” means, at any time, Lenders holding more than 50% of the sum of the (a) Total Outstandings (with the aggregate amount of each Revolving Credit Lender’s risk participation and funded participation in L/C Obligations and Swing Line Loans being deemed “held” by such Revolving Credit Lender for purposes of this definition) and (b) aggregate unused Commitments; provided that the amount of any participation in any Swing Line Loan and Unreimbursed Amounts that such Defaulting Lender has failed to fund that have not been reallocated to and funded by another Lender shall be deemed to be held by the Lender that is the Swing Line Lender or the L/C Issuer, as the case may be, in making such determination.</w:t>
      </w:r>
    </w:p>
    <w:p>
      <w:pPr>
        <w:spacing w:after="0" w:line="149" w:lineRule="exact"/>
        <w:rPr>
          <w:sz w:val="20"/>
          <w:szCs w:val="20"/>
          <w:color w:val="auto"/>
        </w:rPr>
      </w:pPr>
    </w:p>
    <w:p>
      <w:pPr>
        <w:jc w:val="both"/>
        <w:ind w:firstLine="620"/>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Revolving Lenders</w:t>
      </w:r>
      <w:r>
        <w:rPr>
          <w:rFonts w:ascii="Times New Roman" w:cs="Times New Roman" w:eastAsia="Times New Roman" w:hAnsi="Times New Roman"/>
          <w:sz w:val="21"/>
          <w:szCs w:val="21"/>
          <w:color w:val="auto"/>
        </w:rPr>
        <w:t>” means, as of any date of determination, at least two Revolving Credit Lenders holding more than 50% of the sum of the (a) Total Revolving Credit Outstandings (with the aggregate amount of each Revolving Credit Lender’s risk participation and funded participation in L/C Obligations and Swing Line Loans being deemed “held” by such Revolving Credit Lender for purposes of this definition) and (b) aggregate unused Revolving Credit Commitments; provided that the unused Revolving Credit Commitment of, and the portion of the Total Revolving Credit Outstandings held or deemed held by, any Defaulting Lender shall be excluded for purposes of making a determination of Required Revolving Lenders.</w:t>
      </w:r>
    </w:p>
    <w:p>
      <w:pPr>
        <w:spacing w:after="0" w:line="149"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Required Term Lenders</w:t>
      </w:r>
      <w:r>
        <w:rPr>
          <w:rFonts w:ascii="Times New Roman" w:cs="Times New Roman" w:eastAsia="Times New Roman" w:hAnsi="Times New Roman"/>
          <w:sz w:val="21"/>
          <w:szCs w:val="21"/>
          <w:color w:val="auto"/>
        </w:rPr>
        <w:t>” means, as of any date of determination, at least two Term Lenders holding more than 50% of the Term Facility on such date; provided that the portion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1342"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0"/>
          <w:szCs w:val="20"/>
          <w:color w:val="auto"/>
        </w:rPr>
        <w:t>the Term Facility held by any Defaulting Lender shall be excluded for purposes of making a determination of Required Term Lenders.</w:t>
      </w:r>
    </w:p>
    <w:p>
      <w:pPr>
        <w:spacing w:after="0" w:line="1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Rescindable Amount</w:t>
      </w:r>
      <w:r>
        <w:rPr>
          <w:rFonts w:ascii="Times New Roman" w:cs="Times New Roman" w:eastAsia="Times New Roman" w:hAnsi="Times New Roman"/>
          <w:sz w:val="21"/>
          <w:szCs w:val="21"/>
          <w:color w:val="auto"/>
        </w:rPr>
        <w:t xml:space="preserve">” has the meaning as defined in </w:t>
      </w:r>
      <w:r>
        <w:rPr>
          <w:rFonts w:ascii="Times New Roman" w:cs="Times New Roman" w:eastAsia="Times New Roman" w:hAnsi="Times New Roman"/>
          <w:sz w:val="21"/>
          <w:szCs w:val="21"/>
          <w:u w:val="single" w:color="auto"/>
          <w:color w:val="auto"/>
        </w:rPr>
        <w:t>Section 2.12(b)(ii)</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Resolution Authority</w:t>
      </w:r>
      <w:r>
        <w:rPr>
          <w:rFonts w:ascii="Times New Roman" w:cs="Times New Roman" w:eastAsia="Times New Roman" w:hAnsi="Times New Roman"/>
          <w:sz w:val="21"/>
          <w:szCs w:val="21"/>
          <w:color w:val="auto"/>
        </w:rPr>
        <w:t>” means an EEA Resolution Authority or, with respect to any UK Financial Institution, a UK Resolution Authority.</w:t>
      </w:r>
    </w:p>
    <w:p>
      <w:pPr>
        <w:spacing w:after="0" w:line="145" w:lineRule="exact"/>
        <w:rPr>
          <w:sz w:val="20"/>
          <w:szCs w:val="20"/>
          <w:color w:val="auto"/>
        </w:rPr>
      </w:pPr>
    </w:p>
    <w:p>
      <w:pPr>
        <w:jc w:val="both"/>
        <w:ind w:firstLine="620"/>
        <w:spacing w:after="0" w:line="22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means (a) the secretary, treasurer or assistant treasurer of a Loan Party, with respect to Toro Luxembourg, any manager (gérant) of Toro Luxembourg duly authorized for the purposes thereof or any authorized signatory duly appointed for the purpose therefor, and any other officer having substantially the same authority and responsibility; (b) with respect to compliance with the financial covenant, the chief financial officer, corporate controller, the treasurer or assistant treasurer of a Loan Party, or any other officer having substantially the same authority and responsibility; or (c) and, solely for purposes of notices given pursuant to Article II, the assistant treasurer or any other officer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Restatement</w:t>
      </w:r>
      <w:r>
        <w:rPr>
          <w:rFonts w:ascii="Times New Roman" w:cs="Times New Roman" w:eastAsia="Times New Roman" w:hAnsi="Times New Roman"/>
          <w:sz w:val="21"/>
          <w:szCs w:val="21"/>
          <w:color w:val="auto"/>
        </w:rPr>
        <w:t>” has the meaning specified in the introductory paragraph hereto.</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Payment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1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Revaluation Date</w:t>
      </w:r>
      <w:r>
        <w:rPr>
          <w:rFonts w:ascii="Times New Roman" w:cs="Times New Roman" w:eastAsia="Times New Roman" w:hAnsi="Times New Roman"/>
          <w:sz w:val="21"/>
          <w:szCs w:val="21"/>
          <w:color w:val="auto"/>
        </w:rPr>
        <w:t xml:space="preserve">” means (a) with respect to any Loan, each of the following: (i) each date of a Borrowing of an Alternative Currency Term Rate Loan, (ii) each date of a continuation of an Alternative Currency Term Rate Loan pursuant to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and</w:t>
      </w:r>
    </w:p>
    <w:p>
      <w:pPr>
        <w:spacing w:after="0" w:line="1" w:lineRule="exact"/>
        <w:rPr>
          <w:sz w:val="20"/>
          <w:szCs w:val="20"/>
          <w:color w:val="auto"/>
        </w:rPr>
      </w:pPr>
    </w:p>
    <w:p>
      <w:pPr>
        <w:jc w:val="both"/>
        <w:ind w:firstLine="3"/>
        <w:spacing w:after="0" w:line="215" w:lineRule="auto"/>
        <w:tabs>
          <w:tab w:leader="none" w:pos="37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additional dates as the Administrative Agent shall determine or the Required Lenders shall require; and (b)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the L/C Issuer under any Letter of Credit denominated in an Alternative Currency,</w:t>
      </w:r>
    </w:p>
    <w:p>
      <w:pPr>
        <w:spacing w:after="0" w:line="2" w:lineRule="exact"/>
        <w:rPr>
          <w:rFonts w:ascii="Times New Roman" w:cs="Times New Roman" w:eastAsia="Times New Roman" w:hAnsi="Times New Roman"/>
          <w:sz w:val="20"/>
          <w:szCs w:val="20"/>
          <w:color w:val="auto"/>
        </w:rPr>
      </w:pPr>
    </w:p>
    <w:p>
      <w:pPr>
        <w:ind w:firstLine="3"/>
        <w:spacing w:after="0" w:line="225" w:lineRule="auto"/>
        <w:tabs>
          <w:tab w:leader="none" w:pos="357"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all Existing Letters of Credit denominated in Alternative Currencies, the Closing Date, and (v) such additional dates as the Administrative Agent or the L/C Issuer shall determine or the Required Lenders shall require.</w:t>
      </w:r>
    </w:p>
    <w:p>
      <w:pPr>
        <w:spacing w:after="0" w:line="145"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Borrowing</w:t>
      </w:r>
      <w:r>
        <w:rPr>
          <w:rFonts w:ascii="Times New Roman" w:cs="Times New Roman" w:eastAsia="Times New Roman" w:hAnsi="Times New Roman"/>
          <w:sz w:val="21"/>
          <w:szCs w:val="21"/>
          <w:color w:val="auto"/>
        </w:rPr>
        <w:t xml:space="preserve">” means a borrowing consisting of simultaneous Revolving Credit Loans of the same Type and, in the case of Term SOFR Loans or Alternative Currency Term Rate Loans, having the same Interest Period made by each of the Revolving Credit Lenders pursuant to </w:t>
      </w:r>
      <w:r>
        <w:rPr>
          <w:rFonts w:ascii="Times New Roman" w:cs="Times New Roman" w:eastAsia="Times New Roman" w:hAnsi="Times New Roman"/>
          <w:sz w:val="21"/>
          <w:szCs w:val="21"/>
          <w:u w:val="single" w:color="auto"/>
          <w:color w:val="auto"/>
        </w:rPr>
        <w:t>Section 2.01(b)</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jc w:val="both"/>
        <w:ind w:firstLine="620"/>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Commitment</w:t>
      </w:r>
      <w:r>
        <w:rPr>
          <w:rFonts w:ascii="Times New Roman" w:cs="Times New Roman" w:eastAsia="Times New Roman" w:hAnsi="Times New Roman"/>
          <w:sz w:val="21"/>
          <w:szCs w:val="21"/>
          <w:color w:val="auto"/>
        </w:rPr>
        <w:t xml:space="preserve">” means, as to each Revolving Credit Lender, its obligation to (a) make Revolving Credit Loans to the Borrowers pursuant to </w:t>
      </w:r>
      <w:r>
        <w:rPr>
          <w:rFonts w:ascii="Times New Roman" w:cs="Times New Roman" w:eastAsia="Times New Roman" w:hAnsi="Times New Roman"/>
          <w:sz w:val="21"/>
          <w:szCs w:val="21"/>
          <w:u w:val="single" w:color="auto"/>
          <w:color w:val="auto"/>
        </w:rPr>
        <w:t>Section 2.01(b)</w:t>
      </w:r>
      <w:r>
        <w:rPr>
          <w:rFonts w:ascii="Times New Roman" w:cs="Times New Roman" w:eastAsia="Times New Roman" w:hAnsi="Times New Roman"/>
          <w:sz w:val="21"/>
          <w:szCs w:val="21"/>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Times New Roman" w:cs="Times New Roman" w:eastAsia="Times New Roman" w:hAnsi="Times New Roman"/>
          <w:sz w:val="21"/>
          <w:szCs w:val="21"/>
          <w:u w:val="single" w:color="auto"/>
          <w:color w:val="auto"/>
        </w:rPr>
        <w:t>Schedule 2.01A</w:t>
      </w:r>
      <w:r>
        <w:rPr>
          <w:rFonts w:ascii="Times New Roman" w:cs="Times New Roman" w:eastAsia="Times New Roman" w:hAnsi="Times New Roman"/>
          <w:sz w:val="21"/>
          <w:szCs w:val="21"/>
          <w:color w:val="auto"/>
        </w:rPr>
        <w:t xml:space="preserve"> under the caption “Revolving Credit Commitment” or opposite such caption in the Assignment and Assumption pursuant to which such Lender becomes a party hereto, as applicable, as such amount may be adjusted from time to time in accordance with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342" w:right="339" w:bottom="1440" w:gutter="0" w:footer="0" w:header="0"/>
        </w:sectPr>
      </w:pPr>
    </w:p>
    <w:bookmarkStart w:id="98" w:name="page99"/>
    <w:bookmarkEnd w:id="98"/>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Exposure</w:t>
      </w:r>
      <w:r>
        <w:rPr>
          <w:rFonts w:ascii="Times New Roman" w:cs="Times New Roman" w:eastAsia="Times New Roman" w:hAnsi="Times New Roman"/>
          <w:sz w:val="21"/>
          <w:szCs w:val="21"/>
          <w:color w:val="auto"/>
        </w:rPr>
        <w:t>” means, as to any Lender at any time, the aggregate principal amount at such time of its outstanding Revolving Credit Loans and such Lender’s participation in L/C Obligations and Swing Line Loans at such time.</w:t>
      </w:r>
    </w:p>
    <w:p>
      <w:pPr>
        <w:spacing w:after="0" w:line="145"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Facility</w:t>
      </w:r>
      <w:r>
        <w:rPr>
          <w:rFonts w:ascii="Times New Roman" w:cs="Times New Roman" w:eastAsia="Times New Roman" w:hAnsi="Times New Roman"/>
          <w:sz w:val="21"/>
          <w:szCs w:val="21"/>
          <w:color w:val="auto"/>
        </w:rPr>
        <w:t>” means, at any time, the aggregate amount of the Revolving Credit Lenders’ Revolving Credit Commitments at such time.</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Lender</w:t>
      </w:r>
      <w:r>
        <w:rPr>
          <w:rFonts w:ascii="Times New Roman" w:cs="Times New Roman" w:eastAsia="Times New Roman" w:hAnsi="Times New Roman"/>
          <w:sz w:val="21"/>
          <w:szCs w:val="21"/>
          <w:color w:val="auto"/>
        </w:rPr>
        <w:t>” means, at any time, any Lender that has a Revolving Credit Commitment at such time.</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Loan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2.01(b).</w:t>
      </w:r>
    </w:p>
    <w:p>
      <w:pPr>
        <w:spacing w:after="0" w:line="17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Revolving Credit Note</w:t>
      </w:r>
      <w:r>
        <w:rPr>
          <w:rFonts w:ascii="Times New Roman" w:cs="Times New Roman" w:eastAsia="Times New Roman" w:hAnsi="Times New Roman"/>
          <w:sz w:val="21"/>
          <w:szCs w:val="21"/>
          <w:color w:val="auto"/>
        </w:rPr>
        <w:t xml:space="preserve">” means a promissory note made by the Borrowers in favor of a Revolving Credit Lender evidencing Revolving Credit Loans or Swing Line Loans, as the case may be, made by such Revolving Credit Lender, substantially in the form of </w:t>
      </w:r>
      <w:r>
        <w:rPr>
          <w:rFonts w:ascii="Times New Roman" w:cs="Times New Roman" w:eastAsia="Times New Roman" w:hAnsi="Times New Roman"/>
          <w:sz w:val="21"/>
          <w:szCs w:val="21"/>
          <w:u w:val="single" w:color="auto"/>
          <w:color w:val="auto"/>
        </w:rPr>
        <w:t>Exhibit C-1</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S&amp;P</w:t>
      </w:r>
      <w:r>
        <w:rPr>
          <w:rFonts w:ascii="Times New Roman" w:cs="Times New Roman" w:eastAsia="Times New Roman" w:hAnsi="Times New Roman"/>
          <w:sz w:val="21"/>
          <w:szCs w:val="21"/>
          <w:color w:val="auto"/>
        </w:rPr>
        <w:t>” means Standard &amp; Poor’s Financial Services LLC, a subsidiary of S&amp;P Global Inc., and any successor thereto.</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Sanction(s)</w:t>
      </w:r>
      <w:r>
        <w:rPr>
          <w:rFonts w:ascii="Times New Roman" w:cs="Times New Roman" w:eastAsia="Times New Roman" w:hAnsi="Times New Roman"/>
          <w:sz w:val="21"/>
          <w:szCs w:val="21"/>
          <w:color w:val="auto"/>
        </w:rPr>
        <w:t>” means any sanction administered or enforced by the United States Government (including without limitation, OFAC), the United Nations Security Council, the European Union, Her Majesty’s Treasury or other relevant sanctions authority.</w:t>
      </w:r>
    </w:p>
    <w:p>
      <w:pPr>
        <w:spacing w:after="0" w:line="145"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Same Day Funds</w:t>
      </w:r>
      <w:r>
        <w:rPr>
          <w:rFonts w:ascii="Times New Roman" w:cs="Times New Roman" w:eastAsia="Times New Roman" w:hAnsi="Times New Roman"/>
          <w:sz w:val="21"/>
          <w:szCs w:val="21"/>
          <w:color w:val="auto"/>
        </w:rPr>
        <w:t>” means (a) with respect to disbursements and payments in Dollars, immediately available funds, and (b) with respect to disbursements and payments in an Alternative Currency, same day or other funds as may be determined by the Administrative Agent or the L/C Issuer, as the case may be, to be customary in the place of disbursement or payment for the settlement of international banking transactions in the relevant Alternative Currency.</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Scheduled Unavailability Date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3.03(d)</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Securities and Exchange Commission, or any Governmental Authority succeeding to any of its principal functions.</w:t>
      </w:r>
    </w:p>
    <w:p>
      <w:pPr>
        <w:spacing w:after="0" w:line="145"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w:t>
      </w:r>
      <w:r>
        <w:rPr>
          <w:rFonts w:ascii="Times New Roman" w:cs="Times New Roman" w:eastAsia="Times New Roman" w:hAnsi="Times New Roman"/>
          <w:sz w:val="21"/>
          <w:szCs w:val="21"/>
          <w:color w:val="auto"/>
        </w:rPr>
        <w:t>” means the Secured Overnight Financing Rate as administered by the Federal Reserve Bank of New York (or a successor administrator).</w:t>
      </w:r>
    </w:p>
    <w:p>
      <w:pPr>
        <w:spacing w:after="0" w:line="145"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Adjustment</w:t>
      </w:r>
      <w:r>
        <w:rPr>
          <w:rFonts w:ascii="Times New Roman" w:cs="Times New Roman" w:eastAsia="Times New Roman" w:hAnsi="Times New Roman"/>
          <w:sz w:val="21"/>
          <w:szCs w:val="21"/>
          <w:color w:val="auto"/>
        </w:rPr>
        <w:t>” with respect to Daily Simple SOFR means 0.10% (10 basis points) and with respect to Term SOFR means 0.10% (10 basis points) for an Interest Period of one-month or three- month’s duration; provided, that if a Borrower wishes to request Term SOFR Loans having an Interest Period other than one or three months in duration as provided in the definition of “Interest Period”, then the SOFR Adjustment shall be determined by the Administrative Agent at such time.</w:t>
      </w:r>
    </w:p>
    <w:p>
      <w:pPr>
        <w:spacing w:after="0" w:line="148"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SONIA</w:t>
      </w:r>
      <w:r>
        <w:rPr>
          <w:rFonts w:ascii="Times New Roman" w:cs="Times New Roman" w:eastAsia="Times New Roman" w:hAnsi="Times New Roman"/>
          <w:sz w:val="21"/>
          <w:szCs w:val="21"/>
          <w:color w:val="auto"/>
        </w:rPr>
        <w:t>” means, for each day any Alternative Currency Daily Rate Loan denominated in Sterling is outstanding, the Sterling Overnight Index Average Reference Rate as published on the applicable Reuters screen page (or such other commercially available source providing such quotations as may be designated by the Administrative Agent from time to time) for the SONIA Determination Date with respect to such day.</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SONIA Adjustment</w:t>
      </w:r>
      <w:r>
        <w:rPr>
          <w:rFonts w:ascii="Times New Roman" w:cs="Times New Roman" w:eastAsia="Times New Roman" w:hAnsi="Times New Roman"/>
          <w:sz w:val="21"/>
          <w:szCs w:val="21"/>
          <w:color w:val="auto"/>
        </w:rPr>
        <w:t>” means, with respect to SONIA, 0.0326%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1342" w:right="339" w:bottom="1440" w:gutter="0" w:footer="0" w:header="0"/>
        </w:sectPr>
      </w:pPr>
    </w:p>
    <w:bookmarkStart w:id="99" w:name="page100"/>
    <w:bookmarkEnd w:id="99"/>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SONIA Determination Date</w:t>
      </w:r>
      <w:r>
        <w:rPr>
          <w:rFonts w:ascii="Times New Roman" w:cs="Times New Roman" w:eastAsia="Times New Roman" w:hAnsi="Times New Roman"/>
          <w:sz w:val="21"/>
          <w:szCs w:val="21"/>
          <w:color w:val="auto"/>
        </w:rPr>
        <w:t>” means, with respect to any date of determination of SONIA for an Alternative Currency Daily Rate Loan denominated in Sterling, the date that is five (5) Business Days prior to such date (or, if such day is not a Business Day, on the first Business Day immediately prior thereto).</w:t>
      </w:r>
    </w:p>
    <w:p>
      <w:pPr>
        <w:spacing w:after="0" w:line="148"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Special Notice Currency</w:t>
      </w:r>
      <w:r>
        <w:rPr>
          <w:rFonts w:ascii="Times New Roman" w:cs="Times New Roman" w:eastAsia="Times New Roman" w:hAnsi="Times New Roman"/>
          <w:sz w:val="21"/>
          <w:szCs w:val="21"/>
          <w:color w:val="auto"/>
        </w:rPr>
        <w:t>” means at any time an Alternative Currency, other than the currency of a country that is a member of the Organization for Economic Cooperation and Development at such time located in North America or Europe.</w:t>
      </w:r>
    </w:p>
    <w:p>
      <w:pPr>
        <w:spacing w:after="0" w:line="145" w:lineRule="exact"/>
        <w:rPr>
          <w:sz w:val="20"/>
          <w:szCs w:val="20"/>
          <w:color w:val="auto"/>
        </w:rPr>
      </w:pPr>
    </w:p>
    <w:p>
      <w:pPr>
        <w:jc w:val="both"/>
        <w:ind w:firstLine="620"/>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Spot Rate</w:t>
      </w:r>
      <w:r>
        <w:rPr>
          <w:rFonts w:ascii="Times New Roman" w:cs="Times New Roman" w:eastAsia="Times New Roman" w:hAnsi="Times New Roman"/>
          <w:sz w:val="21"/>
          <w:szCs w:val="21"/>
          <w:color w:val="auto"/>
        </w:rPr>
        <w:t>” for a currency means the rate determined by the Administrative Agent or the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provided that the Administrative Agent or the L/C Issuer may obtain such spot rate from another financial institution designated by the Administrative Agent or the L/C Issuer if the Person acting in such capacity does not have as of the date of determination a spot buying rate for any such currency; and provided further that the L/C Issuer may use such spot rate quoted on the date as of which the foreign exchange computation is made in the case of any Letter of Credit denominated in an Alternative Currency.</w:t>
      </w:r>
    </w:p>
    <w:p>
      <w:pPr>
        <w:spacing w:after="0" w:line="146"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SPV</w:t>
      </w:r>
      <w:r>
        <w:rPr>
          <w:rFonts w:ascii="Times New Roman" w:cs="Times New Roman" w:eastAsia="Times New Roman" w:hAnsi="Times New Roman"/>
          <w:sz w:val="21"/>
          <w:szCs w:val="21"/>
          <w:color w:val="auto"/>
        </w:rPr>
        <w:t>” means any special purpose entity established for the purpose of purchasing receivables in connection with a Receivables Purchase Facility.</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Sterling</w:t>
      </w:r>
      <w:r>
        <w:rPr>
          <w:rFonts w:ascii="Times New Roman" w:cs="Times New Roman" w:eastAsia="Times New Roman" w:hAnsi="Times New Roman"/>
          <w:sz w:val="21"/>
          <w:szCs w:val="21"/>
          <w:color w:val="auto"/>
        </w:rPr>
        <w:t>” means the lawful currency of the United Kingdom.</w:t>
      </w:r>
    </w:p>
    <w:p>
      <w:pPr>
        <w:spacing w:after="0" w:line="172" w:lineRule="exact"/>
        <w:rPr>
          <w:sz w:val="20"/>
          <w:szCs w:val="20"/>
          <w:color w:val="auto"/>
        </w:rPr>
      </w:pPr>
    </w:p>
    <w:p>
      <w:pPr>
        <w:jc w:val="both"/>
        <w:ind w:firstLine="620"/>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Toro.</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 Borrowers</w:t>
      </w:r>
      <w:r>
        <w:rPr>
          <w:rFonts w:ascii="Times New Roman" w:cs="Times New Roman" w:eastAsia="Times New Roman" w:hAnsi="Times New Roman"/>
          <w:sz w:val="21"/>
          <w:szCs w:val="21"/>
          <w:color w:val="auto"/>
        </w:rPr>
        <w:t>” has the meaning specified in the introductory paragraph hereto.</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Successor Rate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3.03(d)</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Surety Instruments</w:t>
      </w:r>
      <w:r>
        <w:rPr>
          <w:rFonts w:ascii="Times New Roman" w:cs="Times New Roman" w:eastAsia="Times New Roman" w:hAnsi="Times New Roman"/>
          <w:sz w:val="21"/>
          <w:szCs w:val="21"/>
          <w:color w:val="auto"/>
        </w:rPr>
        <w:t>” means all standby letters of credit, banker’s acceptances and bank guaranties not attributable to the purchase of supplies and inventory in the ordinary course of business and shipside bonds, surety bonds and similar instruments.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Coordinator</w:t>
      </w:r>
      <w:r>
        <w:rPr>
          <w:rFonts w:ascii="Times New Roman" w:cs="Times New Roman" w:eastAsia="Times New Roman" w:hAnsi="Times New Roman"/>
          <w:sz w:val="21"/>
          <w:szCs w:val="21"/>
          <w:color w:val="auto"/>
        </w:rPr>
        <w:t>” means BofA Securities, Inc., in its capacity as the sustainability coordinator.</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Sustainability Linked Loan Principles</w:t>
      </w:r>
      <w:r>
        <w:rPr>
          <w:rFonts w:ascii="Times New Roman" w:cs="Times New Roman" w:eastAsia="Times New Roman" w:hAnsi="Times New Roman"/>
          <w:sz w:val="21"/>
          <w:szCs w:val="21"/>
          <w:color w:val="auto"/>
        </w:rPr>
        <w:t>” means the Sustainability Linked Loan Principles as most recently published by the Loan Market Association and Loan Syndications &amp; Trading Association.</w:t>
      </w:r>
    </w:p>
    <w:p>
      <w:pPr>
        <w:spacing w:after="0" w:line="145"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Contract</w:t>
      </w:r>
      <w:r>
        <w:rPr>
          <w:rFonts w:ascii="Times New Roman" w:cs="Times New Roman" w:eastAsia="Times New Roman" w:hAnsi="Times New Roman"/>
          <w:sz w:val="21"/>
          <w:szCs w:val="21"/>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1342" w:right="339" w:bottom="1440" w:gutter="0" w:footer="0" w:header="0"/>
        </w:sectPr>
      </w:pPr>
    </w:p>
    <w:bookmarkStart w:id="100" w:name="page101"/>
    <w:bookmarkEnd w:id="100"/>
    <w:p>
      <w:pPr>
        <w:jc w:val="both"/>
        <w:spacing w:after="0" w:line="213" w:lineRule="auto"/>
        <w:rPr>
          <w:sz w:val="20"/>
          <w:szCs w:val="20"/>
          <w:color w:val="auto"/>
        </w:rPr>
      </w:pPr>
      <w:r>
        <w:rPr>
          <w:rFonts w:ascii="Times New Roman" w:cs="Times New Roman" w:eastAsia="Times New Roman" w:hAnsi="Times New Roman"/>
          <w:sz w:val="21"/>
          <w:szCs w:val="21"/>
          <w:color w:val="auto"/>
        </w:rPr>
        <w:t>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146" w:lineRule="exact"/>
        <w:rPr>
          <w:sz w:val="20"/>
          <w:szCs w:val="20"/>
          <w:color w:val="auto"/>
        </w:rPr>
      </w:pPr>
    </w:p>
    <w:p>
      <w:pPr>
        <w:ind w:right="80" w:firstLine="620"/>
        <w:spacing w:after="0" w:line="21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Swap Termination Value</w:t>
      </w:r>
      <w:r>
        <w:rPr>
          <w:rFonts w:ascii="Times New Roman" w:cs="Times New Roman" w:eastAsia="Times New Roman" w:hAnsi="Times New Roman"/>
          <w:sz w:val="21"/>
          <w:szCs w:val="21"/>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in accordance with their terms, as determined based upon one or more mid-market or other readily available quotations provided by any recognized dealer in such Swap Contracts (which may include a Lender or any Affiliate of a Lender).</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Swing Line</w:t>
      </w:r>
      <w:r>
        <w:rPr>
          <w:rFonts w:ascii="Times New Roman" w:cs="Times New Roman" w:eastAsia="Times New Roman" w:hAnsi="Times New Roman"/>
          <w:sz w:val="21"/>
          <w:szCs w:val="21"/>
          <w:color w:val="auto"/>
        </w:rPr>
        <w:t xml:space="preserve">” means the swing line facility made available by the Swing Line Lender pursuant to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Swing Line Borrowing</w:t>
      </w:r>
      <w:r>
        <w:rPr>
          <w:rFonts w:ascii="Times New Roman" w:cs="Times New Roman" w:eastAsia="Times New Roman" w:hAnsi="Times New Roman"/>
          <w:sz w:val="21"/>
          <w:szCs w:val="21"/>
          <w:color w:val="auto"/>
        </w:rPr>
        <w:t xml:space="preserve">” means a borrowing of a Swing Line Loan pursuant to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Swing Line Lender</w:t>
      </w:r>
      <w:r>
        <w:rPr>
          <w:rFonts w:ascii="Times New Roman" w:cs="Times New Roman" w:eastAsia="Times New Roman" w:hAnsi="Times New Roman"/>
          <w:sz w:val="21"/>
          <w:szCs w:val="21"/>
          <w:color w:val="auto"/>
        </w:rPr>
        <w:t xml:space="preserve">” means Bank of America in its capacity as provider of Swing Line Loans, or any successor swing line lender hereunder, with the commitments of each Swing Line Lender as set forth in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Swing Line Loan</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2.04(a)</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Swing Line Loan Notice</w:t>
      </w:r>
      <w:r>
        <w:rPr>
          <w:rFonts w:ascii="Times New Roman" w:cs="Times New Roman" w:eastAsia="Times New Roman" w:hAnsi="Times New Roman"/>
          <w:sz w:val="21"/>
          <w:szCs w:val="21"/>
          <w:color w:val="auto"/>
        </w:rPr>
        <w:t xml:space="preserve">” means a notice of a Swing Line Borrowing pursuant to </w:t>
      </w:r>
      <w:r>
        <w:rPr>
          <w:rFonts w:ascii="Times New Roman" w:cs="Times New Roman" w:eastAsia="Times New Roman" w:hAnsi="Times New Roman"/>
          <w:sz w:val="21"/>
          <w:szCs w:val="21"/>
          <w:u w:val="single" w:color="auto"/>
          <w:color w:val="auto"/>
        </w:rPr>
        <w:t>Section 2.04(b</w:t>
      </w:r>
      <w:r>
        <w:rPr>
          <w:rFonts w:ascii="Times New Roman" w:cs="Times New Roman" w:eastAsia="Times New Roman" w:hAnsi="Times New Roman"/>
          <w:sz w:val="21"/>
          <w:szCs w:val="21"/>
          <w:color w:val="auto"/>
        </w:rPr>
        <w:t xml:space="preserve">), which shall be substantially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or such other form as approved by the Administrative Agent (including any form on an electronic platform or electronic transmission system as shall be approve by the Administrative Agent), appropriately completed and signed by a Responsible Officer of Toro.</w:t>
      </w:r>
    </w:p>
    <w:p>
      <w:pPr>
        <w:spacing w:after="0" w:line="148"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Swing Line Sublimit</w:t>
      </w:r>
      <w:r>
        <w:rPr>
          <w:rFonts w:ascii="Times New Roman" w:cs="Times New Roman" w:eastAsia="Times New Roman" w:hAnsi="Times New Roman"/>
          <w:sz w:val="21"/>
          <w:szCs w:val="21"/>
          <w:color w:val="auto"/>
        </w:rPr>
        <w:t>” means an amount equal to the lesser of (a) $30,000,000 and (b) the Revolving Credit Facility. The Swing Line Sublimit is part of, and not in addition to, the Revolving Credit Facility.</w:t>
      </w:r>
    </w:p>
    <w:p>
      <w:pPr>
        <w:spacing w:after="0" w:line="145"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Synthetic Lease Obligation</w:t>
      </w:r>
      <w:r>
        <w:rPr>
          <w:rFonts w:ascii="Times New Roman" w:cs="Times New Roman" w:eastAsia="Times New Roman" w:hAnsi="Times New Roman"/>
          <w:sz w:val="21"/>
          <w:szCs w:val="21"/>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48"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TARGET2</w:t>
      </w:r>
      <w:r>
        <w:rPr>
          <w:rFonts w:ascii="Times New Roman" w:cs="Times New Roman" w:eastAsia="Times New Roman" w:hAnsi="Times New Roman"/>
          <w:sz w:val="21"/>
          <w:szCs w:val="21"/>
          <w:color w:val="auto"/>
        </w:rPr>
        <w:t>” means the Trans-European Automated Real-time Gross Settlement Express Transfer payment system which utilizes a single shared platform and which was launched on November 19,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40"/>
          </w:cols>
          <w:pgMar w:left="320" w:top="1342" w:right="339" w:bottom="1440" w:gutter="0" w:footer="0" w:header="0"/>
        </w:sectPr>
      </w:pPr>
    </w:p>
    <w:bookmarkStart w:id="101" w:name="page102"/>
    <w:bookmarkEnd w:id="101"/>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TARGET Day</w:t>
      </w:r>
      <w:r>
        <w:rPr>
          <w:rFonts w:ascii="Times New Roman" w:cs="Times New Roman" w:eastAsia="Times New Roman" w:hAnsi="Times New Roman"/>
          <w:sz w:val="21"/>
          <w:szCs w:val="21"/>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45"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TCC</w:t>
      </w:r>
      <w:r>
        <w:rPr>
          <w:rFonts w:ascii="Times New Roman" w:cs="Times New Roman" w:eastAsia="Times New Roman" w:hAnsi="Times New Roman"/>
          <w:sz w:val="21"/>
          <w:szCs w:val="21"/>
          <w:color w:val="auto"/>
        </w:rPr>
        <w:t>” means Toro Credit Company, a Minnesota corporation.</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TCF Canada</w:t>
      </w:r>
      <w:r>
        <w:rPr>
          <w:rFonts w:ascii="Times New Roman" w:cs="Times New Roman" w:eastAsia="Times New Roman" w:hAnsi="Times New Roman"/>
          <w:sz w:val="21"/>
          <w:szCs w:val="21"/>
          <w:color w:val="auto"/>
        </w:rPr>
        <w:t>” means TCF Commercial Finance Canada, Inc., a Canada corporation, or any of its successors or assigns.</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Borrowing</w:t>
      </w:r>
      <w:r>
        <w:rPr>
          <w:rFonts w:ascii="Times New Roman" w:cs="Times New Roman" w:eastAsia="Times New Roman" w:hAnsi="Times New Roman"/>
          <w:sz w:val="21"/>
          <w:szCs w:val="21"/>
          <w:color w:val="auto"/>
        </w:rPr>
        <w:t>” means a borrowing consisting of simultaneous Term Loans of the same Type and, in the case of Term SOFR Loans having the same Interest Period made by each of the Term Lenders pursuant to S</w:t>
      </w:r>
      <w:r>
        <w:rPr>
          <w:rFonts w:ascii="Times New Roman" w:cs="Times New Roman" w:eastAsia="Times New Roman" w:hAnsi="Times New Roman"/>
          <w:sz w:val="21"/>
          <w:szCs w:val="21"/>
          <w:u w:val="single" w:color="auto"/>
          <w:color w:val="auto"/>
        </w:rPr>
        <w:t>ection 2.01(a).</w:t>
      </w:r>
    </w:p>
    <w:p>
      <w:pPr>
        <w:spacing w:after="0" w:line="145"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Commitment</w:t>
      </w:r>
      <w:r>
        <w:rPr>
          <w:rFonts w:ascii="Times New Roman" w:cs="Times New Roman" w:eastAsia="Times New Roman" w:hAnsi="Times New Roman"/>
          <w:sz w:val="21"/>
          <w:szCs w:val="21"/>
          <w:color w:val="auto"/>
        </w:rPr>
        <w:t xml:space="preserve">” means, as to each Term Lender, its obligation to make Term Loans to Toro pursuant to </w:t>
      </w:r>
      <w:r>
        <w:rPr>
          <w:rFonts w:ascii="Times New Roman" w:cs="Times New Roman" w:eastAsia="Times New Roman" w:hAnsi="Times New Roman"/>
          <w:sz w:val="21"/>
          <w:szCs w:val="21"/>
          <w:u w:val="single" w:color="auto"/>
          <w:color w:val="auto"/>
        </w:rPr>
        <w:t>Section 2.01(a</w:t>
      </w:r>
      <w:r>
        <w:rPr>
          <w:rFonts w:ascii="Times New Roman" w:cs="Times New Roman" w:eastAsia="Times New Roman" w:hAnsi="Times New Roman"/>
          <w:sz w:val="21"/>
          <w:szCs w:val="21"/>
          <w:color w:val="auto"/>
        </w:rPr>
        <w:t>) in an aggregate principal amount at any one time outstanding not to exceed the amount set forth opposite such Term Lender’s name on Schedule 2.01A under the caption “Term Commitment” or opposite such caption in the Assignment and Assumption pursuant to which such Term Lender becomes a party hereto, as applicable, as such amount may be adjusted from time to time in accordance with this Agreement.</w:t>
      </w:r>
    </w:p>
    <w:p>
      <w:pPr>
        <w:spacing w:after="0" w:line="149"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Facility</w:t>
      </w:r>
      <w:r>
        <w:rPr>
          <w:rFonts w:ascii="Times New Roman" w:cs="Times New Roman" w:eastAsia="Times New Roman" w:hAnsi="Times New Roman"/>
          <w:sz w:val="21"/>
          <w:szCs w:val="21"/>
          <w:color w:val="auto"/>
        </w:rPr>
        <w:t>” means, at any time, (a) on or prior to the Closing Date, the aggregate amount of the Term Commitments at such time and (b) thereafter, the aggregate principal amount of the Term Loans of all Term Lenders outstanding at such time.</w:t>
      </w:r>
    </w:p>
    <w:p>
      <w:pPr>
        <w:spacing w:after="0" w:line="145" w:lineRule="exact"/>
        <w:rPr>
          <w:sz w:val="20"/>
          <w:szCs w:val="20"/>
          <w:color w:val="auto"/>
        </w:rPr>
      </w:pPr>
    </w:p>
    <w:p>
      <w:pPr>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Lender</w:t>
      </w:r>
      <w:r>
        <w:rPr>
          <w:rFonts w:ascii="Times New Roman" w:cs="Times New Roman" w:eastAsia="Times New Roman" w:hAnsi="Times New Roman"/>
          <w:sz w:val="21"/>
          <w:szCs w:val="21"/>
          <w:color w:val="auto"/>
        </w:rPr>
        <w:t>” means (a) at any time on or prior to the Closing Date, any Lender that has a Term Commitment at such time and (b) at any time after the Closing Date, any Lender that holds Term Loans at such time.</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Loan</w:t>
      </w:r>
      <w:r>
        <w:rPr>
          <w:rFonts w:ascii="Times New Roman" w:cs="Times New Roman" w:eastAsia="Times New Roman" w:hAnsi="Times New Roman"/>
          <w:sz w:val="21"/>
          <w:szCs w:val="21"/>
          <w:color w:val="auto"/>
        </w:rPr>
        <w:t>” means an advance made by any Term Lender under the Term Facility.</w:t>
      </w:r>
    </w:p>
    <w:p>
      <w:pPr>
        <w:spacing w:after="0" w:line="17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Loan Exposure</w:t>
      </w:r>
      <w:r>
        <w:rPr>
          <w:rFonts w:ascii="Times New Roman" w:cs="Times New Roman" w:eastAsia="Times New Roman" w:hAnsi="Times New Roman"/>
          <w:sz w:val="21"/>
          <w:szCs w:val="21"/>
          <w:color w:val="auto"/>
        </w:rPr>
        <w:t>” means, as to any Lender at any time, the aggregate Outstanding Amount at such time of its Term Loans; provided that at any time prior to the making of the Term Loans, the Term Loan Exposure of any Lender shall be equal to such Lender’s Term Commitment.</w:t>
      </w:r>
    </w:p>
    <w:p>
      <w:pPr>
        <w:spacing w:after="0" w:line="148"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Note</w:t>
      </w:r>
      <w:r>
        <w:rPr>
          <w:rFonts w:ascii="Times New Roman" w:cs="Times New Roman" w:eastAsia="Times New Roman" w:hAnsi="Times New Roman"/>
          <w:sz w:val="21"/>
          <w:szCs w:val="21"/>
          <w:color w:val="auto"/>
        </w:rPr>
        <w:t>” means a promissory note made by Toro in favor of a Term Lender evidencing Term Loans made by such Term Lender, substantially in the form of Exhibit C-2.</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w:t>
      </w:r>
      <w:r>
        <w:rPr>
          <w:rFonts w:ascii="Times New Roman" w:cs="Times New Roman" w:eastAsia="Times New Roman" w:hAnsi="Times New Roman"/>
          <w:sz w:val="21"/>
          <w:szCs w:val="21"/>
          <w:color w:val="auto"/>
        </w:rPr>
        <w:t>” means:</w:t>
      </w:r>
    </w:p>
    <w:p>
      <w:pPr>
        <w:spacing w:after="0" w:line="172" w:lineRule="exact"/>
        <w:rPr>
          <w:sz w:val="20"/>
          <w:szCs w:val="20"/>
          <w:color w:val="auto"/>
        </w:rPr>
      </w:pPr>
    </w:p>
    <w:p>
      <w:pPr>
        <w:jc w:val="both"/>
        <w:ind w:firstLine="1244"/>
        <w:spacing w:after="0" w:line="217" w:lineRule="auto"/>
        <w:tabs>
          <w:tab w:leader="none" w:pos="1677"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Interest Period with respect to a Term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plus the SOFR Adjustment for such Interest Period;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40"/>
          </w:cols>
          <w:pgMar w:left="320" w:top="1342" w:right="339" w:bottom="1440" w:gutter="0" w:footer="0" w:header="0"/>
        </w:sectPr>
      </w:pPr>
    </w:p>
    <w:bookmarkStart w:id="102" w:name="page103"/>
    <w:bookmarkEnd w:id="102"/>
    <w:p>
      <w:pPr>
        <w:ind w:firstLine="1244"/>
        <w:spacing w:after="0" w:line="236" w:lineRule="auto"/>
        <w:tabs>
          <w:tab w:leader="none" w:pos="175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interest calculation with respect to a Base Rate Loan on any date, the rate per annum equal to the Term SOFR Screen Rate with a term of one month commencing that day;</w:t>
      </w:r>
    </w:p>
    <w:p>
      <w:pPr>
        <w:spacing w:after="0" w:line="14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Term SOFR determined in accordance with either of the foregoing clauses (a) or (b) of this definition would otherwise be less than zero percent, Term SOFR shall be deemed zero percent for purposes of this Agreement.</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Loan</w:t>
      </w:r>
      <w:r>
        <w:rPr>
          <w:rFonts w:ascii="Times New Roman" w:cs="Times New Roman" w:eastAsia="Times New Roman" w:hAnsi="Times New Roman"/>
          <w:sz w:val="21"/>
          <w:szCs w:val="21"/>
          <w:color w:val="auto"/>
        </w:rPr>
        <w:t>” means a Loan that bears interest at a rate based on clause (a) of the definition of Term SOFR.</w:t>
      </w:r>
    </w:p>
    <w:p>
      <w:pPr>
        <w:spacing w:after="0" w:line="17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Screen Rate</w:t>
      </w:r>
      <w:r>
        <w:rPr>
          <w:rFonts w:ascii="Times New Roman" w:cs="Times New Roman" w:eastAsia="Times New Roman" w:hAnsi="Times New Roman"/>
          <w:sz w:val="21"/>
          <w:szCs w:val="21"/>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“Toro” has the meaning specified in the introductory paragraph hereto.</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Toro Luxembourg</w:t>
      </w:r>
      <w:r>
        <w:rPr>
          <w:rFonts w:ascii="Times New Roman" w:cs="Times New Roman" w:eastAsia="Times New Roman" w:hAnsi="Times New Roman"/>
          <w:sz w:val="21"/>
          <w:szCs w:val="21"/>
          <w:color w:val="auto"/>
        </w:rPr>
        <w:t>” has the meaning specified in the introductory paragraph hereto.</w:t>
      </w:r>
    </w:p>
    <w:p>
      <w:pPr>
        <w:spacing w:after="0" w:line="172"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Credit Exposure</w:t>
      </w:r>
      <w:r>
        <w:rPr>
          <w:rFonts w:ascii="Times New Roman" w:cs="Times New Roman" w:eastAsia="Times New Roman" w:hAnsi="Times New Roman"/>
          <w:sz w:val="21"/>
          <w:szCs w:val="21"/>
          <w:color w:val="auto"/>
        </w:rPr>
        <w:t>” means, as to any Lender at any time, (a) in respect of the Revolving Credit Facility, the unused Revolving Credit Commitments and Revolving Credit Exposure of such Lender at such time, and (b) in respect of the Term Facility, the Term Loan Exposure of such Lender at such time.</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Outstandings</w:t>
      </w:r>
      <w:r>
        <w:rPr>
          <w:rFonts w:ascii="Times New Roman" w:cs="Times New Roman" w:eastAsia="Times New Roman" w:hAnsi="Times New Roman"/>
          <w:sz w:val="21"/>
          <w:szCs w:val="21"/>
          <w:color w:val="auto"/>
        </w:rPr>
        <w:t>” means the aggregate Outstanding Amount of all Loans and all L/C Obligations.</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Total Revolving Credit Outstandings</w:t>
      </w:r>
      <w:r>
        <w:rPr>
          <w:rFonts w:ascii="Times New Roman" w:cs="Times New Roman" w:eastAsia="Times New Roman" w:hAnsi="Times New Roman"/>
          <w:sz w:val="21"/>
          <w:szCs w:val="21"/>
          <w:color w:val="auto"/>
        </w:rPr>
        <w:t>” means the aggregate Outstanding Amount of all Revolving Credit Loans, Swing Line Loans and L/C Obligations.</w:t>
      </w:r>
    </w:p>
    <w:p>
      <w:pPr>
        <w:spacing w:after="0" w:line="145"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Type</w:t>
      </w:r>
      <w:r>
        <w:rPr>
          <w:rFonts w:ascii="Times New Roman" w:cs="Times New Roman" w:eastAsia="Times New Roman" w:hAnsi="Times New Roman"/>
          <w:sz w:val="21"/>
          <w:szCs w:val="21"/>
          <w:color w:val="auto"/>
        </w:rPr>
        <w:t>” means, with respect to a Loan, its character as a Base Rate Loan, a Term SOFR Loan, an Alternative Currency Daily Rate Loan or an Alternative Currency Term Rate Loan.</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UCC</w:t>
      </w:r>
      <w:r>
        <w:rPr>
          <w:rFonts w:ascii="Times New Roman" w:cs="Times New Roman" w:eastAsia="Times New Roman" w:hAnsi="Times New Roman"/>
          <w:sz w:val="21"/>
          <w:szCs w:val="21"/>
          <w:color w:val="auto"/>
        </w:rPr>
        <w:t>” means the Uniform Commercial Code as in effect in the State of New York.</w:t>
      </w:r>
    </w:p>
    <w:p>
      <w:pPr>
        <w:spacing w:after="0" w:line="172"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Financial Institution</w:t>
      </w:r>
      <w:r>
        <w:rPr>
          <w:rFonts w:ascii="Times New Roman" w:cs="Times New Roman" w:eastAsia="Times New Roman" w:hAnsi="Times New Roman"/>
          <w:sz w:val="21"/>
          <w:szCs w:val="21"/>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48"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UK Resolution Authority</w:t>
      </w:r>
      <w:r>
        <w:rPr>
          <w:rFonts w:ascii="Times New Roman" w:cs="Times New Roman" w:eastAsia="Times New Roman" w:hAnsi="Times New Roman"/>
          <w:sz w:val="21"/>
          <w:szCs w:val="21"/>
          <w:color w:val="auto"/>
        </w:rPr>
        <w:t>” means the Bank of England or any other public administrative authority having responsibility for the resolution of any UK Financial Institution.</w:t>
      </w:r>
    </w:p>
    <w:p>
      <w:pPr>
        <w:spacing w:after="0" w:line="145"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Unfunded Pension Liability</w:t>
      </w:r>
      <w:r>
        <w:rPr>
          <w:rFonts w:ascii="Times New Roman" w:cs="Times New Roman" w:eastAsia="Times New Roman" w:hAnsi="Times New Roman"/>
          <w:sz w:val="21"/>
          <w:szCs w:val="21"/>
          <w:color w:val="auto"/>
        </w:rPr>
        <w:t>” means the excess of a Pension Plan’s benefit liabilities under Section 4001(a)(16) of ERISA, over the current value of that Pension Plan’s assets, determined in accordance with the assumptions used for funding the Pension Plan pursuant to Section 412 of the Code for the applicable plan year.</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United States</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U.S.</w:t>
      </w:r>
      <w:r>
        <w:rPr>
          <w:rFonts w:ascii="Times New Roman" w:cs="Times New Roman" w:eastAsia="Times New Roman" w:hAnsi="Times New Roman"/>
          <w:sz w:val="21"/>
          <w:szCs w:val="21"/>
          <w:color w:val="auto"/>
        </w:rPr>
        <w:t>” mean the United States of America.</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Unreimbursed Amount</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2.03(c)(i)</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40"/>
          </w:cols>
          <w:pgMar w:left="320" w:top="1342" w:right="339" w:bottom="1440" w:gutter="0" w:footer="0" w:header="0"/>
        </w:sectPr>
      </w:pPr>
    </w:p>
    <w:bookmarkStart w:id="103" w:name="page104"/>
    <w:bookmarkEnd w:id="103"/>
    <w:p>
      <w:pPr>
        <w:ind w:left="6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Bank Fee Letter</w:t>
      </w:r>
      <w:r>
        <w:rPr>
          <w:rFonts w:ascii="Times New Roman" w:cs="Times New Roman" w:eastAsia="Times New Roman" w:hAnsi="Times New Roman"/>
          <w:sz w:val="20"/>
          <w:szCs w:val="20"/>
          <w:color w:val="auto"/>
        </w:rPr>
        <w:t>” means that certain letter agreement, dated September 2, 2021 among Toro, Toro Luxembourg and U.S.</w:t>
      </w:r>
    </w:p>
    <w:p>
      <w:pPr>
        <w:spacing w:after="0"/>
        <w:rPr>
          <w:sz w:val="20"/>
          <w:szCs w:val="20"/>
          <w:color w:val="auto"/>
        </w:rPr>
      </w:pPr>
      <w:r>
        <w:rPr>
          <w:rFonts w:ascii="Times New Roman" w:cs="Times New Roman" w:eastAsia="Times New Roman" w:hAnsi="Times New Roman"/>
          <w:sz w:val="21"/>
          <w:szCs w:val="21"/>
          <w:color w:val="auto"/>
        </w:rPr>
        <w:t>Bank National Association.</w:t>
      </w:r>
    </w:p>
    <w:p>
      <w:pPr>
        <w:spacing w:after="0" w:line="150"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Government Securities Business Day</w:t>
      </w:r>
      <w:r>
        <w:rPr>
          <w:rFonts w:ascii="Times New Roman" w:cs="Times New Roman" w:eastAsia="Times New Roman" w:hAnsi="Times New Roman"/>
          <w:sz w:val="21"/>
          <w:szCs w:val="21"/>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Person</w:t>
      </w:r>
      <w:r>
        <w:rPr>
          <w:rFonts w:ascii="Times New Roman" w:cs="Times New Roman" w:eastAsia="Times New Roman" w:hAnsi="Times New Roman"/>
          <w:sz w:val="21"/>
          <w:szCs w:val="21"/>
          <w:color w:val="auto"/>
        </w:rPr>
        <w:t>” means any Person that is a “United States Person” as defined in Section 7701(a)(30) of the Code.</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U.S. Tax Compliance Certificate</w:t>
      </w:r>
      <w:r>
        <w:rPr>
          <w:rFonts w:ascii="Times New Roman" w:cs="Times New Roman" w:eastAsia="Times New Roman" w:hAnsi="Times New Roman"/>
          <w:sz w:val="21"/>
          <w:szCs w:val="21"/>
          <w:color w:val="auto"/>
        </w:rPr>
        <w:t xml:space="preserve">” has the meaning specified in </w:t>
      </w:r>
      <w:r>
        <w:rPr>
          <w:rFonts w:ascii="Times New Roman" w:cs="Times New Roman" w:eastAsia="Times New Roman" w:hAnsi="Times New Roman"/>
          <w:sz w:val="21"/>
          <w:szCs w:val="21"/>
          <w:u w:val="single" w:color="auto"/>
          <w:color w:val="auto"/>
        </w:rPr>
        <w:t>Section 3.01(e)(ii)(B)(III)</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Wells Fargo</w:t>
      </w:r>
      <w:r>
        <w:rPr>
          <w:rFonts w:ascii="Times New Roman" w:cs="Times New Roman" w:eastAsia="Times New Roman" w:hAnsi="Times New Roman"/>
          <w:sz w:val="21"/>
          <w:szCs w:val="21"/>
          <w:color w:val="auto"/>
        </w:rPr>
        <w:t>” means Wells Fargo Bank, National Association.</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Wells Fargo Fee Letter</w:t>
      </w:r>
      <w:r>
        <w:rPr>
          <w:rFonts w:ascii="Times New Roman" w:cs="Times New Roman" w:eastAsia="Times New Roman" w:hAnsi="Times New Roman"/>
          <w:sz w:val="21"/>
          <w:szCs w:val="21"/>
          <w:color w:val="auto"/>
        </w:rPr>
        <w:t>” means that certain letter agreement, dated September 2, 2021 among Toro, Toro Luxembourg, Wells Fargo and WFS.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WFS</w:t>
      </w:r>
      <w:r>
        <w:rPr>
          <w:rFonts w:ascii="Times New Roman" w:cs="Times New Roman" w:eastAsia="Times New Roman" w:hAnsi="Times New Roman"/>
          <w:sz w:val="21"/>
          <w:szCs w:val="21"/>
          <w:color w:val="auto"/>
        </w:rPr>
        <w:t>” means Wells Fargo Securities, LLC and its successors.</w:t>
      </w:r>
    </w:p>
    <w:p>
      <w:pPr>
        <w:spacing w:after="0" w:line="172" w:lineRule="exact"/>
        <w:rPr>
          <w:sz w:val="20"/>
          <w:szCs w:val="20"/>
          <w:color w:val="auto"/>
        </w:rPr>
      </w:pPr>
    </w:p>
    <w:p>
      <w:pPr>
        <w:jc w:val="both"/>
        <w:ind w:firstLine="620"/>
        <w:spacing w:after="0" w:line="21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Wholly-Owned Subsidiary</w:t>
      </w:r>
      <w:r>
        <w:rPr>
          <w:rFonts w:ascii="Times New Roman" w:cs="Times New Roman" w:eastAsia="Times New Roman" w:hAnsi="Times New Roman"/>
          <w:sz w:val="21"/>
          <w:szCs w:val="21"/>
          <w:color w:val="auto"/>
        </w:rPr>
        <w:t>” means any corporation, limited liability company, partnership or other business association or entity organized under the laws of the United States or other country in which Toro or any of its Subsidiaries conducts business in which (other than directors’ qualifying shares required by law) 100% of the capital stock, membership interests, partnership interests or other Equity Interests, as applicable, of each class having ordinary voting power, and 100% of the capital stock, membership interests, partnership interests or other Equity Interests, as applicable, of every other class, in each case, at the time as of which any determination is being made, is owned, beneficially and of record, by (i) one of the Borrowers, or by one or more of the Borrowers or other Wholly-Owned Subsidiaries, or both, and (ii) directly or indirectly by Toro.</w:t>
      </w:r>
    </w:p>
    <w:p>
      <w:pPr>
        <w:spacing w:after="0" w:line="147" w:lineRule="exact"/>
        <w:rPr>
          <w:sz w:val="20"/>
          <w:szCs w:val="20"/>
          <w:color w:val="auto"/>
        </w:rPr>
      </w:pPr>
    </w:p>
    <w:p>
      <w:pPr>
        <w:jc w:val="both"/>
        <w:ind w:firstLine="620"/>
        <w:spacing w:after="0" w:line="21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Write-Down and Conversion Powers</w:t>
      </w:r>
      <w:r>
        <w:rPr>
          <w:rFonts w:ascii="Times New Roman" w:cs="Times New Roman" w:eastAsia="Times New Roman" w:hAnsi="Times New Roman"/>
          <w:sz w:val="21"/>
          <w:szCs w:val="2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42" w:lineRule="exact"/>
        <w:rPr>
          <w:sz w:val="20"/>
          <w:szCs w:val="20"/>
          <w:color w:val="auto"/>
        </w:rPr>
      </w:pPr>
    </w:p>
    <w:p>
      <w:pPr>
        <w:jc w:val="both"/>
        <w:ind w:firstLine="620"/>
        <w:spacing w:after="0" w:line="237" w:lineRule="auto"/>
        <w:rPr>
          <w:sz w:val="20"/>
          <w:szCs w:val="20"/>
          <w:color w:val="auto"/>
        </w:rPr>
      </w:pPr>
      <w:r>
        <w:rPr>
          <w:rFonts w:ascii="Times New Roman" w:cs="Times New Roman" w:eastAsia="Times New Roman" w:hAnsi="Times New Roman"/>
          <w:sz w:val="21"/>
          <w:szCs w:val="21"/>
          <w:b w:val="1"/>
          <w:bCs w:val="1"/>
          <w:color w:val="auto"/>
        </w:rPr>
        <w:t>1.02 Other Interpretive Provisions</w:t>
      </w:r>
      <w:r>
        <w:rPr>
          <w:rFonts w:ascii="Times New Roman" w:cs="Times New Roman" w:eastAsia="Times New Roman" w:hAnsi="Times New Roman"/>
          <w:sz w:val="21"/>
          <w:szCs w:val="21"/>
          <w:color w:val="auto"/>
        </w:rPr>
        <w:t>. With reference to this Agreement and each other Loan Document, unless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specified herein or in such other Loan Document:</w:t>
      </w:r>
    </w:p>
    <w:p>
      <w:pPr>
        <w:spacing w:after="0" w:line="147" w:lineRule="exact"/>
        <w:rPr>
          <w:sz w:val="20"/>
          <w:szCs w:val="20"/>
          <w:color w:val="auto"/>
        </w:rPr>
      </w:pPr>
    </w:p>
    <w:p>
      <w:pPr>
        <w:jc w:val="both"/>
        <w:ind w:firstLine="1244"/>
        <w:spacing w:after="0" w:line="217" w:lineRule="auto"/>
        <w:tabs>
          <w:tab w:leader="none" w:pos="1687"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40"/>
          </w:cols>
          <w:pgMar w:left="320" w:top="1340" w:right="339" w:bottom="1440" w:gutter="0" w:footer="0" w:header="0"/>
        </w:sectPr>
      </w:pPr>
    </w:p>
    <w:bookmarkStart w:id="104" w:name="page105"/>
    <w:bookmarkEnd w:id="104"/>
    <w:p>
      <w:pPr>
        <w:jc w:val="both"/>
        <w:spacing w:after="0" w:line="211" w:lineRule="auto"/>
        <w:rPr>
          <w:sz w:val="20"/>
          <w:szCs w:val="20"/>
          <w:color w:val="auto"/>
        </w:rPr>
      </w:pPr>
      <w:r>
        <w:rPr>
          <w:rFonts w:ascii="Times New Roman" w:cs="Times New Roman" w:eastAsia="Times New Roman" w:hAnsi="Times New Roman"/>
          <w:sz w:val="21"/>
          <w:szCs w:val="21"/>
          <w:color w:val="auto"/>
        </w:rPr>
        <w:t>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21"/>
          <w:szCs w:val="21"/>
          <w:u w:val="single" w:color="auto"/>
          <w:color w:val="auto"/>
        </w:rPr>
        <w:t>hereto</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herein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hereof</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hereunder</w:t>
      </w:r>
      <w:r>
        <w:rPr>
          <w:rFonts w:ascii="Times New Roman" w:cs="Times New Roman" w:eastAsia="Times New Roman" w:hAnsi="Times New Roman"/>
          <w:sz w:val="21"/>
          <w:szCs w:val="21"/>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w:t>
      </w:r>
      <w:r>
        <w:rPr>
          <w:rFonts w:ascii="Times New Roman" w:cs="Times New Roman" w:eastAsia="Times New Roman" w:hAnsi="Times New Roman"/>
          <w:sz w:val="21"/>
          <w:szCs w:val="21"/>
          <w:u w:val="single" w:color="auto"/>
          <w:color w:val="auto"/>
        </w:rPr>
        <w:t>asset</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property</w:t>
      </w:r>
      <w:r>
        <w:rPr>
          <w:rFonts w:ascii="Times New Roman" w:cs="Times New Roman" w:eastAsia="Times New Roman" w:hAnsi="Times New Roman"/>
          <w:sz w:val="21"/>
          <w:szCs w:val="21"/>
          <w:color w:val="auto"/>
        </w:rPr>
        <w:t>” shall be construed to have the same meaning and effect and to refer to any and all tangible and intangible assets and properties, including cash, securities, accounts and contract rights.</w:t>
      </w:r>
    </w:p>
    <w:p>
      <w:pPr>
        <w:spacing w:after="0" w:line="146" w:lineRule="exact"/>
        <w:rPr>
          <w:sz w:val="20"/>
          <w:szCs w:val="20"/>
          <w:color w:val="auto"/>
        </w:rPr>
      </w:pPr>
    </w:p>
    <w:p>
      <w:pPr>
        <w:ind w:firstLine="1244"/>
        <w:spacing w:after="0" w:line="236" w:lineRule="auto"/>
        <w:tabs>
          <w:tab w:leader="none" w:pos="1705"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computation of periods of time from a specified date to a later specified date, the word “</w:t>
      </w:r>
      <w:r>
        <w:rPr>
          <w:rFonts w:ascii="Times New Roman" w:cs="Times New Roman" w:eastAsia="Times New Roman" w:hAnsi="Times New Roman"/>
          <w:sz w:val="21"/>
          <w:szCs w:val="21"/>
          <w:u w:val="single" w:color="auto"/>
          <w:color w:val="auto"/>
        </w:rPr>
        <w:t>from</w:t>
      </w:r>
      <w:r>
        <w:rPr>
          <w:rFonts w:ascii="Times New Roman" w:cs="Times New Roman" w:eastAsia="Times New Roman" w:hAnsi="Times New Roman"/>
          <w:sz w:val="21"/>
          <w:szCs w:val="21"/>
          <w:color w:val="auto"/>
        </w:rPr>
        <w:t>” means “</w:t>
      </w:r>
      <w:r>
        <w:rPr>
          <w:rFonts w:ascii="Times New Roman" w:cs="Times New Roman" w:eastAsia="Times New Roman" w:hAnsi="Times New Roman"/>
          <w:sz w:val="21"/>
          <w:szCs w:val="21"/>
          <w:u w:val="single" w:color="auto"/>
          <w:color w:val="auto"/>
        </w:rPr>
        <w:t>from</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and including</w:t>
      </w:r>
      <w:r>
        <w:rPr>
          <w:rFonts w:ascii="Times New Roman" w:cs="Times New Roman" w:eastAsia="Times New Roman" w:hAnsi="Times New Roman"/>
          <w:sz w:val="21"/>
          <w:szCs w:val="21"/>
          <w:color w:val="auto"/>
        </w:rPr>
        <w:t>;” the words “</w:t>
      </w:r>
      <w:r>
        <w:rPr>
          <w:rFonts w:ascii="Times New Roman" w:cs="Times New Roman" w:eastAsia="Times New Roman" w:hAnsi="Times New Roman"/>
          <w:sz w:val="21"/>
          <w:szCs w:val="21"/>
          <w:u w:val="single" w:color="auto"/>
          <w:color w:val="auto"/>
        </w:rPr>
        <w:t>to</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until</w:t>
      </w:r>
      <w:r>
        <w:rPr>
          <w:rFonts w:ascii="Times New Roman" w:cs="Times New Roman" w:eastAsia="Times New Roman" w:hAnsi="Times New Roman"/>
          <w:sz w:val="21"/>
          <w:szCs w:val="21"/>
          <w:color w:val="auto"/>
        </w:rPr>
        <w:t>” each mean “</w:t>
      </w:r>
      <w:r>
        <w:rPr>
          <w:rFonts w:ascii="Times New Roman" w:cs="Times New Roman" w:eastAsia="Times New Roman" w:hAnsi="Times New Roman"/>
          <w:sz w:val="21"/>
          <w:szCs w:val="21"/>
          <w:u w:val="single" w:color="auto"/>
          <w:color w:val="auto"/>
        </w:rPr>
        <w:t>to but excluding</w:t>
      </w:r>
      <w:r>
        <w:rPr>
          <w:rFonts w:ascii="Times New Roman" w:cs="Times New Roman" w:eastAsia="Times New Roman" w:hAnsi="Times New Roman"/>
          <w:sz w:val="21"/>
          <w:szCs w:val="21"/>
          <w:color w:val="auto"/>
        </w:rPr>
        <w:t>;” and the word “</w:t>
      </w:r>
      <w:r>
        <w:rPr>
          <w:rFonts w:ascii="Times New Roman" w:cs="Times New Roman" w:eastAsia="Times New Roman" w:hAnsi="Times New Roman"/>
          <w:sz w:val="21"/>
          <w:szCs w:val="21"/>
          <w:u w:val="single" w:color="auto"/>
          <w:color w:val="auto"/>
        </w:rPr>
        <w:t>through</w:t>
      </w:r>
      <w:r>
        <w:rPr>
          <w:rFonts w:ascii="Times New Roman" w:cs="Times New Roman" w:eastAsia="Times New Roman" w:hAnsi="Times New Roman"/>
          <w:sz w:val="21"/>
          <w:szCs w:val="21"/>
          <w:color w:val="auto"/>
        </w:rPr>
        <w:t>” means “</w:t>
      </w:r>
      <w:r>
        <w:rPr>
          <w:rFonts w:ascii="Times New Roman" w:cs="Times New Roman" w:eastAsia="Times New Roman" w:hAnsi="Times New Roman"/>
          <w:sz w:val="21"/>
          <w:szCs w:val="21"/>
          <w:u w:val="single" w:color="auto"/>
          <w:color w:val="auto"/>
        </w:rPr>
        <w:t>to and including</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ind w:firstLine="1244"/>
        <w:spacing w:after="0" w:line="236" w:lineRule="auto"/>
        <w:tabs>
          <w:tab w:leader="none" w:pos="1689"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headings herein and in the other Loan Documents are included for convenience of reference only and shall not affect the interpretation of this Agreement or any other Loan Document.</w:t>
      </w:r>
    </w:p>
    <w:p>
      <w:pPr>
        <w:spacing w:after="0" w:line="145" w:lineRule="exact"/>
        <w:rPr>
          <w:rFonts w:ascii="Times New Roman" w:cs="Times New Roman" w:eastAsia="Times New Roman" w:hAnsi="Times New Roman"/>
          <w:sz w:val="21"/>
          <w:szCs w:val="21"/>
          <w:color w:val="auto"/>
        </w:rPr>
      </w:pPr>
    </w:p>
    <w:p>
      <w:pPr>
        <w:jc w:val="both"/>
        <w:ind w:firstLine="1244"/>
        <w:spacing w:after="0" w:line="215" w:lineRule="auto"/>
        <w:tabs>
          <w:tab w:leader="none" w:pos="1694"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reference herein to a merger,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45"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b w:val="1"/>
          <w:bCs w:val="1"/>
          <w:color w:val="auto"/>
        </w:rPr>
        <w:t>1.03</w:t>
      </w:r>
      <w:r>
        <w:rPr>
          <w:sz w:val="20"/>
          <w:szCs w:val="20"/>
          <w:color w:val="auto"/>
        </w:rPr>
        <w:tab/>
      </w:r>
      <w:r>
        <w:rPr>
          <w:rFonts w:ascii="Times New Roman" w:cs="Times New Roman" w:eastAsia="Times New Roman" w:hAnsi="Times New Roman"/>
          <w:sz w:val="20"/>
          <w:szCs w:val="20"/>
          <w:b w:val="1"/>
          <w:bCs w:val="1"/>
          <w:color w:val="auto"/>
        </w:rPr>
        <w:t>Accounting Terms</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1244"/>
        <w:spacing w:after="0" w:line="214" w:lineRule="auto"/>
        <w:tabs>
          <w:tab w:leader="none" w:pos="1767"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Generally</w:t>
      </w:r>
      <w:r>
        <w:rPr>
          <w:rFonts w:ascii="Times New Roman" w:cs="Times New Roman" w:eastAsia="Times New Roman" w:hAnsi="Times New Roman"/>
          <w:sz w:val="21"/>
          <w:szCs w:val="21"/>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the financial covenant) contained herein, Indebtedness of Toro and its Subsidiaries shall be deemed to be carried at 100% of the outstanding principal amount thereof, and the effects of FASB ASC 825 on financial liabilities shall be disregarded.</w:t>
      </w:r>
    </w:p>
    <w:p>
      <w:pPr>
        <w:spacing w:after="0" w:line="146" w:lineRule="exact"/>
        <w:rPr>
          <w:rFonts w:ascii="Times New Roman" w:cs="Times New Roman" w:eastAsia="Times New Roman" w:hAnsi="Times New Roman"/>
          <w:sz w:val="21"/>
          <w:szCs w:val="21"/>
          <w:color w:val="auto"/>
        </w:rPr>
      </w:pPr>
    </w:p>
    <w:p>
      <w:pPr>
        <w:jc w:val="both"/>
        <w:ind w:firstLine="1244"/>
        <w:spacing w:after="0" w:line="217" w:lineRule="auto"/>
        <w:tabs>
          <w:tab w:leader="none" w:pos="1766"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Changes in GAAP</w:t>
      </w:r>
      <w:r>
        <w:rPr>
          <w:rFonts w:ascii="Times New Roman" w:cs="Times New Roman" w:eastAsia="Times New Roman" w:hAnsi="Times New Roman"/>
          <w:sz w:val="21"/>
          <w:szCs w:val="21"/>
          <w:color w:val="auto"/>
        </w:rPr>
        <w:t>. If at any time any change in GAAP would affect the computation of any financial ratio or requirement set forth in any Loan Document, and either Toro or the Required Lenders shall so request, the Administrative Agent, the Lenders and Toro shall negotiate in good faith to amend such ratio or requirement to preserve the original intent thereof in light of such change in GAAP (subject to the approval of the Required Lenders); provided that, until so amended, (i) such ratio or requirement shall continue to be computed in accordance with GAAP prior to such change therein and (ii) Toro shall provide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40"/>
          </w:cols>
          <w:pgMar w:left="320" w:top="1342" w:right="339" w:bottom="1440" w:gutter="0" w:footer="0" w:header="0"/>
        </w:sectPr>
      </w:pPr>
    </w:p>
    <w:bookmarkStart w:id="105" w:name="page106"/>
    <w:bookmarkEnd w:id="105"/>
    <w:p>
      <w:pPr>
        <w:jc w:val="both"/>
        <w:spacing w:after="0" w:line="215" w:lineRule="auto"/>
        <w:rPr>
          <w:sz w:val="20"/>
          <w:szCs w:val="20"/>
          <w:color w:val="auto"/>
        </w:rPr>
      </w:pPr>
      <w:r>
        <w:rPr>
          <w:rFonts w:ascii="Times New Roman" w:cs="Times New Roman" w:eastAsia="Times New Roman" w:hAnsi="Times New Roman"/>
          <w:sz w:val="21"/>
          <w:szCs w:val="21"/>
          <w:color w:val="auto"/>
        </w:rPr>
        <w:t>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prior to adoption and effectiveness of new accounting standards related to leases for all purposes of this Agreement, notwithstanding any change in GAAP relating thereto, unless the parties hereto shall enter into a mutually acceptable amendment negotiated in good faith addressing such changes, as provided for above.</w:t>
      </w:r>
    </w:p>
    <w:p>
      <w:pPr>
        <w:spacing w:after="0" w:line="149" w:lineRule="exact"/>
        <w:rPr>
          <w:sz w:val="20"/>
          <w:szCs w:val="20"/>
          <w:color w:val="auto"/>
        </w:rPr>
      </w:pPr>
    </w:p>
    <w:p>
      <w:pPr>
        <w:ind w:left="1680" w:hanging="436"/>
        <w:spacing w:after="0"/>
        <w:tabs>
          <w:tab w:leader="none" w:pos="168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References herein to “fiscal year” and “fiscal quarter” refer to such fiscal periods of the Borrowers.</w:t>
      </w:r>
    </w:p>
    <w:p>
      <w:pPr>
        <w:spacing w:after="0" w:line="171" w:lineRule="exact"/>
        <w:rPr>
          <w:rFonts w:ascii="Times New Roman" w:cs="Times New Roman" w:eastAsia="Times New Roman" w:hAnsi="Times New Roman"/>
          <w:sz w:val="21"/>
          <w:szCs w:val="21"/>
          <w:color w:val="auto"/>
        </w:rPr>
      </w:pPr>
    </w:p>
    <w:p>
      <w:pPr>
        <w:ind w:left="1680" w:hanging="436"/>
        <w:spacing w:after="0"/>
        <w:tabs>
          <w:tab w:leader="none" w:pos="168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Acquisition consummated on or after the Closing Date, the following shall apply:</w:t>
      </w:r>
    </w:p>
    <w:p>
      <w:pPr>
        <w:spacing w:after="0" w:line="171" w:lineRule="exact"/>
        <w:rPr>
          <w:rFonts w:ascii="Times New Roman" w:cs="Times New Roman" w:eastAsia="Times New Roman" w:hAnsi="Times New Roman"/>
          <w:sz w:val="21"/>
          <w:szCs w:val="21"/>
          <w:color w:val="auto"/>
        </w:rPr>
      </w:pPr>
    </w:p>
    <w:p>
      <w:pPr>
        <w:jc w:val="both"/>
        <w:ind w:firstLine="1864"/>
        <w:spacing w:after="0" w:line="220" w:lineRule="auto"/>
        <w:tabs>
          <w:tab w:leader="none" w:pos="2328"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period of four fiscal quarters of Toro and its Subsidiaries ending next following the date of any Acquisition, Consolidated EBIT shall include the results of operations of the Person or assets so acquired on a historical pro forma basis, and which amounts may include such adjustments as are permitted under Regulation S-X of the Securities and Exchange Commission or FASB ASC 805 and, in each case, reasonably satisfactory to the Administrative Agent;</w:t>
      </w:r>
    </w:p>
    <w:p>
      <w:pPr>
        <w:spacing w:after="0" w:line="148" w:lineRule="exact"/>
        <w:rPr>
          <w:rFonts w:ascii="Times New Roman" w:cs="Times New Roman" w:eastAsia="Times New Roman" w:hAnsi="Times New Roman"/>
          <w:sz w:val="21"/>
          <w:szCs w:val="21"/>
          <w:color w:val="auto"/>
        </w:rPr>
      </w:pPr>
    </w:p>
    <w:p>
      <w:pPr>
        <w:jc w:val="both"/>
        <w:ind w:firstLine="1864"/>
        <w:spacing w:after="0" w:line="211" w:lineRule="auto"/>
        <w:tabs>
          <w:tab w:leader="none" w:pos="2362"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period of four fiscal quarters of Toro and its Subsidiaries ending next following the date of each Acquisition, Consolidated Interest Charges shall include the results of operations of the Person or assets so acquired, which amounts shall be determined on a historical pro forma basis; provided, however, Consolidated Interest Charges shall be adjusted on a historical pro forma basis to (A) eliminate interest expense accrued during such period on any Indebtedness repaid in connection with such Acquisition and (B) include interest expense on any Indebtedness (including Indebtedness hereunder) incurred, acquired or assumed in connection with such Acquisition (“</w:t>
      </w:r>
      <w:r>
        <w:rPr>
          <w:rFonts w:ascii="Times New Roman" w:cs="Times New Roman" w:eastAsia="Times New Roman" w:hAnsi="Times New Roman"/>
          <w:sz w:val="21"/>
          <w:szCs w:val="21"/>
          <w:u w:val="single" w:color="auto"/>
          <w:color w:val="auto"/>
        </w:rPr>
        <w:t>Incremental Debt</w:t>
      </w:r>
      <w:r>
        <w:rPr>
          <w:rFonts w:ascii="Times New Roman" w:cs="Times New Roman" w:eastAsia="Times New Roman" w:hAnsi="Times New Roman"/>
          <w:sz w:val="21"/>
          <w:szCs w:val="21"/>
          <w:color w:val="auto"/>
        </w:rPr>
        <w:t>”) calculated (I) as if all such Incremental Debt had been incurred as of the first day of such four-quarter period and (II) at the following interest rates: (x) for all periods subsequent to the date of the Acquisition and for Incremental Debt assumed or acquired in the Acquisition and in effect prior to the date of Acquisition, at the actual rates of interest applicable thereto, and (y) for all periods prior to the actual incurrence of such Incremental Debt, equal to the rate of interest actually applicable to such Incremental Debt hereunder or under other financing documents applicable thereto as at the end of each affected period of such four fiscal quarters, as the case may be.</w:t>
      </w:r>
    </w:p>
    <w:p>
      <w:pPr>
        <w:spacing w:after="0" w:line="145" w:lineRule="exact"/>
        <w:rPr>
          <w:rFonts w:ascii="Times New Roman" w:cs="Times New Roman" w:eastAsia="Times New Roman" w:hAnsi="Times New Roman"/>
          <w:sz w:val="21"/>
          <w:szCs w:val="21"/>
          <w:color w:val="auto"/>
        </w:rPr>
      </w:pPr>
    </w:p>
    <w:p>
      <w:pPr>
        <w:ind w:left="1680" w:hanging="436"/>
        <w:spacing w:after="0"/>
        <w:tabs>
          <w:tab w:leader="none" w:pos="168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Material Disposition consummated on or after the Closing Date:</w:t>
      </w:r>
    </w:p>
    <w:p>
      <w:pPr>
        <w:spacing w:after="0" w:line="171" w:lineRule="exact"/>
        <w:rPr>
          <w:rFonts w:ascii="Times New Roman" w:cs="Times New Roman" w:eastAsia="Times New Roman" w:hAnsi="Times New Roman"/>
          <w:sz w:val="21"/>
          <w:szCs w:val="21"/>
          <w:color w:val="auto"/>
        </w:rPr>
      </w:pPr>
    </w:p>
    <w:p>
      <w:pPr>
        <w:jc w:val="both"/>
        <w:ind w:firstLine="1864"/>
        <w:spacing w:after="0" w:line="220" w:lineRule="auto"/>
        <w:tabs>
          <w:tab w:leader="none" w:pos="2314"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period of four fiscal quarters of Toro and its Subsidiaries ending next following the date of such Material Disposition, Consolidated EBIT for such period shall be either (A) reduced by an amount equal to the Consolidated EBIT (if positive) attributable to the property that is the subject of such Material Disposition for such period or (B) increased by an amount equal to the Consolidated EBIT (if negative) attributable to such property for such period.</w:t>
      </w:r>
    </w:p>
    <w:p>
      <w:pPr>
        <w:spacing w:after="0" w:line="148" w:lineRule="exact"/>
        <w:rPr>
          <w:rFonts w:ascii="Times New Roman" w:cs="Times New Roman" w:eastAsia="Times New Roman" w:hAnsi="Times New Roman"/>
          <w:sz w:val="21"/>
          <w:szCs w:val="21"/>
          <w:color w:val="auto"/>
        </w:rPr>
      </w:pPr>
    </w:p>
    <w:p>
      <w:pPr>
        <w:jc w:val="both"/>
        <w:ind w:firstLine="1864"/>
        <w:spacing w:after="0" w:line="220" w:lineRule="auto"/>
        <w:tabs>
          <w:tab w:leader="none" w:pos="2360"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period of four fiscal quarters of Toro and its Subsidiaries ending next following the date of such Material Disposition, Consolidated Interest Charges shall be reduced by an amount equal to the Consolidated Interest Charges incurred by the applicable Borrower or Subsidiary in connection with Indebtedness which is either (x) repaid with the proceeds received by the applicable Borrower or Subsidiary in connection with such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40"/>
          </w:cols>
          <w:pgMar w:left="320" w:top="1342" w:right="339" w:bottom="1440" w:gutter="0" w:footer="0" w:header="0"/>
        </w:sectPr>
      </w:pPr>
    </w:p>
    <w:bookmarkStart w:id="106" w:name="page107"/>
    <w:bookmarkEnd w:id="106"/>
    <w:p>
      <w:pPr>
        <w:jc w:val="both"/>
        <w:spacing w:after="0" w:line="236" w:lineRule="auto"/>
        <w:rPr>
          <w:sz w:val="20"/>
          <w:szCs w:val="20"/>
          <w:color w:val="auto"/>
        </w:rPr>
      </w:pPr>
      <w:r>
        <w:rPr>
          <w:rFonts w:ascii="Times New Roman" w:cs="Times New Roman" w:eastAsia="Times New Roman" w:hAnsi="Times New Roman"/>
          <w:sz w:val="21"/>
          <w:szCs w:val="21"/>
          <w:color w:val="auto"/>
        </w:rPr>
        <w:t>Disposition or (y) assigned or transferred to, and assumed by, the Person to whom the Material Disposition is made by the applicable Borrower or Subsidiary.</w:t>
      </w:r>
    </w:p>
    <w:p>
      <w:pPr>
        <w:spacing w:after="0" w:line="145"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For the purposes of this paragraph, “</w:t>
      </w:r>
      <w:r>
        <w:rPr>
          <w:rFonts w:ascii="Times New Roman" w:cs="Times New Roman" w:eastAsia="Times New Roman" w:hAnsi="Times New Roman"/>
          <w:sz w:val="21"/>
          <w:szCs w:val="21"/>
          <w:u w:val="single" w:color="auto"/>
          <w:color w:val="auto"/>
        </w:rPr>
        <w:t>Material Disposition</w:t>
      </w:r>
      <w:r>
        <w:rPr>
          <w:rFonts w:ascii="Times New Roman" w:cs="Times New Roman" w:eastAsia="Times New Roman" w:hAnsi="Times New Roman"/>
          <w:sz w:val="21"/>
          <w:szCs w:val="21"/>
          <w:color w:val="auto"/>
        </w:rPr>
        <w:t>” means any Disposition, or series of related Dispositions, by Toro and its Subsidiaries of real or personal property that has a gross book value, as determined in accordance with GAAP, equal to or greater than 10% of consolidated total assets of Toro and its Subsidiaries determined as of the last day of the immediately preceding fiscal quarter of Toro, and “Disposition” means the sale, transfer, license or other disposition (including any sale and leaseback transaction) of any property by any Person, other than pursuant to or in connection with a Receivables Purchase Facility.</w:t>
      </w:r>
    </w:p>
    <w:p>
      <w:pPr>
        <w:spacing w:after="0" w:line="149" w:lineRule="exact"/>
        <w:rPr>
          <w:sz w:val="20"/>
          <w:szCs w:val="20"/>
          <w:color w:val="auto"/>
        </w:rPr>
      </w:pPr>
    </w:p>
    <w:p>
      <w:pPr>
        <w:jc w:val="both"/>
        <w:ind w:firstLine="1244"/>
        <w:spacing w:after="0" w:line="220" w:lineRule="auto"/>
        <w:tabs>
          <w:tab w:leader="none" w:pos="1654"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Consolidation of Variable Interest Entities</w:t>
      </w:r>
      <w:r>
        <w:rPr>
          <w:rFonts w:ascii="Times New Roman" w:cs="Times New Roman" w:eastAsia="Times New Roman" w:hAnsi="Times New Roman"/>
          <w:sz w:val="21"/>
          <w:szCs w:val="21"/>
          <w:color w:val="auto"/>
        </w:rPr>
        <w:t>. All references herein to consolidated financial statements of Toro and its Subsidiaries or to the determination of any amount for Toro and its Subsidiaries on a consolidated basis or any similar reference shall, in each case, be deemed to include each variable interest entity that Toro or a Subsidiary is required to consolidate pursuant to FASB ASC 810 as if such variable interest entity were a Subsidiary as defined herein.</w:t>
      </w:r>
    </w:p>
    <w:p>
      <w:pPr>
        <w:spacing w:after="0" w:line="144"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1.04</w:t>
      </w:r>
      <w:r>
        <w:rPr>
          <w:sz w:val="20"/>
          <w:szCs w:val="20"/>
          <w:color w:val="auto"/>
        </w:rPr>
        <w:tab/>
      </w:r>
      <w:r>
        <w:rPr>
          <w:rFonts w:ascii="Times New Roman" w:cs="Times New Roman" w:eastAsia="Times New Roman" w:hAnsi="Times New Roman"/>
          <w:sz w:val="20"/>
          <w:szCs w:val="20"/>
          <w:b w:val="1"/>
          <w:bCs w:val="1"/>
          <w:color w:val="auto"/>
        </w:rPr>
        <w:t>Exchange Rates; Currency Equivalents; Interest Rates</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1244"/>
        <w:spacing w:after="0" w:line="214" w:lineRule="auto"/>
        <w:tabs>
          <w:tab w:leader="none" w:pos="1717"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or the L/C Issuer, as applicable,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the financial covenant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146" w:lineRule="exact"/>
        <w:rPr>
          <w:rFonts w:ascii="Times New Roman" w:cs="Times New Roman" w:eastAsia="Times New Roman" w:hAnsi="Times New Roman"/>
          <w:sz w:val="21"/>
          <w:szCs w:val="21"/>
          <w:color w:val="auto"/>
        </w:rPr>
      </w:pPr>
    </w:p>
    <w:p>
      <w:pPr>
        <w:jc w:val="both"/>
        <w:ind w:firstLine="1244"/>
        <w:spacing w:after="0" w:line="226" w:lineRule="auto"/>
        <w:tabs>
          <w:tab w:leader="none" w:pos="182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Borrowing, conversion, continuation or prepayment of an Alternative Currency Term Rate Loan or Alternative Currency Daily Rate Loan or the issuance, amendment or extension of a Letter of Credit, an amount, such as a required minimum or multiple amount, is expressed in Dollars, but such Borrowing, Alternative Currency Term Rate Loan, Alternative Currency Daily Rate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47" w:lineRule="exact"/>
        <w:rPr>
          <w:rFonts w:ascii="Times New Roman" w:cs="Times New Roman" w:eastAsia="Times New Roman" w:hAnsi="Times New Roman"/>
          <w:sz w:val="20"/>
          <w:szCs w:val="20"/>
          <w:color w:val="auto"/>
        </w:rPr>
      </w:pPr>
    </w:p>
    <w:p>
      <w:pPr>
        <w:jc w:val="both"/>
        <w:ind w:firstLine="1244"/>
        <w:spacing w:after="0" w:line="211" w:lineRule="auto"/>
        <w:tabs>
          <w:tab w:leader="none" w:pos="1689"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40"/>
          </w:cols>
          <w:pgMar w:left="320" w:top="1342" w:right="339" w:bottom="1440" w:gutter="0" w:footer="0" w:header="0"/>
        </w:sectPr>
      </w:pPr>
    </w:p>
    <w:bookmarkStart w:id="107" w:name="page108"/>
    <w:bookmarkEnd w:id="107"/>
    <w:p>
      <w:pPr>
        <w:jc w:val="both"/>
        <w:spacing w:after="0" w:line="217" w:lineRule="auto"/>
        <w:rPr>
          <w:sz w:val="20"/>
          <w:szCs w:val="20"/>
          <w:color w:val="auto"/>
        </w:rPr>
      </w:pPr>
      <w:r>
        <w:rPr>
          <w:rFonts w:ascii="Times New Roman" w:cs="Times New Roman" w:eastAsia="Times New Roman" w:hAnsi="Times New Roman"/>
          <w:sz w:val="21"/>
          <w:szCs w:val="21"/>
          <w:color w:val="auto"/>
        </w:rPr>
        <w:t>(including, without limitation, any Successor Rate) (or any component of any of the foregoing),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45"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b w:val="1"/>
          <w:bCs w:val="1"/>
          <w:color w:val="auto"/>
        </w:rPr>
        <w:t>1.05</w:t>
      </w:r>
      <w:r>
        <w:rPr>
          <w:sz w:val="20"/>
          <w:szCs w:val="20"/>
          <w:color w:val="auto"/>
        </w:rPr>
        <w:tab/>
      </w:r>
      <w:r>
        <w:rPr>
          <w:rFonts w:ascii="Times New Roman" w:cs="Times New Roman" w:eastAsia="Times New Roman" w:hAnsi="Times New Roman"/>
          <w:sz w:val="20"/>
          <w:szCs w:val="20"/>
          <w:b w:val="1"/>
          <w:bCs w:val="1"/>
          <w:color w:val="auto"/>
        </w:rPr>
        <w:t>Additional Alternative Currencies</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1244"/>
        <w:spacing w:after="0" w:line="215" w:lineRule="auto"/>
        <w:tabs>
          <w:tab w:leader="none" w:pos="1693"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Toro may from time to time request that Alternative Currency Loans be made and/or Letters of Credit be issued in a currency other than those specifically listed in the definition of “Alternative Currency;” provided that such requested currency is a lawful currency (other than Dollars) that is readily available and freely transferable and convertible into Dollars. In the case of any such request with respect to the making of Alternative Currency Loans, such request shall be subject to the approval of the Administrative Agent and the Lenders; and in the case of any such request with respect to the issuance of Letters of Credit, such request shall be subject to the approval of the Administrative Agent and the L/C Issuer.</w:t>
      </w:r>
    </w:p>
    <w:p>
      <w:pPr>
        <w:spacing w:after="0" w:line="149" w:lineRule="exact"/>
        <w:rPr>
          <w:rFonts w:ascii="Times New Roman" w:cs="Times New Roman" w:eastAsia="Times New Roman" w:hAnsi="Times New Roman"/>
          <w:sz w:val="21"/>
          <w:szCs w:val="21"/>
          <w:color w:val="auto"/>
        </w:rPr>
      </w:pPr>
    </w:p>
    <w:p>
      <w:pPr>
        <w:jc w:val="both"/>
        <w:ind w:firstLine="1244"/>
        <w:spacing w:after="0" w:line="212" w:lineRule="auto"/>
        <w:tabs>
          <w:tab w:leader="none" w:pos="1722"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request shall be made to the Administrative Agent not later than 11:00 a.m., 20 Business Days prior to the date of the desired Credit Extension (or such other time or date as may be agreed by the Administrative Agent and, in the case of any such request pertaining to Letters of Credit, the L/C Issuer, in its or their sole discretion). In the case of any such request pertaining to Alternative Currency Term Rate Loans, the Administrative Agent shall promptly notify each Lender thereof; and in the case of any such request pertaining to Letters of Credit, the Administrative Agent shall promptly notify the L/C Issuer thereof. Each Lender (in the case of any such request pertaining to Alternative Currency Term Rate Loans) or the L/C Issuer (in the case of a request pertaining to Letters of Credit) shall notify the Administrative Agent, not later than 11:00 a.m., ten Business Days after receipt of such request whether it consents, in its sole discretion, to the making of Alternative Currency Term Rate Loans or the issuance of Letters of Credit, as the case may be, in such requested currency.</w:t>
      </w:r>
    </w:p>
    <w:p>
      <w:pPr>
        <w:spacing w:after="0" w:line="147" w:lineRule="exact"/>
        <w:rPr>
          <w:rFonts w:ascii="Times New Roman" w:cs="Times New Roman" w:eastAsia="Times New Roman" w:hAnsi="Times New Roman"/>
          <w:sz w:val="21"/>
          <w:szCs w:val="21"/>
          <w:color w:val="auto"/>
        </w:rPr>
      </w:pPr>
    </w:p>
    <w:p>
      <w:pPr>
        <w:jc w:val="both"/>
        <w:ind w:firstLine="1244"/>
        <w:spacing w:after="0" w:line="211" w:lineRule="auto"/>
        <w:tabs>
          <w:tab w:leader="none" w:pos="1721"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failure by a Lender or the L/C Issuer, as the case may be, to respond to such request within the time period specified in the last sentence of </w:t>
      </w:r>
      <w:r>
        <w:rPr>
          <w:rFonts w:ascii="Times New Roman" w:cs="Times New Roman" w:eastAsia="Times New Roman" w:hAnsi="Times New Roman"/>
          <w:sz w:val="21"/>
          <w:szCs w:val="21"/>
          <w:u w:val="single" w:color="auto"/>
          <w:color w:val="auto"/>
        </w:rPr>
        <w:t>Section 1.05(b)</w:t>
      </w:r>
      <w:r>
        <w:rPr>
          <w:rFonts w:ascii="Times New Roman" w:cs="Times New Roman" w:eastAsia="Times New Roman" w:hAnsi="Times New Roman"/>
          <w:sz w:val="21"/>
          <w:szCs w:val="21"/>
          <w:color w:val="auto"/>
        </w:rPr>
        <w:t xml:space="preserve"> shall be deemed to be a refusal by such Lender or the L/C Issuer, as the case may be, to permit Alternative Currency Loans to be made or Letters of Credit to be issued in such requested currency. If the Administrative Agent and all the Lenders consent to making Alternative Currency Loans in such requested currency, the Administrative Agent shall so notify Toro and such currency shall thereupon be deemed for all purposes to be an Alternative Currency hereunder for purposes of any Borrowings of Alternative Currency Loans; and if the Administrative Agent and the L/C Issuer consent to the issuance of Letters of Credit in such requested currency, the Administrative Agent shall so notify Toro and such currency shall thereupon be deemed for all purposes to be an Alternative Currency hereunder for purposes of any Letter of Credit issuances. If the Administrative Agent shall fail to obtain consent to any request for an additional currency under this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the Administrative Agent shall promptly so notify Toro.</w:t>
      </w:r>
    </w:p>
    <w:p>
      <w:pPr>
        <w:spacing w:after="0" w:line="147"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1.06</w:t>
      </w:r>
      <w:r>
        <w:rPr>
          <w:sz w:val="20"/>
          <w:szCs w:val="20"/>
          <w:color w:val="auto"/>
        </w:rPr>
        <w:tab/>
      </w:r>
      <w:r>
        <w:rPr>
          <w:rFonts w:ascii="Times New Roman" w:cs="Times New Roman" w:eastAsia="Times New Roman" w:hAnsi="Times New Roman"/>
          <w:sz w:val="20"/>
          <w:szCs w:val="20"/>
          <w:b w:val="1"/>
          <w:bCs w:val="1"/>
          <w:color w:val="auto"/>
        </w:rPr>
        <w:t>Change of Currency</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1244"/>
        <w:spacing w:after="0" w:line="220" w:lineRule="auto"/>
        <w:tabs>
          <w:tab w:leader="none" w:pos="1748"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obligation of the Borrowers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240"/>
          </w:cols>
          <w:pgMar w:left="320" w:top="1342" w:right="339" w:bottom="1440" w:gutter="0" w:footer="0" w:header="0"/>
        </w:sectPr>
      </w:pPr>
    </w:p>
    <w:bookmarkStart w:id="108" w:name="page109"/>
    <w:bookmarkEnd w:id="108"/>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148" w:lineRule="exact"/>
        <w:rPr>
          <w:sz w:val="20"/>
          <w:szCs w:val="20"/>
          <w:color w:val="auto"/>
        </w:rPr>
      </w:pPr>
    </w:p>
    <w:p>
      <w:pPr>
        <w:jc w:val="both"/>
        <w:ind w:firstLine="1244"/>
        <w:spacing w:after="0" w:line="225" w:lineRule="auto"/>
        <w:tabs>
          <w:tab w:leader="none" w:pos="1691"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47" w:lineRule="exact"/>
        <w:rPr>
          <w:rFonts w:ascii="Times New Roman" w:cs="Times New Roman" w:eastAsia="Times New Roman" w:hAnsi="Times New Roman"/>
          <w:sz w:val="21"/>
          <w:szCs w:val="21"/>
          <w:color w:val="auto"/>
        </w:rPr>
      </w:pPr>
    </w:p>
    <w:p>
      <w:pPr>
        <w:jc w:val="both"/>
        <w:ind w:firstLine="1244"/>
        <w:spacing w:after="0" w:line="225" w:lineRule="auto"/>
        <w:tabs>
          <w:tab w:leader="none" w:pos="1863"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44" w:lineRule="exact"/>
        <w:rPr>
          <w:sz w:val="20"/>
          <w:szCs w:val="20"/>
          <w:color w:val="auto"/>
        </w:rPr>
      </w:pPr>
    </w:p>
    <w:p>
      <w:pPr>
        <w:jc w:val="both"/>
        <w:ind w:firstLine="620"/>
        <w:spacing w:after="0" w:line="237" w:lineRule="auto"/>
        <w:rPr>
          <w:sz w:val="20"/>
          <w:szCs w:val="20"/>
          <w:color w:val="auto"/>
        </w:rPr>
      </w:pPr>
      <w:r>
        <w:rPr>
          <w:rFonts w:ascii="Times New Roman" w:cs="Times New Roman" w:eastAsia="Times New Roman" w:hAnsi="Times New Roman"/>
          <w:sz w:val="21"/>
          <w:szCs w:val="21"/>
          <w:b w:val="1"/>
          <w:bCs w:val="1"/>
          <w:color w:val="auto"/>
        </w:rPr>
        <w:t>1.07 Times of Day</w:t>
      </w:r>
      <w:r>
        <w:rPr>
          <w:rFonts w:ascii="Times New Roman" w:cs="Times New Roman" w:eastAsia="Times New Roman" w:hAnsi="Times New Roman"/>
          <w:sz w:val="21"/>
          <w:szCs w:val="21"/>
          <w:color w:val="auto"/>
        </w:rPr>
        <w:t>. Unless otherwise specified, all references herein to times of day shall be references to Central time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(daylight or standard, as applicable).</w:t>
      </w:r>
    </w:p>
    <w:p>
      <w:pPr>
        <w:spacing w:after="0" w:line="143" w:lineRule="exact"/>
        <w:rPr>
          <w:sz w:val="20"/>
          <w:szCs w:val="20"/>
          <w:color w:val="auto"/>
        </w:rPr>
      </w:pPr>
    </w:p>
    <w:p>
      <w:pPr>
        <w:jc w:val="both"/>
        <w:ind w:firstLine="620"/>
        <w:spacing w:after="0" w:line="216" w:lineRule="auto"/>
        <w:rPr>
          <w:sz w:val="20"/>
          <w:szCs w:val="20"/>
          <w:color w:val="auto"/>
        </w:rPr>
      </w:pPr>
      <w:r>
        <w:rPr>
          <w:rFonts w:ascii="Times New Roman" w:cs="Times New Roman" w:eastAsia="Times New Roman" w:hAnsi="Times New Roman"/>
          <w:sz w:val="21"/>
          <w:szCs w:val="21"/>
          <w:b w:val="1"/>
          <w:bCs w:val="1"/>
          <w:color w:val="auto"/>
        </w:rPr>
        <w:t>1.08 Letter of Credit Amounts</w:t>
      </w:r>
      <w:r>
        <w:rPr>
          <w:rFonts w:ascii="Times New Roman" w:cs="Times New Roman" w:eastAsia="Times New Roman" w:hAnsi="Times New Roman"/>
          <w:sz w:val="21"/>
          <w:szCs w:val="21"/>
          <w:color w:val="auto"/>
        </w:rPr>
        <w:t>. Unless otherwise specified herein, the amount of a Letter of Credit at any time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deemed to be the Dollar Equivalent of the stated amount of such Letter of Credit in effect at such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43" w:lineRule="exact"/>
        <w:rPr>
          <w:sz w:val="20"/>
          <w:szCs w:val="20"/>
          <w:color w:val="auto"/>
        </w:rPr>
      </w:pPr>
    </w:p>
    <w:p>
      <w:pPr>
        <w:jc w:val="both"/>
        <w:ind w:firstLine="620"/>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1.09 Rounding </w:t>
      </w:r>
      <w:r>
        <w:rPr>
          <w:rFonts w:ascii="Times New Roman" w:cs="Times New Roman" w:eastAsia="Times New Roman" w:hAnsi="Times New Roman"/>
          <w:sz w:val="21"/>
          <w:szCs w:val="21"/>
          <w:color w:val="auto"/>
        </w:rPr>
        <w:t>. Any financial ratios required to be maintained by the Borrowers pursuant to this Agreement shall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44" w:lineRule="exact"/>
        <w:rPr>
          <w:sz w:val="20"/>
          <w:szCs w:val="20"/>
          <w:color w:val="auto"/>
        </w:rPr>
      </w:pPr>
    </w:p>
    <w:p>
      <w:pPr>
        <w:jc w:val="both"/>
        <w:ind w:firstLine="620"/>
        <w:spacing w:after="0" w:line="221" w:lineRule="auto"/>
        <w:rPr>
          <w:sz w:val="20"/>
          <w:szCs w:val="20"/>
          <w:color w:val="auto"/>
        </w:rPr>
      </w:pPr>
      <w:r>
        <w:rPr>
          <w:rFonts w:ascii="Times New Roman" w:cs="Times New Roman" w:eastAsia="Times New Roman" w:hAnsi="Times New Roman"/>
          <w:sz w:val="21"/>
          <w:szCs w:val="21"/>
          <w:b w:val="1"/>
          <w:bCs w:val="1"/>
          <w:color w:val="auto"/>
        </w:rPr>
        <w:t>1.10 Limited Conditionality Acquisition</w:t>
      </w:r>
      <w:r>
        <w:rPr>
          <w:rFonts w:ascii="Times New Roman" w:cs="Times New Roman" w:eastAsia="Times New Roman" w:hAnsi="Times New Roman"/>
          <w:sz w:val="21"/>
          <w:szCs w:val="21"/>
          <w:color w:val="auto"/>
        </w:rPr>
        <w:t>. In the event that Toro notifies the Administrative Agent in writing that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proposed Acquisition is a Limited Conditionality Acquisition and that Toro wishes to test the conditions to such Acquisition and the availability of any Indebtedness that is to be used to finance such Acquisition in accordance with this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then the following provisions shall apply:</w:t>
      </w:r>
    </w:p>
    <w:p>
      <w:pPr>
        <w:spacing w:after="0" w:line="148" w:lineRule="exact"/>
        <w:rPr>
          <w:sz w:val="20"/>
          <w:szCs w:val="20"/>
          <w:color w:val="auto"/>
        </w:rPr>
      </w:pPr>
    </w:p>
    <w:p>
      <w:pPr>
        <w:jc w:val="both"/>
        <w:ind w:firstLine="1244"/>
        <w:spacing w:after="0" w:line="226" w:lineRule="auto"/>
        <w:tabs>
          <w:tab w:leader="none" w:pos="169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condition to such Acquisition or such Indebtedness that requires that no Default or Event of Default shall have occurred and be continuing at the time of such Acquisition or the incurrence of such Indebtedness, shall, if agreed to by the lenders providing such Indebtedness, be satisfied if (i) no Default or Event of Default shall have occurred and be continuing at the time of the execution of the definitive purchase agreement, merger agreement or other acquisition agreement governing such Acquisition and (ii) no Event of Default under any of </w:t>
      </w:r>
      <w:r>
        <w:rPr>
          <w:rFonts w:ascii="Times New Roman" w:cs="Times New Roman" w:eastAsia="Times New Roman" w:hAnsi="Times New Roman"/>
          <w:sz w:val="20"/>
          <w:szCs w:val="20"/>
          <w:u w:val="single" w:color="auto"/>
          <w:color w:val="auto"/>
        </w:rPr>
        <w:t>Sections 8.01(a)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shall have occurred and be continuing both before and after giving effect to such Acquisition and any Indebtedness incurred in connection therewith (including such additional Indebtedness);</w:t>
      </w:r>
    </w:p>
    <w:p>
      <w:pPr>
        <w:spacing w:after="0" w:line="147" w:lineRule="exact"/>
        <w:rPr>
          <w:rFonts w:ascii="Times New Roman" w:cs="Times New Roman" w:eastAsia="Times New Roman" w:hAnsi="Times New Roman"/>
          <w:sz w:val="20"/>
          <w:szCs w:val="20"/>
          <w:color w:val="auto"/>
        </w:rPr>
      </w:pPr>
    </w:p>
    <w:p>
      <w:pPr>
        <w:jc w:val="both"/>
        <w:ind w:firstLine="1244"/>
        <w:spacing w:after="0" w:line="225" w:lineRule="auto"/>
        <w:tabs>
          <w:tab w:leader="none" w:pos="1869"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condition to such Acquisition and/or such Indebtedness that the representations and warranties in this Agreement and the other Loan Documents shall be true and correct in all material respects at the time of such Acquisition or the incurrence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40"/>
          </w:cols>
          <w:pgMar w:left="320" w:top="1342" w:right="339" w:bottom="1440" w:gutter="0" w:footer="0" w:header="0"/>
        </w:sectPr>
      </w:pPr>
    </w:p>
    <w:bookmarkStart w:id="109" w:name="page110"/>
    <w:bookmarkEnd w:id="109"/>
    <w:p>
      <w:pPr>
        <w:jc w:val="both"/>
        <w:spacing w:after="0" w:line="213" w:lineRule="auto"/>
        <w:rPr>
          <w:sz w:val="20"/>
          <w:szCs w:val="20"/>
          <w:color w:val="auto"/>
        </w:rPr>
      </w:pPr>
      <w:r>
        <w:rPr>
          <w:rFonts w:ascii="Times New Roman" w:cs="Times New Roman" w:eastAsia="Times New Roman" w:hAnsi="Times New Roman"/>
          <w:sz w:val="21"/>
          <w:szCs w:val="21"/>
          <w:color w:val="auto"/>
        </w:rPr>
        <w:t>Indebtedness, except (x) if a qualifier relating to materiality, Material Adverse Effect or other similar concept applies, such representation or warranty is true and correct in all respects and (y) to the extent that such representations and warranties specifically refer to an earlier date, may, if agreed to by the lenders providing such Indebtedness, be limited by customary “SunGard” or other customary applicable “certain funds” conditionality provisions, so long as all such representations and warranties in this Agreement and the other Loan Documents are true and correct in all material respects at the time of the execution of the definitive purchase agreement, merger agreement or other acquisition agreement governing such Acquisition, except (x) if a qualifier relating to materiality, Material Adverse Effect or other similar concept applies, such representation or warranty is true and correct in all respects and (y) to the extent that such representations and warranties specifically refer to an earlier date;</w:t>
      </w:r>
    </w:p>
    <w:p>
      <w:pPr>
        <w:spacing w:after="0" w:line="146" w:lineRule="exact"/>
        <w:rPr>
          <w:sz w:val="20"/>
          <w:szCs w:val="20"/>
          <w:color w:val="auto"/>
        </w:rPr>
      </w:pPr>
    </w:p>
    <w:p>
      <w:pPr>
        <w:jc w:val="both"/>
        <w:ind w:firstLine="1244"/>
        <w:spacing w:after="0" w:line="214" w:lineRule="auto"/>
        <w:tabs>
          <w:tab w:leader="none" w:pos="1917"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applicable financial ratio test or condition may, upon the written election of Toro delivered to the Administrative Agent prior to the execution of the definitive agreement for such Acquisition, be tested either (i) upon the execution of the definitive agreement with respect to such Limited Conditionality Acquisition or (ii) upon the consummation of the Limited Conditionality Acquisition and related incurrence of Indebtedness, in each case, after giving pro forma effect to the relevant Limited Conditionality Acquisition and related incurrence of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to deliver a notice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1.10(c)</w:t>
      </w:r>
      <w:r>
        <w:rPr>
          <w:rFonts w:ascii="Times New Roman" w:cs="Times New Roman" w:eastAsia="Times New Roman" w:hAnsi="Times New Roman"/>
          <w:sz w:val="21"/>
          <w:szCs w:val="21"/>
          <w:color w:val="auto"/>
        </w:rPr>
        <w:t xml:space="preserve"> prior to the date of execution of the definitive agreement for such Limited Conditionality Acquisition shall be deemed an election to test the applicable financial ratio under subclause (ii) of this </w:t>
      </w:r>
      <w:r>
        <w:rPr>
          <w:rFonts w:ascii="Times New Roman" w:cs="Times New Roman" w:eastAsia="Times New Roman" w:hAnsi="Times New Roman"/>
          <w:sz w:val="21"/>
          <w:szCs w:val="21"/>
          <w:u w:val="single" w:color="auto"/>
          <w:color w:val="auto"/>
        </w:rPr>
        <w:t>Section 1.10(c)</w:t>
      </w:r>
      <w:r>
        <w:rPr>
          <w:rFonts w:ascii="Times New Roman" w:cs="Times New Roman" w:eastAsia="Times New Roman" w:hAnsi="Times New Roman"/>
          <w:sz w:val="21"/>
          <w:szCs w:val="21"/>
          <w:color w:val="auto"/>
        </w:rPr>
        <w:t>; and</w:t>
      </w:r>
    </w:p>
    <w:p>
      <w:pPr>
        <w:spacing w:after="0" w:line="146" w:lineRule="exact"/>
        <w:rPr>
          <w:rFonts w:ascii="Times New Roman" w:cs="Times New Roman" w:eastAsia="Times New Roman" w:hAnsi="Times New Roman"/>
          <w:sz w:val="21"/>
          <w:szCs w:val="21"/>
          <w:color w:val="auto"/>
        </w:rPr>
      </w:pPr>
    </w:p>
    <w:p>
      <w:pPr>
        <w:jc w:val="both"/>
        <w:ind w:firstLine="1244"/>
        <w:spacing w:after="0" w:line="211" w:lineRule="auto"/>
        <w:tabs>
          <w:tab w:leader="none" w:pos="1715"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Toro has made an election with respect to any Limited Conditionality Acquisition to test an applicable financial ratio test or condition at the time specified in </w:t>
      </w:r>
      <w:r>
        <w:rPr>
          <w:rFonts w:ascii="Times New Roman" w:cs="Times New Roman" w:eastAsia="Times New Roman" w:hAnsi="Times New Roman"/>
          <w:sz w:val="21"/>
          <w:szCs w:val="21"/>
          <w:u w:val="single" w:color="auto"/>
          <w:color w:val="auto"/>
        </w:rPr>
        <w:t>clause (c)(i)</w:t>
      </w:r>
      <w:r>
        <w:rPr>
          <w:rFonts w:ascii="Times New Roman" w:cs="Times New Roman" w:eastAsia="Times New Roman" w:hAnsi="Times New Roman"/>
          <w:sz w:val="21"/>
          <w:szCs w:val="21"/>
          <w:color w:val="auto"/>
        </w:rPr>
        <w:t xml:space="preserve"> of this Section, then in connection with any subsequent calculation of any ratio (other than the financial covenant tested pursuant to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or basket on or following the relevant date of execution of the definitive agreement with respect to such Limited Conditionality Acquisition and prior to the earlier of (i) the date on which such Limited Conditionality Acquisition is consummated or (ii) the date that the definitive agreement for such Limited Conditionality Acquisition is terminated or expires without consummation of such Limited Conditionality Acquisition, any such ratio (other than the financial covenant tested pursuant to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or basket shall be required to be satisfied (x) on a pro forma assuming such Limited Conditionality Acquisition and other transactions in connection therewith (including the incurrence or assumption of Indebtedness) have been consummated and (y) assuming such Limited Conditionality Acquisition and other transactions in connection therewith (including the incurrence or assumption of Indebtedness) have not been consummated.</w:t>
      </w:r>
    </w:p>
    <w:p>
      <w:pPr>
        <w:spacing w:after="0" w:line="151"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The foregoing provisions shall apply with similar effect during the pendency of multiple Limited Conditionality Acquisitions such that each of the possible scenarios is separately tested. Notwithstanding anything to the contrary herein, in no event shall there be more than two (2) Limited Conditionality Acquisitions at any time outstanding.</w:t>
      </w:r>
    </w:p>
    <w:p>
      <w:pPr>
        <w:spacing w:after="0" w:line="144" w:lineRule="exact"/>
        <w:rPr>
          <w:sz w:val="20"/>
          <w:szCs w:val="20"/>
          <w:color w:val="auto"/>
        </w:rPr>
      </w:pPr>
    </w:p>
    <w:p>
      <w:pPr>
        <w:jc w:val="both"/>
        <w:ind w:firstLine="620"/>
        <w:spacing w:after="0" w:line="237" w:lineRule="auto"/>
        <w:rPr>
          <w:sz w:val="20"/>
          <w:szCs w:val="20"/>
          <w:color w:val="auto"/>
        </w:rPr>
      </w:pPr>
      <w:r>
        <w:rPr>
          <w:rFonts w:ascii="Times New Roman" w:cs="Times New Roman" w:eastAsia="Times New Roman" w:hAnsi="Times New Roman"/>
          <w:sz w:val="21"/>
          <w:szCs w:val="21"/>
          <w:b w:val="1"/>
          <w:bCs w:val="1"/>
          <w:color w:val="auto"/>
        </w:rPr>
        <w:t>1.11 Amendment and Restatement</w:t>
      </w:r>
      <w:r>
        <w:rPr>
          <w:rFonts w:ascii="Times New Roman" w:cs="Times New Roman" w:eastAsia="Times New Roman" w:hAnsi="Times New Roman"/>
          <w:sz w:val="21"/>
          <w:szCs w:val="21"/>
          <w:color w:val="auto"/>
        </w:rPr>
        <w:t>. In order to facilitate the Restatement and otherwise to effectuate the desires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Borrowers, the Administrative Agent and the Lenders.</w:t>
      </w:r>
    </w:p>
    <w:p>
      <w:pPr>
        <w:spacing w:after="0" w:line="147" w:lineRule="exact"/>
        <w:rPr>
          <w:sz w:val="20"/>
          <w:szCs w:val="20"/>
          <w:color w:val="auto"/>
        </w:rPr>
      </w:pPr>
    </w:p>
    <w:p>
      <w:pPr>
        <w:jc w:val="both"/>
        <w:ind w:firstLine="1244"/>
        <w:spacing w:after="0" w:line="215" w:lineRule="auto"/>
        <w:tabs>
          <w:tab w:leader="none" w:pos="179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Simultaneously with the Closing Date, the parties hereby agree that the Commitments shall be as set forth in </w:t>
      </w:r>
      <w:r>
        <w:rPr>
          <w:rFonts w:ascii="Times New Roman" w:cs="Times New Roman" w:eastAsia="Times New Roman" w:hAnsi="Times New Roman"/>
          <w:sz w:val="21"/>
          <w:szCs w:val="21"/>
          <w:u w:val="single" w:color="auto"/>
          <w:color w:val="auto"/>
        </w:rPr>
        <w:t>Schedule 2.01A</w:t>
      </w:r>
      <w:r>
        <w:rPr>
          <w:rFonts w:ascii="Times New Roman" w:cs="Times New Roman" w:eastAsia="Times New Roman" w:hAnsi="Times New Roman"/>
          <w:sz w:val="21"/>
          <w:szCs w:val="21"/>
          <w:color w:val="auto"/>
        </w:rPr>
        <w:t xml:space="preserve"> and the portion of Loans and other Outstanding Amounts outstanding under the Existing Revolving Credit Agreement shall be reallocated in accordance with such Commitments and the requisite assignments shall be deemed to be made in such amounts by and between the Lenders (including the Existing Revolving Lenders, if applicable) and from each Lender to each other Lender, with the same force and effect as if such assignments were evidenced by applicable assignment agreements required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11.06</w:t>
      </w:r>
      <w:r>
        <w:rPr>
          <w:rFonts w:ascii="Times New Roman" w:cs="Times New Roman" w:eastAsia="Times New Roman" w:hAnsi="Times New Roman"/>
          <w:sz w:val="21"/>
          <w:szCs w:val="21"/>
          <w:color w:val="auto"/>
        </w:rPr>
        <w:t xml:space="preserve"> of the Existing Revolving Credit Agreement.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40"/>
          </w:cols>
          <w:pgMar w:left="320" w:top="1342" w:right="339" w:bottom="1440" w:gutter="0" w:footer="0" w:header="0"/>
        </w:sectPr>
      </w:pPr>
    </w:p>
    <w:bookmarkStart w:id="110" w:name="page111"/>
    <w:bookmarkEnd w:id="110"/>
    <w:p>
      <w:pPr>
        <w:jc w:val="both"/>
        <w:spacing w:after="0" w:line="213" w:lineRule="auto"/>
        <w:rPr>
          <w:sz w:val="20"/>
          <w:szCs w:val="20"/>
          <w:color w:val="auto"/>
        </w:rPr>
      </w:pPr>
      <w:r>
        <w:rPr>
          <w:rFonts w:ascii="Times New Roman" w:cs="Times New Roman" w:eastAsia="Times New Roman" w:hAnsi="Times New Roman"/>
          <w:sz w:val="21"/>
          <w:szCs w:val="21"/>
          <w:color w:val="auto"/>
        </w:rPr>
        <w:t xml:space="preserve">anything to the contrary in </w:t>
      </w:r>
      <w:r>
        <w:rPr>
          <w:rFonts w:ascii="Times New Roman" w:cs="Times New Roman" w:eastAsia="Times New Roman" w:hAnsi="Times New Roman"/>
          <w:sz w:val="21"/>
          <w:szCs w:val="21"/>
          <w:u w:val="single" w:color="auto"/>
          <w:color w:val="auto"/>
        </w:rPr>
        <w:t>Section 11.06</w:t>
      </w:r>
      <w:r>
        <w:rPr>
          <w:rFonts w:ascii="Times New Roman" w:cs="Times New Roman" w:eastAsia="Times New Roman" w:hAnsi="Times New Roman"/>
          <w:sz w:val="21"/>
          <w:szCs w:val="21"/>
          <w:color w:val="auto"/>
        </w:rPr>
        <w:t xml:space="preserve"> of the Existing Revolving Credit Agreement or </w:t>
      </w:r>
      <w:r>
        <w:rPr>
          <w:rFonts w:ascii="Times New Roman" w:cs="Times New Roman" w:eastAsia="Times New Roman" w:hAnsi="Times New Roman"/>
          <w:sz w:val="21"/>
          <w:szCs w:val="21"/>
          <w:u w:val="single" w:color="auto"/>
          <w:color w:val="auto"/>
        </w:rPr>
        <w:t>Section 11.06</w:t>
      </w:r>
      <w:r>
        <w:rPr>
          <w:rFonts w:ascii="Times New Roman" w:cs="Times New Roman" w:eastAsia="Times New Roman" w:hAnsi="Times New Roman"/>
          <w:sz w:val="21"/>
          <w:szCs w:val="21"/>
          <w:color w:val="auto"/>
        </w:rPr>
        <w:t xml:space="preserve"> of this Agreement, no other consents, documents, or instruments, including any assignment agreements, shall be executed in connection with these assignments (all of which requirements are hereby waived), and such assignments shall be deemed to be made with all applicable representations, warranties and covenants as if evidenced by an assignment agreement. On the Closing Date, the Lenders shall make full cash settlement with each other either directly or through the Administrative Agent, as the Administrative Agent may direct or approve, with respect to all assignments, reallocations and other changes in Commitments (as such term is defined in the Existing Revolving Credit Agreement) such that after giving effect to such settlements each Lender’s Applicable Percentage shall be as set forth on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2.01A</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1244"/>
        <w:spacing w:after="0" w:line="215" w:lineRule="auto"/>
        <w:tabs>
          <w:tab w:leader="none" w:pos="1839"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Borrowers, the Administrative Agent, and the Lenders hereby agree that upon the effectiveness of this Agreement, the terms and provisions of the Existing Revolving Credit Agreement which in any manner govern or evidence any of the Obligations, rights and interests of the Administrative Agent and the Lenders and terms, conditions or matters related to any thereof, shall be and hereby are amended and restated in their entirety by the terms, conditions and provisions of this Agreement, and the terms and provisions of the Existing Revolving Credit Agreement, except as otherwise expressly provided herein, shall be superseded by this Agreement.</w:t>
      </w:r>
    </w:p>
    <w:p>
      <w:pPr>
        <w:spacing w:after="0" w:line="149" w:lineRule="exact"/>
        <w:rPr>
          <w:rFonts w:ascii="Times New Roman" w:cs="Times New Roman" w:eastAsia="Times New Roman" w:hAnsi="Times New Roman"/>
          <w:sz w:val="21"/>
          <w:szCs w:val="21"/>
          <w:color w:val="auto"/>
        </w:rPr>
      </w:pPr>
    </w:p>
    <w:p>
      <w:pPr>
        <w:jc w:val="both"/>
        <w:ind w:firstLine="1244"/>
        <w:spacing w:after="0" w:line="208" w:lineRule="auto"/>
        <w:tabs>
          <w:tab w:leader="none" w:pos="169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this amendment and restatement of the Existing Revolving Credit Agreement, including anything in this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and in any related “Loan Documents” (as such term is defined in the Existing Revolving Credit Agreement and referred to herein, individually or collectively, as the “</w:t>
      </w:r>
      <w:r>
        <w:rPr>
          <w:rFonts w:ascii="Times New Roman" w:cs="Times New Roman" w:eastAsia="Times New Roman" w:hAnsi="Times New Roman"/>
          <w:sz w:val="21"/>
          <w:szCs w:val="21"/>
          <w:u w:val="single" w:color="auto"/>
          <w:color w:val="auto"/>
        </w:rPr>
        <w:t>Prior Loan Documents</w:t>
      </w:r>
      <w:r>
        <w:rPr>
          <w:rFonts w:ascii="Times New Roman" w:cs="Times New Roman" w:eastAsia="Times New Roman" w:hAnsi="Times New Roman"/>
          <w:sz w:val="21"/>
          <w:szCs w:val="21"/>
          <w:color w:val="auto"/>
        </w:rPr>
        <w:t xml:space="preserve">”), (i) all of the indebtedness, liabilities and obligations owing by the Borrowers under the Existing Revolving Credit Agreement and other Prior Loan Documents shall continue as Obligations hereunder and all indebtedness, liabilities and obligations of any Person other than the Borrowers under the Existing Revolving Credit Agreement and other Prior Loan Documents shall continue as obligations of such Person hereunder, and (ii) each of this Agreement and the Notes and any other Loan Document (as defined herein) that is amended and restated in connection with this Agreement is given as a substitution of, and not as a payment of, the indebtedness, liabilities and obligations of the Borrowers under the Existing Revolving Credit Agreement or any Prior Loan Document and neither the execution and delivery of such documents nor the consummation of any other transaction contemplated hereunder is intended to constitute a novation of the Existing Revolving Credit Agreement or of any of the other Prior Loan Documents or any obligations thereunder. Upon the effectiveness of this Agreement, all Loans owing by the Borrowers and outstanding under the Existing Revolving Credit Agreement shall continue as Loans hereunder and shall constitute advances hereunder. Base Rate Loans under the Existing Revolving Credit Agreement shall accrue interest at the Base Rate hereunder and the parties hereto agree that the Interest Periods for all Loans outstanding under the Existing Revolving Credit Agreement on the Closing Date shall remain in effect without renewal, interruption or extension as Loans under this Agreement and accrue interest at the applicable reference rate hereunder; provided, that on and after the Closing Date, the Applicable Rate applicable to any Loan shall be as set forth in the definition of “Applicable Rate” in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without regard to any margin applicable thereto under the Existing Revolving Credit Agreement prior to the Closing Date.</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ARTICLE II.</w:t>
      </w:r>
    </w:p>
    <w:p>
      <w:pPr>
        <w:jc w:val="center"/>
        <w:spacing w:after="0"/>
        <w:rPr>
          <w:sz w:val="20"/>
          <w:szCs w:val="20"/>
          <w:color w:val="auto"/>
        </w:rPr>
      </w:pPr>
      <w:r>
        <w:rPr>
          <w:rFonts w:ascii="Times New Roman" w:cs="Times New Roman" w:eastAsia="Times New Roman" w:hAnsi="Times New Roman"/>
          <w:sz w:val="21"/>
          <w:szCs w:val="21"/>
          <w:b w:val="1"/>
          <w:bCs w:val="1"/>
          <w:color w:val="auto"/>
        </w:rPr>
        <w:t>THE COMMITMENTS AND CREDIT EXTENSIONS</w:t>
      </w:r>
    </w:p>
    <w:p>
      <w:pPr>
        <w:spacing w:after="0" w:line="146"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b w:val="1"/>
          <w:bCs w:val="1"/>
          <w:color w:val="auto"/>
        </w:rPr>
        <w:t>2.01</w:t>
      </w:r>
      <w:r>
        <w:rPr>
          <w:sz w:val="20"/>
          <w:szCs w:val="20"/>
          <w:color w:val="auto"/>
        </w:rPr>
        <w:tab/>
      </w:r>
      <w:r>
        <w:rPr>
          <w:rFonts w:ascii="Times New Roman" w:cs="Times New Roman" w:eastAsia="Times New Roman" w:hAnsi="Times New Roman"/>
          <w:sz w:val="20"/>
          <w:szCs w:val="20"/>
          <w:b w:val="1"/>
          <w:bCs w:val="1"/>
          <w:color w:val="auto"/>
        </w:rPr>
        <w:t>The Loans.</w:t>
      </w:r>
    </w:p>
    <w:p>
      <w:pPr>
        <w:spacing w:after="0" w:line="176" w:lineRule="exact"/>
        <w:rPr>
          <w:sz w:val="20"/>
          <w:szCs w:val="20"/>
          <w:color w:val="auto"/>
        </w:rPr>
      </w:pPr>
    </w:p>
    <w:p>
      <w:pPr>
        <w:jc w:val="both"/>
        <w:ind w:firstLine="1244"/>
        <w:spacing w:after="0" w:line="225" w:lineRule="auto"/>
        <w:tabs>
          <w:tab w:leader="none" w:pos="167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Borrowing</w:t>
      </w:r>
      <w:r>
        <w:rPr>
          <w:rFonts w:ascii="Times New Roman" w:cs="Times New Roman" w:eastAsia="Times New Roman" w:hAnsi="Times New Roman"/>
          <w:sz w:val="21"/>
          <w:szCs w:val="21"/>
          <w:color w:val="auto"/>
        </w:rPr>
        <w:t>. Subject to the terms and conditions set forth herein, each Term Lender severally agrees to make a single loan to Toro on the Closing Date in Dollars not to exceed such Term Lender’s Term Commitment. The Term Borrowing shall consist of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40"/>
          </w:cols>
          <w:pgMar w:left="320" w:top="1342" w:right="339" w:bottom="1440" w:gutter="0" w:footer="0" w:header="0"/>
        </w:sectPr>
      </w:pPr>
    </w:p>
    <w:bookmarkStart w:id="111" w:name="page112"/>
    <w:bookmarkEnd w:id="111"/>
    <w:p>
      <w:pPr>
        <w:jc w:val="both"/>
        <w:spacing w:after="0" w:line="212" w:lineRule="auto"/>
        <w:rPr>
          <w:sz w:val="20"/>
          <w:szCs w:val="20"/>
          <w:color w:val="auto"/>
        </w:rPr>
      </w:pPr>
      <w:r>
        <w:rPr>
          <w:rFonts w:ascii="Times New Roman" w:cs="Times New Roman" w:eastAsia="Times New Roman" w:hAnsi="Times New Roman"/>
          <w:sz w:val="21"/>
          <w:szCs w:val="21"/>
          <w:color w:val="auto"/>
        </w:rPr>
        <w:t xml:space="preserve">Loans made simultaneously by the Term Lenders in accordance with their respective Applicable Percentage of the Term Facility. Amounts borrowed under this </w:t>
      </w:r>
      <w:r>
        <w:rPr>
          <w:rFonts w:ascii="Times New Roman" w:cs="Times New Roman" w:eastAsia="Times New Roman" w:hAnsi="Times New Roman"/>
          <w:sz w:val="21"/>
          <w:szCs w:val="21"/>
          <w:u w:val="single" w:color="auto"/>
          <w:color w:val="auto"/>
        </w:rPr>
        <w:t>Section 2.01(a)</w:t>
      </w:r>
      <w:r>
        <w:rPr>
          <w:rFonts w:ascii="Times New Roman" w:cs="Times New Roman" w:eastAsia="Times New Roman" w:hAnsi="Times New Roman"/>
          <w:sz w:val="21"/>
          <w:szCs w:val="21"/>
          <w:color w:val="auto"/>
        </w:rPr>
        <w:t xml:space="preserve"> and repaid or prepaid may not be reborrowed. Term Loans may be Base Rate Loans or Term SOFR Loans, as further provided 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Borrowings made on the Closing Date or any of the three</w:t>
      </w:r>
    </w:p>
    <w:p>
      <w:pPr>
        <w:spacing w:after="0" w:line="2" w:lineRule="exact"/>
        <w:rPr>
          <w:sz w:val="20"/>
          <w:szCs w:val="20"/>
          <w:color w:val="auto"/>
        </w:rPr>
      </w:pPr>
    </w:p>
    <w:p>
      <w:pPr>
        <w:ind w:firstLine="3"/>
        <w:spacing w:after="0" w:line="225" w:lineRule="auto"/>
        <w:tabs>
          <w:tab w:leader="none" w:pos="303"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Business Days following the Closing Date shall be made as Base Rate Loans unless Toro delivers a Funding Indemnity Letter not less than three (3) Business Days prior to the date of such Borrowing.</w:t>
      </w:r>
    </w:p>
    <w:p>
      <w:pPr>
        <w:spacing w:after="0" w:line="145" w:lineRule="exact"/>
        <w:rPr>
          <w:rFonts w:ascii="Times New Roman" w:cs="Times New Roman" w:eastAsia="Times New Roman" w:hAnsi="Times New Roman"/>
          <w:sz w:val="21"/>
          <w:szCs w:val="21"/>
          <w:color w:val="auto"/>
        </w:rPr>
      </w:pPr>
    </w:p>
    <w:p>
      <w:pPr>
        <w:jc w:val="both"/>
        <w:ind w:firstLine="1244"/>
        <w:spacing w:after="0" w:line="209" w:lineRule="auto"/>
        <w:tabs>
          <w:tab w:leader="none" w:pos="1740"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Revolving Credit Borrowing</w:t>
      </w:r>
      <w:r>
        <w:rPr>
          <w:rFonts w:ascii="Times New Roman" w:cs="Times New Roman" w:eastAsia="Times New Roman" w:hAnsi="Times New Roman"/>
          <w:sz w:val="21"/>
          <w:szCs w:val="21"/>
          <w:color w:val="auto"/>
        </w:rPr>
        <w:t>. Subject to the terms and conditions set forth herein, each Revolving Credit Lender severally agrees to make loans (each such loan, a “</w:t>
      </w:r>
      <w:r>
        <w:rPr>
          <w:rFonts w:ascii="Times New Roman" w:cs="Times New Roman" w:eastAsia="Times New Roman" w:hAnsi="Times New Roman"/>
          <w:sz w:val="21"/>
          <w:szCs w:val="21"/>
          <w:u w:val="single" w:color="auto"/>
          <w:color w:val="auto"/>
        </w:rPr>
        <w:t>Revolving Credit Loan</w:t>
      </w:r>
      <w:r>
        <w:rPr>
          <w:rFonts w:ascii="Times New Roman" w:cs="Times New Roman" w:eastAsia="Times New Roman" w:hAnsi="Times New Roman"/>
          <w:sz w:val="21"/>
          <w:szCs w:val="21"/>
          <w:color w:val="auto"/>
        </w:rPr>
        <w:t xml:space="preserve">”) to any of the Borrowers in Dollars or in one or more Alternative Currencies from time to time, on any Business Day during the Availability Period, the Dollar Equivalent of which does not exceed at any time outstanding the amount of such Revolving Credit Lender’s Revolving Credit Commitment;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after giving effect to any Revolving Credit Borrowing, (i) the Total Revolving Credit Outstandings shall not exceed the Revolving Credit Facility, and (ii) the Revolving Credit Exposure shall not exceed such Revolving Credit Lender’s Revolving Credit Commitment; 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Toro Luxembourg may not request a Revolving Credit Borrowing, and no Lender shall have any obligation to make a Revolving Credit Loan to Toro Luxembourg, until such documents, opinions, certificates and other items, each in form and substance satisfactory to the Administrative Agent, are delivered to the Administrative Agent pursuant to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4.01(a)(iii), (iv), (vi)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(vii).</w:t>
      </w:r>
      <w:r>
        <w:rPr>
          <w:rFonts w:ascii="Times New Roman" w:cs="Times New Roman" w:eastAsia="Times New Roman" w:hAnsi="Times New Roman"/>
          <w:sz w:val="21"/>
          <w:szCs w:val="21"/>
          <w:color w:val="auto"/>
        </w:rPr>
        <w:t xml:space="preserve"> Within the limits of each Revolving Credit Lender’s Revolving Credit Commitment, and subject to the other terms and conditions hereof, the Borrowers may borrow under this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prepay under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xml:space="preserve">, and reborrow under this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Revolving Credit Loans may be Base Rate Loans, Term SOFR Loans, Alternative Currency Term Rate Loans or Alternative Currency Daily Rate Loans as further provided 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 Borrowings made on the Closing Date or any of the three (3) Business Days following the Closing Date shall be made as Base Rate Loans unless Toro delivers a Funding Indemnity Letter not less than three (3) Business Days prior to the date of such Borrowing.</w:t>
      </w:r>
    </w:p>
    <w:p>
      <w:pPr>
        <w:spacing w:after="0" w:line="149"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2.02</w:t>
      </w:r>
      <w:r>
        <w:rPr>
          <w:sz w:val="20"/>
          <w:szCs w:val="20"/>
          <w:color w:val="auto"/>
        </w:rPr>
        <w:tab/>
      </w:r>
      <w:r>
        <w:rPr>
          <w:rFonts w:ascii="Times New Roman" w:cs="Times New Roman" w:eastAsia="Times New Roman" w:hAnsi="Times New Roman"/>
          <w:sz w:val="20"/>
          <w:szCs w:val="20"/>
          <w:b w:val="1"/>
          <w:bCs w:val="1"/>
          <w:color w:val="auto"/>
        </w:rPr>
        <w:t>Borrowings, Conversions and Continuations of Loans.</w:t>
      </w:r>
    </w:p>
    <w:p>
      <w:pPr>
        <w:spacing w:after="0" w:line="176" w:lineRule="exact"/>
        <w:rPr>
          <w:sz w:val="20"/>
          <w:szCs w:val="20"/>
          <w:color w:val="auto"/>
        </w:rPr>
      </w:pPr>
    </w:p>
    <w:p>
      <w:pPr>
        <w:jc w:val="both"/>
        <w:ind w:firstLine="1244"/>
        <w:spacing w:after="0" w:line="209" w:lineRule="auto"/>
        <w:tabs>
          <w:tab w:leader="none" w:pos="1763"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Term Borrowing, each Revolving Credit Borrowing, each conversion of Term Loans or Revolving Credit Loans from one Type to the other, and each continuation of Alternative Currency Term Rate Loans or Term SOFR Loans, as applicable, shall be made upon Toro’s irrevocable notice to the Administrative Agent, which may be given by (A) telephone or (B) a Loan Notice;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telephonic notice must be confirmed immediately by delivery to the Administrative Agent of a Loan Notice. Each such Loan Notice must be received by the Administrative Agent not later than 12:00 noon (i) two (2) Business Days prior to the requested date of any Borrowing of, conversion to or continuation of Term SOFR Loans or of any conversion of Term SOFR Loans to Base Rate Loans, (ii) in the case of Alternative Currency Loans, four (4) Business Days (or five (5) Business Days in the case of a Special Notice Currency) prior to the requested date of any Borrowing or, in the case of Alternative Currency Term Rate Loans, any continuation, and (iii) on the requested date of any Borrowing of Base Rate Loans;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 Borrower wishes to request (x) Term SOFR Loans having an Interest Period other than one or three months in duration as provided in the definition of “Interest Period” or (y) Alternative Currency Term Rate Loans having an Interest Period other than one, three or six months in duration as provided in the definition of “Interest Period,” the applicable notice must be received by the Administrative Agent not later than 12:00 noon four (4) Business Days (or five (5) Business Days in the case of a Special Notice Currency) prior to the requested date of such Borrowing, conversion or continuation, whereupon the Administrative Agent shall give prompt notice to the Appropriate Lenders of such request and determine whether the requested Interest Period is acceptable to all of them. Not later than 12:00 noon, three (3) Business Days (or five (5) Business Days in the case of a Special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40"/>
          </w:cols>
          <w:pgMar w:left="320" w:top="1342" w:right="339" w:bottom="1440" w:gutter="0" w:footer="0" w:header="0"/>
        </w:sectPr>
      </w:pPr>
    </w:p>
    <w:bookmarkStart w:id="112" w:name="page113"/>
    <w:bookmarkEnd w:id="112"/>
    <w:p>
      <w:pPr>
        <w:jc w:val="both"/>
        <w:spacing w:after="0" w:line="217" w:lineRule="auto"/>
        <w:rPr>
          <w:sz w:val="20"/>
          <w:szCs w:val="20"/>
          <w:color w:val="auto"/>
        </w:rPr>
      </w:pPr>
      <w:r>
        <w:rPr>
          <w:rFonts w:ascii="Times New Roman" w:cs="Times New Roman" w:eastAsia="Times New Roman" w:hAnsi="Times New Roman"/>
          <w:sz w:val="20"/>
          <w:szCs w:val="20"/>
          <w:color w:val="auto"/>
        </w:rPr>
        <w:t xml:space="preserve">Notice Currency) before the requested date of such Borrowing, conversion or continuation, the Administrative Agent shall notify Toro (which notice may be by telephone) whether or not the requested Interest Period has been consented to by all the Lenders. Each Borrowing of, conversion to or continuation of Term SOFR Loans or Alternative Currency Loans shall be in a principal amount of the Dollar Equivalent of $5,000,000 or a whole multiple of the Dollar Equivalent of $1,000,000 in excess thereof. Except as provided in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2.04(c),</w:t>
      </w:r>
      <w:r>
        <w:rPr>
          <w:rFonts w:ascii="Times New Roman" w:cs="Times New Roman" w:eastAsia="Times New Roman" w:hAnsi="Times New Roman"/>
          <w:sz w:val="20"/>
          <w:szCs w:val="20"/>
          <w:color w:val="auto"/>
        </w:rPr>
        <w:t xml:space="preserve"> each Borrowing of or conversion to Base Rate Loans shall be in a principal amount of $500,000 or a whole multiple of $100,000 in excess thereof. Each Loan Notice shall specify (i) whether Toro (for itself or on behalf of a Subsidiary Borrower) is requesting a Term Borrowing, a Revolving Credit Borrowing, a conversion of Term Loans or Revolving Credit Loans from one Type to the other, or a continuation of Term SOFR Loans or Alternative Currency Term Rate Loans, (ii) the requested date of the Borrowing, conversion or continuation, as the case may be (which shall be a Business Day), (iii) the currency and principal amount of Loans to be borrowed, converted or continued, (iv) the Type of Loans to be borrowed or to which existing Loans are to be converted, and (v) if applicable, the duration of the Interest Period with respect thereto. If Toro fails to specify a currency in a Loan Notice requesting a Borrowing, then the Loans so requested shall be made in Dollars. If Toro fails to specify a Type of Loan in a Loan Notice or if Toro fails to give a timely notice requesting a conversion or continuation, then the applicable Loans shall be made as, or converted to, Base Rate Loans; provided, however, that in the case of a failure to timely request a continuation of Alternative Currency Term Rate Loans, such Loans shall be continued as Alternative Currency Term Rate Loans in their original currency with an Interest Period of one</w:t>
      </w:r>
    </w:p>
    <w:p>
      <w:pPr>
        <w:spacing w:after="0" w:line="4" w:lineRule="exact"/>
        <w:rPr>
          <w:sz w:val="20"/>
          <w:szCs w:val="20"/>
          <w:color w:val="auto"/>
        </w:rPr>
      </w:pPr>
    </w:p>
    <w:p>
      <w:pPr>
        <w:jc w:val="both"/>
        <w:ind w:firstLine="3"/>
        <w:spacing w:after="0" w:line="211" w:lineRule="auto"/>
        <w:tabs>
          <w:tab w:leader="none" w:pos="302"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month. Any such automatic conversion to Base Rate Loans shall be effective as of the last day of the Interest Period then in effect with respect to the applicable Loans. If Toro requests a Borrowing of, conversion to, or continuation of Term SOFR Loans or Alternative Currency Term Rate Loans in any such Loan Notice, but fails to specify an Interest Period, it will be deemed to have specified an Interest Period of one month. Except as provided pursuant to </w:t>
      </w:r>
      <w:r>
        <w:rPr>
          <w:rFonts w:ascii="Times New Roman" w:cs="Times New Roman" w:eastAsia="Times New Roman" w:hAnsi="Times New Roman"/>
          <w:sz w:val="21"/>
          <w:szCs w:val="21"/>
          <w:u w:val="single" w:color="auto"/>
          <w:color w:val="auto"/>
        </w:rPr>
        <w:t>Section 2.12(a)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3.03</w:t>
      </w:r>
      <w:r>
        <w:rPr>
          <w:rFonts w:ascii="Times New Roman" w:cs="Times New Roman" w:eastAsia="Times New Roman" w:hAnsi="Times New Roman"/>
          <w:sz w:val="21"/>
          <w:szCs w:val="21"/>
          <w:color w:val="auto"/>
        </w:rPr>
        <w:t>, no Loan may be converted into or continued as a Loan denominated in a different currency, but instead must be repaid in the original currency of such Loan and reborrowed in the other currency. Notwithstanding anything to the contrary herein, a Swing Line Loan may not be converted to a Term SOFR Loan or Alternative Currency Loan.</w:t>
      </w:r>
    </w:p>
    <w:p>
      <w:pPr>
        <w:spacing w:after="0" w:line="145" w:lineRule="exact"/>
        <w:rPr>
          <w:rFonts w:ascii="Times New Roman" w:cs="Times New Roman" w:eastAsia="Times New Roman" w:hAnsi="Times New Roman"/>
          <w:sz w:val="21"/>
          <w:szCs w:val="21"/>
          <w:color w:val="auto"/>
        </w:rPr>
      </w:pPr>
    </w:p>
    <w:p>
      <w:pPr>
        <w:jc w:val="both"/>
        <w:ind w:firstLine="1244"/>
        <w:spacing w:after="0" w:line="209" w:lineRule="auto"/>
        <w:tabs>
          <w:tab w:leader="none" w:pos="1761"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Following receipt of a Loan Notice, the Administrative Agent shall promptly notify each Lender of the amount (and currency) of its Applicable Percentage under the applicable Facility of the applicable Loans, and if no timely notice of a conversion or continuation is provided by Toro, the Administrative Agent shall notify each Lender of the details of any automatic conversion to Base Rate Loans or continuation of Alternative Currency Term Rate Loans described in the preceding subsection. In the case of a Term Borrowing or a Revolving Credit Borrowing, each Appropriate Lender shall make the amount of its Loan available to the Administrative Agent in Same Day Funds at the Administrative Agent’s Office for the applicable currency not later than 2:00 p.m., in the case of Loans denominated in Dollars, and not later than the Applicable Time in the case of any Loan denominated in an Alternative Currency, in each case, on the Business Day specified in the applicable Loan Notice. Upon satisfaction of the applicable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(and, if such Borrowing is the initial Credit Extension,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xml:space="preserve">), the Administrative Agent shall make all funds so received available to the applicable Borrower identified in the Loan Notice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such Borrower; provided, however, that if, on the date a Loan Notice with respect to a Borrowing denominated in Dollars is given to the Administrative Agent, there are L/C Borrowings outstanding owing by the same such applicable Borrower, then the proceeds of such Borrowing, </w:t>
      </w: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shall be applied to the payment in full of any such L/C Borrowings, and,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shall be made available to the applicable Borrower as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240"/>
          </w:cols>
          <w:pgMar w:left="320" w:top="1342" w:right="339" w:bottom="1440" w:gutter="0" w:footer="0" w:header="0"/>
        </w:sectPr>
      </w:pPr>
    </w:p>
    <w:bookmarkStart w:id="113" w:name="page114"/>
    <w:bookmarkEnd w:id="113"/>
    <w:p>
      <w:pPr>
        <w:jc w:val="both"/>
        <w:ind w:firstLine="1244"/>
        <w:spacing w:after="0" w:line="215" w:lineRule="auto"/>
        <w:tabs>
          <w:tab w:leader="none" w:pos="1826"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provided herein, a Term SOFR Loan or Alternative Currency Term Rate Loan may be continued or converted only on the last day of an Interest Period for such Loan. During the existence of a Default, no Loans may be requested as, converted to or continued as Term SOFR Loans or Alternative Currency Loans without the consent of the Required Lenders, and the Required Lenders may demand that any or all of the then outstanding Term SOFR Loans or Alternative Currency Loans be prepaid, or redenominated into Dollars in the amount of the Dollar Equivalent thereof, on the last day of the then current Interest Period with respect thereto.</w:t>
      </w:r>
    </w:p>
    <w:p>
      <w:pPr>
        <w:spacing w:after="0" w:line="149" w:lineRule="exact"/>
        <w:rPr>
          <w:rFonts w:ascii="Times New Roman" w:cs="Times New Roman" w:eastAsia="Times New Roman" w:hAnsi="Times New Roman"/>
          <w:sz w:val="21"/>
          <w:szCs w:val="21"/>
          <w:color w:val="auto"/>
        </w:rPr>
      </w:pPr>
    </w:p>
    <w:p>
      <w:pPr>
        <w:jc w:val="both"/>
        <w:ind w:firstLine="1244"/>
        <w:spacing w:after="0" w:line="220" w:lineRule="auto"/>
        <w:tabs>
          <w:tab w:leader="none" w:pos="1702"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promptly notify Toro and the Lenders of the interest rate applicable to any Interest Period for Term SOFR Loans or Alternative Currency Term Rate Loans upon determination of such interest rate. At any time that Base Rate Loans are outstanding, the Administrative Agent shall notify Toro and the Lenders of any change in Bank of America’s prime rate used in determining the Base Rate promptly following the public announcement of such change.</w:t>
      </w:r>
    </w:p>
    <w:p>
      <w:pPr>
        <w:spacing w:after="0" w:line="148" w:lineRule="exact"/>
        <w:rPr>
          <w:rFonts w:ascii="Times New Roman" w:cs="Times New Roman" w:eastAsia="Times New Roman" w:hAnsi="Times New Roman"/>
          <w:sz w:val="21"/>
          <w:szCs w:val="21"/>
          <w:color w:val="auto"/>
        </w:rPr>
      </w:pPr>
    </w:p>
    <w:p>
      <w:pPr>
        <w:jc w:val="both"/>
        <w:ind w:firstLine="1244"/>
        <w:spacing w:after="0" w:line="217" w:lineRule="auto"/>
        <w:tabs>
          <w:tab w:leader="none" w:pos="1757"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all Term Borrowings, all conversions of Term Loans from one Type to the other, and all continuations of Term Loans as the same Type, there shall not be more than five Interest Periods in effect in respect of the Term Facility. After giving effect to all Revolving Credit Borrowings, all conversions of Revolving Credit Loans from one Type to the other, and all continuations of Revolving Credit Loans as the same Type, there shall not be more than five Interest Periods in effect in respect of the Revolving Credit Facility.</w:t>
      </w:r>
    </w:p>
    <w:p>
      <w:pPr>
        <w:spacing w:after="0" w:line="148" w:lineRule="exact"/>
        <w:rPr>
          <w:rFonts w:ascii="Times New Roman" w:cs="Times New Roman" w:eastAsia="Times New Roman" w:hAnsi="Times New Roman"/>
          <w:sz w:val="21"/>
          <w:szCs w:val="21"/>
          <w:color w:val="auto"/>
        </w:rPr>
      </w:pPr>
    </w:p>
    <w:p>
      <w:pPr>
        <w:jc w:val="both"/>
        <w:ind w:firstLine="1244"/>
        <w:spacing w:after="0" w:line="220" w:lineRule="auto"/>
        <w:tabs>
          <w:tab w:leader="none" w:pos="1679"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Borrowers, the Administrative Agent, and such Lender.</w:t>
      </w:r>
    </w:p>
    <w:p>
      <w:pPr>
        <w:spacing w:after="0" w:line="148" w:lineRule="exact"/>
        <w:rPr>
          <w:rFonts w:ascii="Times New Roman" w:cs="Times New Roman" w:eastAsia="Times New Roman" w:hAnsi="Times New Roman"/>
          <w:sz w:val="21"/>
          <w:szCs w:val="21"/>
          <w:color w:val="auto"/>
        </w:rPr>
      </w:pPr>
    </w:p>
    <w:p>
      <w:pPr>
        <w:jc w:val="both"/>
        <w:ind w:firstLine="1244"/>
        <w:spacing w:after="0" w:line="215" w:lineRule="auto"/>
        <w:tabs>
          <w:tab w:leader="none" w:pos="171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SOFR, Term SOFR, any Alternative Currency Term Rate or any Alternative Currency Daily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such amendment effected, the Administrative Agent shall post each such amendment implementing such Conforming Changes to the Borrowers and the Lenders reasonably promptly after such amendment becomes effective.</w:t>
      </w:r>
    </w:p>
    <w:p>
      <w:pPr>
        <w:spacing w:after="0" w:line="145"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2.03</w:t>
      </w:r>
      <w:r>
        <w:rPr>
          <w:sz w:val="20"/>
          <w:szCs w:val="20"/>
          <w:color w:val="auto"/>
        </w:rPr>
        <w:tab/>
      </w:r>
      <w:r>
        <w:rPr>
          <w:rFonts w:ascii="Times New Roman" w:cs="Times New Roman" w:eastAsia="Times New Roman" w:hAnsi="Times New Roman"/>
          <w:sz w:val="20"/>
          <w:szCs w:val="20"/>
          <w:b w:val="1"/>
          <w:bCs w:val="1"/>
          <w:color w:val="auto"/>
        </w:rPr>
        <w:t>Letters of Credit.</w:t>
      </w:r>
    </w:p>
    <w:p>
      <w:pPr>
        <w:spacing w:after="0" w:line="176" w:lineRule="exact"/>
        <w:rPr>
          <w:sz w:val="20"/>
          <w:szCs w:val="20"/>
          <w:color w:val="auto"/>
        </w:rPr>
      </w:pPr>
    </w:p>
    <w:p>
      <w:pPr>
        <w:ind w:left="1680" w:hanging="436"/>
        <w:spacing w:after="0"/>
        <w:tabs>
          <w:tab w:leader="none" w:pos="168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Letter of Credit Commitment.</w:t>
      </w:r>
    </w:p>
    <w:p>
      <w:pPr>
        <w:spacing w:after="0" w:line="171" w:lineRule="exact"/>
        <w:rPr>
          <w:rFonts w:ascii="Times New Roman" w:cs="Times New Roman" w:eastAsia="Times New Roman" w:hAnsi="Times New Roman"/>
          <w:sz w:val="21"/>
          <w:szCs w:val="21"/>
          <w:color w:val="auto"/>
        </w:rPr>
      </w:pPr>
    </w:p>
    <w:p>
      <w:pPr>
        <w:jc w:val="both"/>
        <w:ind w:firstLine="1864"/>
        <w:spacing w:after="0" w:line="212" w:lineRule="auto"/>
        <w:tabs>
          <w:tab w:leader="none" w:pos="242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terms and conditions set forth herein, (A) the L/C Issuer agrees, in reliance upon the agreements of the Revolving Credit Lenders set forth in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(1) from time to time on any Business Day during the period from the Closing Date until the Letter of Credit Expiration Date, to issue Letters of Credit denominated in Dollars or in one or more Alternative Currencies for the account of an L/C Party, and to amend or extend Letters of Credit previously issued by it, in accordance with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 xml:space="preserve"> below, and (2) to honor drawings under the Letters of Credit; and (B) the Revolving Credit Lenders severally agree to participate in Letters of Credit issued for the account of any L/C Party and any drawings thereunder;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after giving effect to any L/C Credit Extension with respect to any Letter of Credit, (x) the Total Revolving Credit Outstandings shall not exceed the Revolving Credit Facility, (y) the Revolving Credit Exposure of any Revolving Credit Lender shall not exceed such Lender’s Revolving Credit Commitment, and (z) the Outstanding Amount of the 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240"/>
          </w:cols>
          <w:pgMar w:left="320" w:top="1342" w:right="339" w:bottom="1440" w:gutter="0" w:footer="0" w:header="0"/>
        </w:sectPr>
      </w:pPr>
    </w:p>
    <w:bookmarkStart w:id="114" w:name="page115"/>
    <w:bookmarkEnd w:id="114"/>
    <w:p>
      <w:pPr>
        <w:jc w:val="both"/>
        <w:spacing w:after="0" w:line="214" w:lineRule="auto"/>
        <w:rPr>
          <w:sz w:val="20"/>
          <w:szCs w:val="20"/>
          <w:color w:val="auto"/>
        </w:rPr>
      </w:pPr>
      <w:r>
        <w:rPr>
          <w:rFonts w:ascii="Times New Roman" w:cs="Times New Roman" w:eastAsia="Times New Roman" w:hAnsi="Times New Roman"/>
          <w:sz w:val="21"/>
          <w:szCs w:val="21"/>
          <w:color w:val="auto"/>
        </w:rPr>
        <w:t>C Obligations shall not exceed the Letter of Credit Sublimit. Each request by an L/C Party for the issuance or amendment of a Letter of Credit shall be deemed to be a representation by such L/C Party that the L/C Credit Extension so requested complies with the conditions set forth in the provisos to the preceding sentence. Within the foregoing limits, and subject to the terms and conditions hereof, each L/C Party’s ability to obtain Letters of Credit shall be fully revolving, and accordingly each L/C Party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147" w:lineRule="exact"/>
        <w:rPr>
          <w:sz w:val="20"/>
          <w:szCs w:val="20"/>
          <w:color w:val="auto"/>
        </w:rPr>
      </w:pPr>
    </w:p>
    <w:p>
      <w:pPr>
        <w:ind w:left="2320" w:hanging="456"/>
        <w:spacing w:after="0"/>
        <w:tabs>
          <w:tab w:leader="none" w:pos="232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L/C Issuer shall not issue any Letter of Credit, if:</w:t>
      </w:r>
    </w:p>
    <w:p>
      <w:pPr>
        <w:spacing w:after="0" w:line="171" w:lineRule="exact"/>
        <w:rPr>
          <w:rFonts w:ascii="Times New Roman" w:cs="Times New Roman" w:eastAsia="Times New Roman" w:hAnsi="Times New Roman"/>
          <w:sz w:val="21"/>
          <w:szCs w:val="21"/>
          <w:color w:val="auto"/>
        </w:rPr>
      </w:pPr>
    </w:p>
    <w:p>
      <w:pPr>
        <w:jc w:val="both"/>
        <w:ind w:left="620" w:firstLine="1864"/>
        <w:spacing w:after="0" w:line="225" w:lineRule="auto"/>
        <w:tabs>
          <w:tab w:leader="none" w:pos="2992"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2.03(b)(iii)</w:t>
      </w:r>
      <w:r>
        <w:rPr>
          <w:rFonts w:ascii="Times New Roman" w:cs="Times New Roman" w:eastAsia="Times New Roman" w:hAnsi="Times New Roman"/>
          <w:sz w:val="21"/>
          <w:szCs w:val="21"/>
          <w:color w:val="auto"/>
        </w:rPr>
        <w:t>, the expiry date of such requested Letter of Credit would occur more than thirty months after the date of issuance or last extension, unless the Required Revolving Lenders have approved such expiry date; or</w:t>
      </w:r>
    </w:p>
    <w:p>
      <w:pPr>
        <w:spacing w:after="0" w:line="147" w:lineRule="exact"/>
        <w:rPr>
          <w:rFonts w:ascii="Times New Roman" w:cs="Times New Roman" w:eastAsia="Times New Roman" w:hAnsi="Times New Roman"/>
          <w:sz w:val="21"/>
          <w:szCs w:val="21"/>
          <w:color w:val="auto"/>
        </w:rPr>
      </w:pPr>
    </w:p>
    <w:p>
      <w:pPr>
        <w:ind w:left="620" w:firstLine="1864"/>
        <w:spacing w:after="0" w:line="236" w:lineRule="auto"/>
        <w:tabs>
          <w:tab w:leader="none" w:pos="2989"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expiry date of such requested Letter of Credit would occur after the Letter of Credit Expiration Date, unless all the Revolving Credit Lenders have approved such expiry date.</w:t>
      </w:r>
    </w:p>
    <w:p>
      <w:pPr>
        <w:spacing w:after="0" w:line="145" w:lineRule="exact"/>
        <w:rPr>
          <w:rFonts w:ascii="Times New Roman" w:cs="Times New Roman" w:eastAsia="Times New Roman" w:hAnsi="Times New Roman"/>
          <w:sz w:val="21"/>
          <w:szCs w:val="21"/>
          <w:color w:val="auto"/>
        </w:rPr>
      </w:pPr>
    </w:p>
    <w:p>
      <w:pPr>
        <w:ind w:left="2380" w:hanging="516"/>
        <w:spacing w:after="0"/>
        <w:tabs>
          <w:tab w:leader="none" w:pos="238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L/C Issuer shall not be under any obligation to issue any Letter of Credit if:</w:t>
      </w:r>
    </w:p>
    <w:p>
      <w:pPr>
        <w:spacing w:after="0" w:line="171" w:lineRule="exact"/>
        <w:rPr>
          <w:rFonts w:ascii="Times New Roman" w:cs="Times New Roman" w:eastAsia="Times New Roman" w:hAnsi="Times New Roman"/>
          <w:sz w:val="21"/>
          <w:szCs w:val="21"/>
          <w:color w:val="auto"/>
        </w:rPr>
      </w:pPr>
    </w:p>
    <w:p>
      <w:pPr>
        <w:jc w:val="both"/>
        <w:ind w:left="620" w:firstLine="1864"/>
        <w:spacing w:after="0" w:line="213" w:lineRule="auto"/>
        <w:tabs>
          <w:tab w:leader="none" w:pos="3112"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44" w:lineRule="exact"/>
        <w:rPr>
          <w:rFonts w:ascii="Times New Roman" w:cs="Times New Roman" w:eastAsia="Times New Roman" w:hAnsi="Times New Roman"/>
          <w:sz w:val="21"/>
          <w:szCs w:val="21"/>
          <w:color w:val="auto"/>
        </w:rPr>
      </w:pPr>
    </w:p>
    <w:p>
      <w:pPr>
        <w:ind w:left="2960" w:hanging="476"/>
        <w:spacing w:after="0"/>
        <w:tabs>
          <w:tab w:leader="none" w:pos="296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the L/C Issuer applicable</w:t>
      </w: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to letters of credit generally;</w:t>
      </w:r>
    </w:p>
    <w:p>
      <w:pPr>
        <w:spacing w:after="0" w:line="149" w:lineRule="exact"/>
        <w:rPr>
          <w:rFonts w:ascii="Times New Roman" w:cs="Times New Roman" w:eastAsia="Times New Roman" w:hAnsi="Times New Roman"/>
          <w:sz w:val="20"/>
          <w:szCs w:val="20"/>
          <w:color w:val="auto"/>
        </w:rPr>
      </w:pPr>
    </w:p>
    <w:p>
      <w:pPr>
        <w:ind w:left="620" w:firstLine="1864"/>
        <w:spacing w:after="0" w:line="236" w:lineRule="auto"/>
        <w:tabs>
          <w:tab w:leader="none" w:pos="2976"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agreed by the Administrative Agent and the L/C Issuer, such Letter of Credit is in an initial stated amount less than the Dollar Equivalent of $1,000,000;</w:t>
      </w:r>
    </w:p>
    <w:p>
      <w:pPr>
        <w:spacing w:after="0" w:line="145" w:lineRule="exact"/>
        <w:rPr>
          <w:rFonts w:ascii="Times New Roman" w:cs="Times New Roman" w:eastAsia="Times New Roman" w:hAnsi="Times New Roman"/>
          <w:sz w:val="21"/>
          <w:szCs w:val="21"/>
          <w:color w:val="auto"/>
        </w:rPr>
      </w:pPr>
    </w:p>
    <w:p>
      <w:pPr>
        <w:ind w:left="620" w:firstLine="1864"/>
        <w:spacing w:after="0" w:line="236" w:lineRule="auto"/>
        <w:tabs>
          <w:tab w:leader="none" w:pos="2985"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agreed by the Administrative Agent and the L/C Issuer, such Letter of Credit is to be denominated in a currency other than Dollars or an Alternative Currency;</w:t>
      </w:r>
    </w:p>
    <w:p>
      <w:pPr>
        <w:spacing w:after="0" w:line="145" w:lineRule="exact"/>
        <w:rPr>
          <w:rFonts w:ascii="Times New Roman" w:cs="Times New Roman" w:eastAsia="Times New Roman" w:hAnsi="Times New Roman"/>
          <w:sz w:val="21"/>
          <w:szCs w:val="21"/>
          <w:color w:val="auto"/>
        </w:rPr>
      </w:pPr>
    </w:p>
    <w:p>
      <w:pPr>
        <w:ind w:left="620" w:firstLine="1864"/>
        <w:spacing w:after="0" w:line="236" w:lineRule="auto"/>
        <w:tabs>
          <w:tab w:leader="none" w:pos="3008"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L/C Issuer does not as of the issuance date of such requested Letter of Credit issue Letters of Credit in the requested currency; or</w:t>
      </w:r>
    </w:p>
    <w:p>
      <w:pPr>
        <w:spacing w:after="0" w:line="145" w:lineRule="exact"/>
        <w:rPr>
          <w:rFonts w:ascii="Times New Roman" w:cs="Times New Roman" w:eastAsia="Times New Roman" w:hAnsi="Times New Roman"/>
          <w:sz w:val="21"/>
          <w:szCs w:val="21"/>
          <w:color w:val="auto"/>
        </w:rPr>
      </w:pPr>
    </w:p>
    <w:p>
      <w:pPr>
        <w:jc w:val="both"/>
        <w:ind w:left="620" w:firstLine="1864"/>
        <w:spacing w:after="0" w:line="225" w:lineRule="auto"/>
        <w:tabs>
          <w:tab w:leader="none" w:pos="2974"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Revolving Credit Lender is at that time a Defaulting Lender, unless the L/C Issuer has entered into arrangements, including the delivery of Cash Collateral, satisfactory to the L/C Issuer (in its sole discretion) with the L/C Parties or such Defaulting Lender to eliminate the L/C Issuer’s actual or potential Fronting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240"/>
          </w:cols>
          <w:pgMar w:left="320" w:top="1342" w:right="339" w:bottom="1440" w:gutter="0" w:footer="0" w:header="0"/>
        </w:sectPr>
      </w:pPr>
    </w:p>
    <w:bookmarkStart w:id="115" w:name="page116"/>
    <w:bookmarkEnd w:id="115"/>
    <w:p>
      <w:pPr>
        <w:jc w:val="both"/>
        <w:ind w:left="620"/>
        <w:spacing w:after="0" w:line="225" w:lineRule="auto"/>
        <w:rPr>
          <w:sz w:val="20"/>
          <w:szCs w:val="20"/>
          <w:color w:val="auto"/>
        </w:rPr>
      </w:pPr>
      <w:r>
        <w:rPr>
          <w:rFonts w:ascii="Times New Roman" w:cs="Times New Roman" w:eastAsia="Times New Roman" w:hAnsi="Times New Roman"/>
          <w:sz w:val="21"/>
          <w:szCs w:val="21"/>
          <w:color w:val="auto"/>
        </w:rPr>
        <w:t xml:space="preserve">Exposure (after giving effect to </w:t>
      </w:r>
      <w:r>
        <w:rPr>
          <w:rFonts w:ascii="Times New Roman" w:cs="Times New Roman" w:eastAsia="Times New Roman" w:hAnsi="Times New Roman"/>
          <w:sz w:val="21"/>
          <w:szCs w:val="21"/>
          <w:u w:val="single" w:color="auto"/>
          <w:color w:val="auto"/>
        </w:rPr>
        <w:t>Section 2.16(a)(iv))</w:t>
      </w:r>
      <w:r>
        <w:rPr>
          <w:rFonts w:ascii="Times New Roman" w:cs="Times New Roman" w:eastAsia="Times New Roman" w:hAnsi="Times New Roman"/>
          <w:sz w:val="21"/>
          <w:szCs w:val="21"/>
          <w:color w:val="auto"/>
        </w:rPr>
        <w:t xml:space="preserve"> with respect to such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147" w:lineRule="exact"/>
        <w:rPr>
          <w:sz w:val="20"/>
          <w:szCs w:val="20"/>
          <w:color w:val="auto"/>
        </w:rPr>
      </w:pPr>
    </w:p>
    <w:p>
      <w:pPr>
        <w:ind w:left="2980" w:hanging="496"/>
        <w:spacing w:after="0"/>
        <w:tabs>
          <w:tab w:leader="none" w:pos="2980"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contains any provisions for automatic reinstatement of the stated amount after</w:t>
      </w:r>
    </w:p>
    <w:p>
      <w:pPr>
        <w:ind w:left="6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any drawing thereunder.</w:t>
      </w:r>
    </w:p>
    <w:p>
      <w:pPr>
        <w:spacing w:after="0" w:line="149" w:lineRule="exact"/>
        <w:rPr>
          <w:rFonts w:ascii="Times New Roman" w:cs="Times New Roman" w:eastAsia="Times New Roman" w:hAnsi="Times New Roman"/>
          <w:sz w:val="20"/>
          <w:szCs w:val="20"/>
          <w:color w:val="auto"/>
        </w:rPr>
      </w:pPr>
    </w:p>
    <w:p>
      <w:pPr>
        <w:ind w:firstLine="1864"/>
        <w:spacing w:after="0" w:line="236" w:lineRule="auto"/>
        <w:tabs>
          <w:tab w:leader="none" w:pos="2388"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L/C Issuer shall not amend any Letter of Credit if the L/C Issuer would not be permitted at such time to issue such Letter of Credit in its amended form under the terms hereof.</w:t>
      </w:r>
    </w:p>
    <w:p>
      <w:pPr>
        <w:spacing w:after="0" w:line="145" w:lineRule="exact"/>
        <w:rPr>
          <w:rFonts w:ascii="Times New Roman" w:cs="Times New Roman" w:eastAsia="Times New Roman" w:hAnsi="Times New Roman"/>
          <w:sz w:val="21"/>
          <w:szCs w:val="21"/>
          <w:color w:val="auto"/>
        </w:rPr>
      </w:pPr>
    </w:p>
    <w:p>
      <w:pPr>
        <w:jc w:val="both"/>
        <w:ind w:firstLine="1864"/>
        <w:spacing w:after="0" w:line="225" w:lineRule="auto"/>
        <w:tabs>
          <w:tab w:leader="none" w:pos="2318"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47" w:lineRule="exact"/>
        <w:rPr>
          <w:rFonts w:ascii="Times New Roman" w:cs="Times New Roman" w:eastAsia="Times New Roman" w:hAnsi="Times New Roman"/>
          <w:sz w:val="21"/>
          <w:szCs w:val="21"/>
          <w:color w:val="auto"/>
        </w:rPr>
      </w:pPr>
    </w:p>
    <w:p>
      <w:pPr>
        <w:jc w:val="both"/>
        <w:ind w:firstLine="1864"/>
        <w:spacing w:after="0" w:line="215" w:lineRule="auto"/>
        <w:tabs>
          <w:tab w:leader="none" w:pos="2418"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L/C Issuer shall act on behalf of the Revolving Credit Lenders with respect to any Letters of Credit issued by it and the documents associated therewith, and the L/C Issuer shall have all of the benefits and immunities (A) provided to the Administrative Agent in </w:t>
      </w:r>
      <w:r>
        <w:rPr>
          <w:rFonts w:ascii="Times New Roman" w:cs="Times New Roman" w:eastAsia="Times New Roman" w:hAnsi="Times New Roman"/>
          <w:sz w:val="21"/>
          <w:szCs w:val="21"/>
          <w:u w:val="single" w:color="auto"/>
          <w:color w:val="auto"/>
        </w:rPr>
        <w:t>Article IX</w:t>
      </w:r>
      <w:r>
        <w:rPr>
          <w:rFonts w:ascii="Times New Roman" w:cs="Times New Roman" w:eastAsia="Times New Roman" w:hAnsi="Times New Roman"/>
          <w:sz w:val="21"/>
          <w:szCs w:val="21"/>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Article IX included the L/C Issuer with respect to such acts or omissions, and (B) as additionally provided herein with respect to the L/C Issuer.</w:t>
      </w:r>
    </w:p>
    <w:p>
      <w:pPr>
        <w:spacing w:after="0" w:line="149" w:lineRule="exact"/>
        <w:rPr>
          <w:rFonts w:ascii="Times New Roman" w:cs="Times New Roman" w:eastAsia="Times New Roman" w:hAnsi="Times New Roman"/>
          <w:sz w:val="21"/>
          <w:szCs w:val="21"/>
          <w:color w:val="auto"/>
        </w:rPr>
      </w:pPr>
    </w:p>
    <w:p>
      <w:pPr>
        <w:ind w:left="1700" w:hanging="456"/>
        <w:spacing w:after="0"/>
        <w:tabs>
          <w:tab w:leader="none" w:pos="1700"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Procedures for Issuance and Amendment of Letters of Credit; Auto-Extension Letters of Credit</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firstLine="1864"/>
        <w:spacing w:after="0" w:line="219" w:lineRule="auto"/>
        <w:tabs>
          <w:tab w:leader="none" w:pos="2284"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Letter of Credit shall be issued or amended, as the case may be, upon the request of Toro delivered to the L/C Issuer (with a copy to the Administrative Agent) in the form of a Letter of Credit Application, appropriately completed and signed by a Responsible Officer of Toro. Such Letter of Credit Application may be sent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12:00 noon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and currency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applicable L/C Party for which such Letter of Credit is requested to be issued; (H) the purpose and nature of the requested Letter of Credit; and (I)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Toro shall furnish to the L/C Issuer and the Administrative Agent such other documents and information pertaining to such requested Letter of Credit issuance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240"/>
          </w:cols>
          <w:pgMar w:left="320" w:top="1342"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1"/>
          <w:szCs w:val="21"/>
          <w:color w:val="auto"/>
        </w:rPr>
        <w:t>amendment, including any Issuer Documents, as the L/C Issuer or the Administrative Agent may require.</w:t>
      </w:r>
    </w:p>
    <w:p>
      <w:pPr>
        <w:spacing w:after="0" w:line="172" w:lineRule="exact"/>
        <w:rPr>
          <w:sz w:val="20"/>
          <w:szCs w:val="20"/>
          <w:color w:val="auto"/>
        </w:rPr>
      </w:pPr>
    </w:p>
    <w:p>
      <w:pPr>
        <w:jc w:val="both"/>
        <w:ind w:firstLine="1864"/>
        <w:spacing w:after="0" w:line="211" w:lineRule="auto"/>
        <w:tabs>
          <w:tab w:leader="none" w:pos="2548" w:val="left"/>
        </w:tabs>
        <w:numPr>
          <w:ilvl w:val="2"/>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after receipt of any Letter of Credit Application, the L/C Issuer will confirm with the Administrative Agent (by telephone or in writing) that the Administrative Agent has received a copy of such Letter of Credit Application from Toro and, if not, the L/C Issuer will provide the Administrative Agent with a copy thereof. Unless the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shall not then be satisfied, then, subject to the terms and conditions hereof, the L/C Issuer shall, on the requested date, issue a Letter of Credit for the account of the applicable L/C Party or enter into the applicable amendment, as the case may be, in each case in accordance with the L/C Issuer’s usual and customary business practices. Immediately upon the issuance of each Letter of Credit, each Revolving Credit Lender shall be deemed to, and hereby irrevocably and unconditionally agrees to, purchase from the L/C Issuer a risk participation in such Letter of Credit in an amount equal to the product of such Revolving Credit Lender’s Applicable Percentage times the amount of such Letter of Credit.</w:t>
      </w:r>
    </w:p>
    <w:p>
      <w:pPr>
        <w:spacing w:after="0" w:line="145" w:lineRule="exact"/>
        <w:rPr>
          <w:rFonts w:ascii="Times New Roman" w:cs="Times New Roman" w:eastAsia="Times New Roman" w:hAnsi="Times New Roman"/>
          <w:sz w:val="21"/>
          <w:szCs w:val="21"/>
          <w:color w:val="auto"/>
        </w:rPr>
      </w:pPr>
    </w:p>
    <w:p>
      <w:pPr>
        <w:jc w:val="both"/>
        <w:ind w:firstLine="1864"/>
        <w:spacing w:after="0" w:line="217" w:lineRule="auto"/>
        <w:tabs>
          <w:tab w:leader="none" w:pos="2481"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Toro so requests in any applicable Letter of Credit Application, the L/C Issuer may, in its sole and absolute discretion, agree to issue a Letter of Credit that has automatic extension provisions (each, an “</w:t>
      </w:r>
      <w:r>
        <w:rPr>
          <w:rFonts w:ascii="Times New Roman" w:cs="Times New Roman" w:eastAsia="Times New Roman" w:hAnsi="Times New Roman"/>
          <w:sz w:val="20"/>
          <w:szCs w:val="20"/>
          <w:u w:val="single" w:color="auto"/>
          <w:color w:val="auto"/>
        </w:rPr>
        <w:t>Auto-Extension Letter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Credit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Auto- 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in each such twelve-month period to be agreed upon at the time such Letter of Credit is issued. Unless otherwise directed by the L/C Issuer, neither Toro nor the applicable L/C Party shall be required to make a specific request to the L/C Issuer for any such extension. Once an Auto-Extension Letter of Credit has been issued, the Revolving Credit Lenders shall be deemed to have authorized (but may not require) the L/C Issuer to permit the extension of such Letter of Credit at any time to an expiry date not later than the Letter of Credit Expiration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w:t>
      </w:r>
      <w:r>
        <w:rPr>
          <w:rFonts w:ascii="Times New Roman" w:cs="Times New Roman" w:eastAsia="Times New Roman" w:hAnsi="Times New Roman"/>
          <w:sz w:val="20"/>
          <w:szCs w:val="20"/>
          <w:u w:val="single" w:color="auto"/>
          <w:color w:val="auto"/>
        </w:rPr>
        <w:t>clause</w:t>
      </w:r>
    </w:p>
    <w:p>
      <w:pPr>
        <w:spacing w:after="0" w:line="8" w:lineRule="exact"/>
        <w:rPr>
          <w:rFonts w:ascii="Times New Roman" w:cs="Times New Roman" w:eastAsia="Times New Roman" w:hAnsi="Times New Roman"/>
          <w:sz w:val="20"/>
          <w:szCs w:val="20"/>
          <w:color w:val="auto"/>
        </w:rPr>
      </w:pPr>
    </w:p>
    <w:p>
      <w:pPr>
        <w:jc w:val="both"/>
        <w:ind w:firstLine="3"/>
        <w:spacing w:after="0" w:line="213" w:lineRule="auto"/>
        <w:tabs>
          <w:tab w:leader="none" w:pos="304" w:val="left"/>
        </w:tabs>
        <w:numPr>
          <w:ilvl w:val="0"/>
          <w:numId w:val="6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or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2.03(a)</w:t>
      </w:r>
      <w:r>
        <w:rPr>
          <w:rFonts w:ascii="Times New Roman" w:cs="Times New Roman" w:eastAsia="Times New Roman" w:hAnsi="Times New Roman"/>
          <w:sz w:val="21"/>
          <w:szCs w:val="21"/>
          <w:color w:val="auto"/>
        </w:rPr>
        <w:t xml:space="preserve"> or otherwise), or (B) it has received notice (which may be by telephone or in writing) on or before the day that is five Business Days before the Non-Extension Notice Date (1) from the Administrative Agent that the Required Revolving Lenders have elected not to permit such extension or (2) from the Administrative Agent, any Revolving Credit Lender or any Loan Party that one or more of the applicable conditions specified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is not then satisfied, and in each such case directing the L/C Issuer not to permit such extension.</w:t>
      </w:r>
    </w:p>
    <w:p>
      <w:pPr>
        <w:spacing w:after="0" w:line="146" w:lineRule="exact"/>
        <w:rPr>
          <w:rFonts w:ascii="Times New Roman" w:cs="Times New Roman" w:eastAsia="Times New Roman" w:hAnsi="Times New Roman"/>
          <w:sz w:val="21"/>
          <w:szCs w:val="21"/>
          <w:u w:val="single" w:color="auto"/>
          <w:color w:val="auto"/>
        </w:rPr>
      </w:pPr>
    </w:p>
    <w:p>
      <w:pPr>
        <w:jc w:val="both"/>
        <w:ind w:firstLine="1864"/>
        <w:spacing w:after="0" w:line="225" w:lineRule="auto"/>
        <w:tabs>
          <w:tab w:leader="none" w:pos="2415" w:val="left"/>
        </w:tabs>
        <w:numPr>
          <w:ilvl w:val="2"/>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its delivery of any Letter of Credit or any amendment to a Letter of Credit to an advising bank with respect thereto or to the beneficiary thereof, the L/C Issuer will also deliver to the applicable L/C Party and the Administrative Agent a true and complete copy of such Letter of Credit or amendment.</w:t>
      </w:r>
    </w:p>
    <w:p>
      <w:pPr>
        <w:spacing w:after="0" w:line="147" w:lineRule="exact"/>
        <w:rPr>
          <w:rFonts w:ascii="Times New Roman" w:cs="Times New Roman" w:eastAsia="Times New Roman" w:hAnsi="Times New Roman"/>
          <w:sz w:val="21"/>
          <w:szCs w:val="21"/>
          <w:color w:val="auto"/>
        </w:rPr>
      </w:pPr>
    </w:p>
    <w:p>
      <w:pPr>
        <w:ind w:left="1680" w:hanging="436"/>
        <w:spacing w:after="0"/>
        <w:tabs>
          <w:tab w:leader="none" w:pos="1680" w:val="left"/>
        </w:tabs>
        <w:numPr>
          <w:ilvl w:val="1"/>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Drawings and Reimbursements; Funding of Participations.</w:t>
      </w:r>
    </w:p>
    <w:p>
      <w:pPr>
        <w:spacing w:after="0" w:line="171" w:lineRule="exact"/>
        <w:rPr>
          <w:rFonts w:ascii="Times New Roman" w:cs="Times New Roman" w:eastAsia="Times New Roman" w:hAnsi="Times New Roman"/>
          <w:sz w:val="21"/>
          <w:szCs w:val="21"/>
          <w:color w:val="auto"/>
        </w:rPr>
      </w:pPr>
    </w:p>
    <w:p>
      <w:pPr>
        <w:jc w:val="both"/>
        <w:ind w:firstLine="1864"/>
        <w:spacing w:after="0" w:line="220" w:lineRule="auto"/>
        <w:tabs>
          <w:tab w:leader="none" w:pos="2314" w:val="left"/>
        </w:tabs>
        <w:numPr>
          <w:ilvl w:val="2"/>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receipt from the beneficiary of any Letter of Credit of any notice of a drawing under such Letter of Credit, the L/C Issuer shall notify the applicable L/C Party and the Administrative Agent thereof. In the case of a Letter of Credit denominated in an Alternative Currency, such L/C Party shall reimburse the L/C Issuer in such Alternative Currency, unless (A) the L/C Issuer (at its option) shall have specified in such notice that it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240"/>
          </w:cols>
          <w:pgMar w:left="320" w:top="1342" w:right="339" w:bottom="1440" w:gutter="0" w:footer="0" w:header="0"/>
        </w:sectPr>
      </w:pPr>
    </w:p>
    <w:bookmarkStart w:id="117" w:name="page118"/>
    <w:bookmarkEnd w:id="117"/>
    <w:p>
      <w:pPr>
        <w:jc w:val="both"/>
        <w:spacing w:after="0" w:line="208" w:lineRule="auto"/>
        <w:rPr>
          <w:sz w:val="20"/>
          <w:szCs w:val="20"/>
          <w:color w:val="auto"/>
        </w:rPr>
      </w:pPr>
      <w:r>
        <w:rPr>
          <w:rFonts w:ascii="Times New Roman" w:cs="Times New Roman" w:eastAsia="Times New Roman" w:hAnsi="Times New Roman"/>
          <w:sz w:val="21"/>
          <w:szCs w:val="21"/>
          <w:color w:val="auto"/>
        </w:rPr>
        <w:t>require reimbursement in Dollars, or (B) in the absence of any such requirement for reimbursement in Dollars, such L/C Party shall have notified the L/C Issuer promptly following receipt of the notice of drawing that the L/C Party will reimburse the L/C Issuer in Dollars. In the case of any such reimbursement in Dollars of a drawing under a Letter of Credit denominated in an Alternative Currency, the L/C Issuer shall notify the applicable L/C Party of the Dollar Equivalent of the amount of the drawing promptly following the determination thereof. Not later than 12:00 noon on the date of any payment by the L/C Issuer under a Letter of Credit to be reimbursed in Dollars, or the Applicable Time on the date of any payment by the L/C Issuer under a Letter of Credit to be reimbursed in an Alternative Currency (each such date, an “</w:t>
      </w:r>
      <w:r>
        <w:rPr>
          <w:rFonts w:ascii="Times New Roman" w:cs="Times New Roman" w:eastAsia="Times New Roman" w:hAnsi="Times New Roman"/>
          <w:sz w:val="21"/>
          <w:szCs w:val="21"/>
          <w:u w:val="single" w:color="auto"/>
          <w:color w:val="auto"/>
        </w:rPr>
        <w:t>Honor Date</w:t>
      </w:r>
      <w:r>
        <w:rPr>
          <w:rFonts w:ascii="Times New Roman" w:cs="Times New Roman" w:eastAsia="Times New Roman" w:hAnsi="Times New Roman"/>
          <w:sz w:val="21"/>
          <w:szCs w:val="21"/>
          <w:color w:val="auto"/>
        </w:rPr>
        <w:t>”), the applicable L/C Party shall reimburse the L/C Issuer through the Administrative Agent in an amount equal to the amount of such drawing and in the applicable currency. In the event that</w:t>
      </w:r>
    </w:p>
    <w:p>
      <w:pPr>
        <w:spacing w:after="0" w:line="2" w:lineRule="exact"/>
        <w:rPr>
          <w:sz w:val="20"/>
          <w:szCs w:val="20"/>
          <w:color w:val="auto"/>
        </w:rPr>
      </w:pPr>
    </w:p>
    <w:p>
      <w:pPr>
        <w:jc w:val="both"/>
        <w:ind w:firstLine="3"/>
        <w:spacing w:after="0" w:line="208" w:lineRule="auto"/>
        <w:tabs>
          <w:tab w:leader="none" w:pos="35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drawing denominated in an Alternative Currency is to be reimbursed in Dollars pursuant to the second sentence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2.03(c)(i)</w:t>
      </w:r>
      <w:r>
        <w:rPr>
          <w:rFonts w:ascii="Times New Roman" w:cs="Times New Roman" w:eastAsia="Times New Roman" w:hAnsi="Times New Roman"/>
          <w:sz w:val="21"/>
          <w:szCs w:val="21"/>
          <w:color w:val="auto"/>
        </w:rPr>
        <w:t xml:space="preserve"> and (B) the Dollar amount paid by applicable L/C Party, whether on or after the Honor Date, shall not be adequate on the date of that payment to purchase in accordance with normal banking procedures a sum denominated in the Alternative Currency equal to the drawing, the applicable L/C Party agrees, as a separate and independent obligation, to indemnify the L/C Issuer for the loss resulting from its inability on that date to purchase the Alternative Currency in the full amount of the drawing. If the applicable L/C Party fails to so reimburse the L/C Issuer by such time, the Administrative Agent or the L/C Issuer shall promptly notify each Revolving Credit Lender of the Honor Date, the amount of the unreimbursed drawing (expressed in Dollars in the amount of the Dollar Equivalent thereof in the case of a Letter of Credit denominated in an Alternative Currency) (the “</w:t>
      </w:r>
      <w:r>
        <w:rPr>
          <w:rFonts w:ascii="Times New Roman" w:cs="Times New Roman" w:eastAsia="Times New Roman" w:hAnsi="Times New Roman"/>
          <w:sz w:val="21"/>
          <w:szCs w:val="21"/>
          <w:u w:val="single" w:color="auto"/>
          <w:color w:val="auto"/>
        </w:rPr>
        <w:t>Unreimbursed Amount</w:t>
      </w:r>
      <w:r>
        <w:rPr>
          <w:rFonts w:ascii="Times New Roman" w:cs="Times New Roman" w:eastAsia="Times New Roman" w:hAnsi="Times New Roman"/>
          <w:sz w:val="21"/>
          <w:szCs w:val="21"/>
          <w:color w:val="auto"/>
        </w:rPr>
        <w:t xml:space="preserve">”), and the amount of such Revolving Credit Lender’s Applicable Percentage thereof. In such event, the applicable L/C Party shall be deemed to have requested a Revolving Credit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for the principal amount of Base Rate Loans, but subject to the amount of the unutilized portion of the Commitments and the conditions set forth in Section 4.02 (other than the delivery of a Loan Notice). Any notice given by the L/C Issuer or the Administrative Agent pursuant to this </w:t>
      </w:r>
      <w:r>
        <w:rPr>
          <w:rFonts w:ascii="Times New Roman" w:cs="Times New Roman" w:eastAsia="Times New Roman" w:hAnsi="Times New Roman"/>
          <w:sz w:val="21"/>
          <w:szCs w:val="21"/>
          <w:u w:val="single" w:color="auto"/>
          <w:color w:val="auto"/>
        </w:rPr>
        <w:t>Section 2.03(c)(i)</w:t>
      </w:r>
      <w:r>
        <w:rPr>
          <w:rFonts w:ascii="Times New Roman" w:cs="Times New Roman" w:eastAsia="Times New Roman" w:hAnsi="Times New Roman"/>
          <w:sz w:val="21"/>
          <w:szCs w:val="21"/>
          <w:color w:val="auto"/>
        </w:rPr>
        <w:t xml:space="preserve"> may be given by telephone if immediately confirmed in writing;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lack of such an immediate confirmation shall not affect the conclusiveness or binding effect of such notice.</w:t>
      </w:r>
    </w:p>
    <w:p>
      <w:pPr>
        <w:spacing w:after="0" w:line="146" w:lineRule="exact"/>
        <w:rPr>
          <w:rFonts w:ascii="Times New Roman" w:cs="Times New Roman" w:eastAsia="Times New Roman" w:hAnsi="Times New Roman"/>
          <w:sz w:val="21"/>
          <w:szCs w:val="21"/>
          <w:color w:val="auto"/>
        </w:rPr>
      </w:pPr>
    </w:p>
    <w:p>
      <w:pPr>
        <w:jc w:val="both"/>
        <w:ind w:firstLine="1864"/>
        <w:spacing w:after="0" w:line="214" w:lineRule="auto"/>
        <w:tabs>
          <w:tab w:leader="none" w:pos="2379"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Revolving Credit Lender shall upon any notice pursuant to </w:t>
      </w:r>
      <w:r>
        <w:rPr>
          <w:rFonts w:ascii="Times New Roman" w:cs="Times New Roman" w:eastAsia="Times New Roman" w:hAnsi="Times New Roman"/>
          <w:sz w:val="21"/>
          <w:szCs w:val="21"/>
          <w:u w:val="single" w:color="auto"/>
          <w:color w:val="auto"/>
        </w:rPr>
        <w:t>Section 2.03(c)(i)</w:t>
      </w:r>
      <w:r>
        <w:rPr>
          <w:rFonts w:ascii="Times New Roman" w:cs="Times New Roman" w:eastAsia="Times New Roman" w:hAnsi="Times New Roman"/>
          <w:sz w:val="21"/>
          <w:szCs w:val="21"/>
          <w:color w:val="auto"/>
        </w:rPr>
        <w:t xml:space="preserve"> make funds available (and the Administrative Agent may apply Cash Collateral provided for this purpose) for the account of the L/C Issuer, in Dollars, at the Administrative Agent’s Office for Dollar-denominated payments in an amount equal to its Applicable Percentage of the Unreimbursed Amount not later than 2:00 p.m. on the Business Day specified in such notice by the Administrative Agent, whereupon, subject to the provisions of </w:t>
      </w:r>
      <w:r>
        <w:rPr>
          <w:rFonts w:ascii="Times New Roman" w:cs="Times New Roman" w:eastAsia="Times New Roman" w:hAnsi="Times New Roman"/>
          <w:sz w:val="21"/>
          <w:szCs w:val="21"/>
          <w:u w:val="single" w:color="auto"/>
          <w:color w:val="auto"/>
        </w:rPr>
        <w:t>Section 2.03(c)(iii)</w:t>
      </w:r>
      <w:r>
        <w:rPr>
          <w:rFonts w:ascii="Times New Roman" w:cs="Times New Roman" w:eastAsia="Times New Roman" w:hAnsi="Times New Roman"/>
          <w:sz w:val="21"/>
          <w:szCs w:val="21"/>
          <w:color w:val="auto"/>
        </w:rPr>
        <w:t>, each Revolving Credit Lender that so makes funds available shall be deemed to have made a Base Rate Loan to the applicable L/C Party in such amount. The Administrative Agent shall remit the funds so received to the L/C Issuer in Dollars.</w:t>
      </w:r>
    </w:p>
    <w:p>
      <w:pPr>
        <w:spacing w:after="0" w:line="146" w:lineRule="exact"/>
        <w:rPr>
          <w:rFonts w:ascii="Times New Roman" w:cs="Times New Roman" w:eastAsia="Times New Roman" w:hAnsi="Times New Roman"/>
          <w:sz w:val="21"/>
          <w:szCs w:val="21"/>
          <w:color w:val="auto"/>
        </w:rPr>
      </w:pPr>
    </w:p>
    <w:p>
      <w:pPr>
        <w:jc w:val="both"/>
        <w:ind w:firstLine="1864"/>
        <w:spacing w:after="0" w:line="214" w:lineRule="auto"/>
        <w:tabs>
          <w:tab w:leader="none" w:pos="2383"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Unreimbursed Amount that is not fully refinanced by a Borrowing of Base Rate Loans because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cannot be satisfied or for any other reason, the applicable L/C Party shall be deemed to have incurred from the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L/C Issuer pursuant to </w:t>
      </w:r>
      <w:r>
        <w:rPr>
          <w:rFonts w:ascii="Times New Roman" w:cs="Times New Roman" w:eastAsia="Times New Roman" w:hAnsi="Times New Roman"/>
          <w:sz w:val="21"/>
          <w:szCs w:val="21"/>
          <w:u w:val="single" w:color="auto"/>
          <w:color w:val="auto"/>
        </w:rPr>
        <w:t>Section 2.03(c)(ii)</w:t>
      </w:r>
      <w:r>
        <w:rPr>
          <w:rFonts w:ascii="Times New Roman" w:cs="Times New Roman" w:eastAsia="Times New Roman" w:hAnsi="Times New Roman"/>
          <w:sz w:val="21"/>
          <w:szCs w:val="21"/>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240"/>
          </w:cols>
          <w:pgMar w:left="320" w:top="1342" w:right="339" w:bottom="1440" w:gutter="0" w:footer="0" w:header="0"/>
        </w:sectPr>
      </w:pPr>
    </w:p>
    <w:bookmarkStart w:id="118" w:name="page119"/>
    <w:bookmarkEnd w:id="118"/>
    <w:p>
      <w:pPr>
        <w:jc w:val="both"/>
        <w:ind w:firstLine="1864"/>
        <w:spacing w:after="0" w:line="225" w:lineRule="auto"/>
        <w:tabs>
          <w:tab w:leader="none" w:pos="2464"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Until each Revolving Credit Lender funds its Revolving Credit Loan or L/C Advance pursuant to this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xml:space="preserve"> to reimburse the L/C Issuer for any amount drawn under any Letter of Credit, interest in respect of such Revolving Credit Lender’s Applicable Percentage of such amount shall be solely for the account of the L/C Issuer.</w:t>
      </w:r>
    </w:p>
    <w:p>
      <w:pPr>
        <w:spacing w:after="0" w:line="147" w:lineRule="exact"/>
        <w:rPr>
          <w:rFonts w:ascii="Times New Roman" w:cs="Times New Roman" w:eastAsia="Times New Roman" w:hAnsi="Times New Roman"/>
          <w:sz w:val="21"/>
          <w:szCs w:val="21"/>
          <w:color w:val="auto"/>
        </w:rPr>
      </w:pPr>
    </w:p>
    <w:p>
      <w:pPr>
        <w:jc w:val="both"/>
        <w:ind w:firstLine="1864"/>
        <w:spacing w:after="0" w:line="212" w:lineRule="auto"/>
        <w:tabs>
          <w:tab w:leader="none" w:pos="2314"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Revolving Credit Lender’s obligation to make Loans or L/C Advances to reimburse the L/C Issuer for amounts drawn under Letters of Credit, as contemplated by this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xml:space="preserve"> shall be absolute and unconditional and shall not be affected by any circumstance, including (A) any setoff, counterclaim, recoupment, defense or other right which such Revolving Credit Lender may have against the L/C Issuer, the applicable L/C Party, any Subsidiary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each Revolving Credit Lender’s obligation to make Loans pursuant to this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xml:space="preserve"> is subject to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(other than delivery by an L/C Party of a Loan Notice). No such making of an L/C Advance shall relieve or otherwise impair the obligation of the applicable L/C Party to reimburse the L/C Issuer for the amount of any payment made by the L/C Issuer under any Letter of Credit, together with interest as provided herein.</w:t>
      </w:r>
    </w:p>
    <w:p>
      <w:pPr>
        <w:spacing w:after="0" w:line="147" w:lineRule="exact"/>
        <w:rPr>
          <w:rFonts w:ascii="Times New Roman" w:cs="Times New Roman" w:eastAsia="Times New Roman" w:hAnsi="Times New Roman"/>
          <w:sz w:val="21"/>
          <w:szCs w:val="21"/>
          <w:color w:val="auto"/>
        </w:rPr>
      </w:pPr>
    </w:p>
    <w:p>
      <w:pPr>
        <w:jc w:val="both"/>
        <w:ind w:firstLine="1864"/>
        <w:spacing w:after="0" w:line="211" w:lineRule="auto"/>
        <w:tabs>
          <w:tab w:leader="none" w:pos="2395"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Revolving Credit Lender fails to make available to the Administrative Agent for the account of the L/C Issuer any amount required to be paid by such Revolving Credit Lender pursuant to the foregoing provisions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2.03(c)</w:t>
      </w:r>
      <w:r>
        <w:rPr>
          <w:rFonts w:ascii="Times New Roman" w:cs="Times New Roman" w:eastAsia="Times New Roman" w:hAnsi="Times New Roman"/>
          <w:sz w:val="21"/>
          <w:szCs w:val="21"/>
          <w:color w:val="auto"/>
        </w:rPr>
        <w:t xml:space="preserve"> by the time specified in </w:t>
      </w:r>
      <w:r>
        <w:rPr>
          <w:rFonts w:ascii="Times New Roman" w:cs="Times New Roman" w:eastAsia="Times New Roman" w:hAnsi="Times New Roman"/>
          <w:sz w:val="21"/>
          <w:szCs w:val="21"/>
          <w:u w:val="single" w:color="auto"/>
          <w:color w:val="auto"/>
        </w:rPr>
        <w:t>Section 2.03(c)(ii),</w:t>
      </w:r>
      <w:r>
        <w:rPr>
          <w:rFonts w:ascii="Times New Roman" w:cs="Times New Roman" w:eastAsia="Times New Roman" w:hAnsi="Times New Roman"/>
          <w:sz w:val="21"/>
          <w:szCs w:val="21"/>
          <w:color w:val="auto"/>
        </w:rPr>
        <w:t xml:space="preserve"> then, without limiting the other provisions of this Agreement, the L/C Issuer shall be entitled to recover from such Revolving Credit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Revolving Credit Lender pays such amount (with interest and fees as aforesaid), the amount so paid shall constitute such Revolving Credit Lender’s Revolving Credit Loan included in the relevant Borrowing or L/C Advance in respect of the relevant L/C Borrowing, as the case may be. A certificate of the L/C Issuer submitted to any Revolving Credit Lender (through the Administrative Agent) with respect to any amounts owing under this </w:t>
      </w:r>
      <w:r>
        <w:rPr>
          <w:rFonts w:ascii="Times New Roman" w:cs="Times New Roman" w:eastAsia="Times New Roman" w:hAnsi="Times New Roman"/>
          <w:sz w:val="21"/>
          <w:szCs w:val="21"/>
          <w:u w:val="single" w:color="auto"/>
          <w:color w:val="auto"/>
        </w:rPr>
        <w:t>clause (vi)</w:t>
      </w:r>
      <w:r>
        <w:rPr>
          <w:rFonts w:ascii="Times New Roman" w:cs="Times New Roman" w:eastAsia="Times New Roman" w:hAnsi="Times New Roman"/>
          <w:sz w:val="21"/>
          <w:szCs w:val="21"/>
          <w:color w:val="auto"/>
        </w:rPr>
        <w:t xml:space="preserve"> shall be conclusive absent manifest error.</w:t>
      </w:r>
    </w:p>
    <w:p>
      <w:pPr>
        <w:spacing w:after="0" w:line="145" w:lineRule="exact"/>
        <w:rPr>
          <w:rFonts w:ascii="Times New Roman" w:cs="Times New Roman" w:eastAsia="Times New Roman" w:hAnsi="Times New Roman"/>
          <w:sz w:val="21"/>
          <w:szCs w:val="21"/>
          <w:color w:val="auto"/>
        </w:rPr>
      </w:pPr>
    </w:p>
    <w:p>
      <w:pPr>
        <w:ind w:left="1700" w:hanging="456"/>
        <w:spacing w:after="0"/>
        <w:tabs>
          <w:tab w:leader="none" w:pos="170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Repayment of Participations.</w:t>
      </w:r>
    </w:p>
    <w:p>
      <w:pPr>
        <w:spacing w:after="0" w:line="171" w:lineRule="exact"/>
        <w:rPr>
          <w:rFonts w:ascii="Times New Roman" w:cs="Times New Roman" w:eastAsia="Times New Roman" w:hAnsi="Times New Roman"/>
          <w:sz w:val="21"/>
          <w:szCs w:val="21"/>
          <w:color w:val="auto"/>
        </w:rPr>
      </w:pPr>
    </w:p>
    <w:p>
      <w:pPr>
        <w:jc w:val="both"/>
        <w:ind w:firstLine="1864"/>
        <w:spacing w:after="0" w:line="215" w:lineRule="auto"/>
        <w:tabs>
          <w:tab w:leader="none" w:pos="2281"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any time after the L/C Issuer has made a payment under any Letter of Credit and has received from any Revolving Credit Lender such Lender’s L/C Advance in respect of such payment in accordance with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if the Administrative Agent receives for the account of the L/C Issuer any payment in respect of the related Unreimbursed Amount or interest thereon (whether directly from the applicable L/C Party or otherwise, including proceeds of Cash Collateral applied thereto by the Administrative Agent), the Administrative Agent will distribute to such Lender its Applicable Percentage thereof in Dollars and in the same funds as those received by the Administrative Agent.</w:t>
      </w:r>
    </w:p>
    <w:p>
      <w:pPr>
        <w:spacing w:after="0" w:line="149" w:lineRule="exact"/>
        <w:rPr>
          <w:rFonts w:ascii="Times New Roman" w:cs="Times New Roman" w:eastAsia="Times New Roman" w:hAnsi="Times New Roman"/>
          <w:sz w:val="21"/>
          <w:szCs w:val="21"/>
          <w:color w:val="auto"/>
        </w:rPr>
      </w:pPr>
    </w:p>
    <w:p>
      <w:pPr>
        <w:jc w:val="both"/>
        <w:ind w:firstLine="1864"/>
        <w:spacing w:after="0" w:line="228" w:lineRule="auto"/>
        <w:tabs>
          <w:tab w:leader="none" w:pos="2342"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Administrative Agent for the account of the L/C Issuer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2.03(c)(i)</w:t>
      </w:r>
      <w:r>
        <w:rPr>
          <w:rFonts w:ascii="Times New Roman" w:cs="Times New Roman" w:eastAsia="Times New Roman" w:hAnsi="Times New Roman"/>
          <w:sz w:val="20"/>
          <w:szCs w:val="20"/>
          <w:color w:val="auto"/>
        </w:rPr>
        <w:t xml:space="preserve"> is required to be returned under any of the circumstances described in </w:t>
      </w:r>
      <w:r>
        <w:rPr>
          <w:rFonts w:ascii="Times New Roman" w:cs="Times New Roman" w:eastAsia="Times New Roman" w:hAnsi="Times New Roman"/>
          <w:sz w:val="20"/>
          <w:szCs w:val="20"/>
          <w:u w:val="single" w:color="auto"/>
          <w:color w:val="auto"/>
        </w:rPr>
        <w:t>Section 11.05</w:t>
      </w:r>
      <w:r>
        <w:rPr>
          <w:rFonts w:ascii="Times New Roman" w:cs="Times New Roman" w:eastAsia="Times New Roman" w:hAnsi="Times New Roman"/>
          <w:sz w:val="20"/>
          <w:szCs w:val="20"/>
          <w:color w:val="auto"/>
        </w:rPr>
        <w:t xml:space="preserve"> (including pursuant to any settlement entered into by the L/C Issuer in its discretion), each Revolving Credit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applicable Overnight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1240"/>
          </w:cols>
          <w:pgMar w:left="320" w:top="1342" w:right="339" w:bottom="1440" w:gutter="0" w:footer="0" w:header="0"/>
        </w:sectPr>
      </w:pPr>
    </w:p>
    <w:bookmarkStart w:id="119" w:name="page120"/>
    <w:bookmarkEnd w:id="119"/>
    <w:p>
      <w:pPr>
        <w:spacing w:after="0" w:line="236" w:lineRule="auto"/>
        <w:rPr>
          <w:sz w:val="20"/>
          <w:szCs w:val="20"/>
          <w:color w:val="auto"/>
        </w:rPr>
      </w:pPr>
      <w:r>
        <w:rPr>
          <w:rFonts w:ascii="Times New Roman" w:cs="Times New Roman" w:eastAsia="Times New Roman" w:hAnsi="Times New Roman"/>
          <w:sz w:val="21"/>
          <w:szCs w:val="21"/>
          <w:color w:val="auto"/>
        </w:rPr>
        <w:t>from time to time in effect. The obligations of the Revolving Credit Lenders under this clause shall survive the payment in full of the Obligations and the termination of this Agreement.</w:t>
      </w:r>
    </w:p>
    <w:p>
      <w:pPr>
        <w:spacing w:after="0" w:line="145" w:lineRule="exact"/>
        <w:rPr>
          <w:sz w:val="20"/>
          <w:szCs w:val="20"/>
          <w:color w:val="auto"/>
        </w:rPr>
      </w:pPr>
    </w:p>
    <w:p>
      <w:pPr>
        <w:jc w:val="both"/>
        <w:ind w:firstLine="1244"/>
        <w:spacing w:after="0" w:line="225" w:lineRule="auto"/>
        <w:tabs>
          <w:tab w:leader="none" w:pos="171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Absolute</w:t>
      </w:r>
      <w:r>
        <w:rPr>
          <w:rFonts w:ascii="Times New Roman" w:cs="Times New Roman" w:eastAsia="Times New Roman" w:hAnsi="Times New Roman"/>
          <w:sz w:val="21"/>
          <w:szCs w:val="21"/>
          <w:color w:val="auto"/>
        </w:rPr>
        <w:t>. The obligation of each L/C Party to reimburse the L/C Issuer for each drawing under each Letter of Credit issued for its account and to repay each related L/C Borrowing shall be absolute, unconditional and irrevocable, and shall be paid strictly in accordance with the terms of this Agreement under all circumstances, including the following:</w:t>
      </w:r>
    </w:p>
    <w:p>
      <w:pPr>
        <w:spacing w:after="0" w:line="147" w:lineRule="exact"/>
        <w:rPr>
          <w:rFonts w:ascii="Times New Roman" w:cs="Times New Roman" w:eastAsia="Times New Roman" w:hAnsi="Times New Roman"/>
          <w:sz w:val="21"/>
          <w:szCs w:val="21"/>
          <w:color w:val="auto"/>
        </w:rPr>
      </w:pPr>
    </w:p>
    <w:p>
      <w:pPr>
        <w:ind w:left="2260" w:hanging="396"/>
        <w:spacing w:after="0"/>
        <w:tabs>
          <w:tab w:leader="none" w:pos="226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such Letter of Credit, this Agreement, or any other Loan Document;</w:t>
      </w:r>
    </w:p>
    <w:p>
      <w:pPr>
        <w:spacing w:after="0" w:line="183" w:lineRule="exact"/>
        <w:rPr>
          <w:rFonts w:ascii="Times New Roman" w:cs="Times New Roman" w:eastAsia="Times New Roman" w:hAnsi="Times New Roman"/>
          <w:sz w:val="20"/>
          <w:szCs w:val="20"/>
          <w:color w:val="auto"/>
        </w:rPr>
      </w:pPr>
    </w:p>
    <w:p>
      <w:pPr>
        <w:jc w:val="both"/>
        <w:ind w:firstLine="1864"/>
        <w:spacing w:after="0" w:line="231" w:lineRule="auto"/>
        <w:tabs>
          <w:tab w:leader="none" w:pos="2327"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any claim, counterclaim, setoff, defense or other right that any L/C Party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48" w:lineRule="exact"/>
        <w:rPr>
          <w:rFonts w:ascii="Times New Roman" w:cs="Times New Roman" w:eastAsia="Times New Roman" w:hAnsi="Times New Roman"/>
          <w:sz w:val="20"/>
          <w:szCs w:val="20"/>
          <w:color w:val="auto"/>
        </w:rPr>
      </w:pPr>
    </w:p>
    <w:p>
      <w:pPr>
        <w:jc w:val="both"/>
        <w:ind w:firstLine="1864"/>
        <w:spacing w:after="0" w:line="225" w:lineRule="auto"/>
        <w:tabs>
          <w:tab w:leader="none" w:pos="2497"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47" w:lineRule="exact"/>
        <w:rPr>
          <w:rFonts w:ascii="Times New Roman" w:cs="Times New Roman" w:eastAsia="Times New Roman" w:hAnsi="Times New Roman"/>
          <w:sz w:val="21"/>
          <w:szCs w:val="21"/>
          <w:color w:val="auto"/>
        </w:rPr>
      </w:pPr>
    </w:p>
    <w:p>
      <w:pPr>
        <w:ind w:firstLine="1864"/>
        <w:spacing w:after="0" w:line="236" w:lineRule="auto"/>
        <w:tabs>
          <w:tab w:leader="none" w:pos="2518"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waiver by the L/C Issuer of any requirement that exists for the L/C Issuer’s protection and not the protection of any L/C Party or any waiver by the L/C Issuer which does not in fact materially prejudice any L/C Party;</w:t>
      </w:r>
    </w:p>
    <w:p>
      <w:pPr>
        <w:spacing w:after="0" w:line="144" w:lineRule="exact"/>
        <w:rPr>
          <w:rFonts w:ascii="Times New Roman" w:cs="Times New Roman" w:eastAsia="Times New Roman" w:hAnsi="Times New Roman"/>
          <w:sz w:val="21"/>
          <w:szCs w:val="21"/>
          <w:color w:val="auto"/>
        </w:rPr>
      </w:pPr>
    </w:p>
    <w:p>
      <w:pPr>
        <w:ind w:left="2340" w:hanging="476"/>
        <w:spacing w:after="0"/>
        <w:tabs>
          <w:tab w:leader="none" w:pos="234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honor of a demand for payment presented electronically even if such Letter of Credit requires that demand</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be in the form of a draft;</w:t>
      </w:r>
    </w:p>
    <w:p>
      <w:pPr>
        <w:spacing w:after="0" w:line="149" w:lineRule="exact"/>
        <w:rPr>
          <w:rFonts w:ascii="Times New Roman" w:cs="Times New Roman" w:eastAsia="Times New Roman" w:hAnsi="Times New Roman"/>
          <w:sz w:val="20"/>
          <w:szCs w:val="20"/>
          <w:color w:val="auto"/>
        </w:rPr>
      </w:pPr>
    </w:p>
    <w:p>
      <w:pPr>
        <w:jc w:val="both"/>
        <w:ind w:firstLine="1864"/>
        <w:spacing w:after="0" w:line="225" w:lineRule="auto"/>
        <w:tabs>
          <w:tab w:leader="none" w:pos="2427"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147" w:lineRule="exact"/>
        <w:rPr>
          <w:rFonts w:ascii="Times New Roman" w:cs="Times New Roman" w:eastAsia="Times New Roman" w:hAnsi="Times New Roman"/>
          <w:sz w:val="21"/>
          <w:szCs w:val="21"/>
          <w:color w:val="auto"/>
        </w:rPr>
      </w:pPr>
    </w:p>
    <w:p>
      <w:pPr>
        <w:jc w:val="both"/>
        <w:ind w:firstLine="1864"/>
        <w:spacing w:after="0" w:line="217" w:lineRule="auto"/>
        <w:tabs>
          <w:tab w:leader="none" w:pos="2423"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48" w:lineRule="exact"/>
        <w:rPr>
          <w:rFonts w:ascii="Times New Roman" w:cs="Times New Roman" w:eastAsia="Times New Roman" w:hAnsi="Times New Roman"/>
          <w:sz w:val="21"/>
          <w:szCs w:val="21"/>
          <w:color w:val="auto"/>
        </w:rPr>
      </w:pPr>
    </w:p>
    <w:p>
      <w:pPr>
        <w:ind w:firstLine="1864"/>
        <w:spacing w:after="0" w:line="236" w:lineRule="auto"/>
        <w:tabs>
          <w:tab w:leader="none" w:pos="2622"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adverse change in the relevant exchange rates or in the availability of the relevant Alternative Currency to the applicable L/C Party or any Subsidiary or in the relevant currency markets generally; or</w:t>
      </w:r>
    </w:p>
    <w:p>
      <w:pPr>
        <w:spacing w:after="0" w:line="145" w:lineRule="exact"/>
        <w:rPr>
          <w:rFonts w:ascii="Times New Roman" w:cs="Times New Roman" w:eastAsia="Times New Roman" w:hAnsi="Times New Roman"/>
          <w:sz w:val="21"/>
          <w:szCs w:val="21"/>
          <w:color w:val="auto"/>
        </w:rPr>
      </w:pPr>
    </w:p>
    <w:p>
      <w:pPr>
        <w:ind w:firstLine="1864"/>
        <w:spacing w:after="0" w:line="255" w:lineRule="auto"/>
        <w:tabs>
          <w:tab w:leader="none" w:pos="2379"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 including any other circumstance that might otherwise constitute a defense available to, or a discharge of, the L/C Parties or any Subsidiary.</w:t>
      </w:r>
    </w:p>
    <w:p>
      <w:pPr>
        <w:spacing w:after="0" w:line="13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1"/>
          <w:szCs w:val="21"/>
          <w:color w:val="auto"/>
        </w:rPr>
        <w:t>The applicable L/C Party shall promptly examine a copy of each Letter of Credit and each amendment thereto that is delivered to it and, in the event of any claim of noncompliance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ectPr>
          <w:pgSz w:w="11900" w:h="16838" w:orient="portrait"/>
          <w:cols w:equalWidth="0" w:num="1">
            <w:col w:w="11240"/>
          </w:cols>
          <w:pgMar w:left="320" w:top="1342" w:right="339" w:bottom="1440" w:gutter="0" w:footer="0" w:header="0"/>
        </w:sectPr>
      </w:pPr>
    </w:p>
    <w:bookmarkStart w:id="120" w:name="page121"/>
    <w:bookmarkEnd w:id="120"/>
    <w:p>
      <w:pPr>
        <w:jc w:val="both"/>
        <w:spacing w:after="0" w:line="225" w:lineRule="auto"/>
        <w:rPr>
          <w:sz w:val="20"/>
          <w:szCs w:val="20"/>
          <w:color w:val="auto"/>
        </w:rPr>
      </w:pPr>
      <w:r>
        <w:rPr>
          <w:rFonts w:ascii="Times New Roman" w:cs="Times New Roman" w:eastAsia="Times New Roman" w:hAnsi="Times New Roman"/>
          <w:sz w:val="21"/>
          <w:szCs w:val="21"/>
          <w:color w:val="auto"/>
        </w:rPr>
        <w:t>Toro’s instructions or other irregularity, the applicable L/C Party will immediately notify the L/C Issuer. The applicable L/C Party shall be conclusively deemed to have waived any such claim against the L/C Issuer and its correspondents unless such notice is given as aforesaid.</w:t>
      </w:r>
    </w:p>
    <w:p>
      <w:pPr>
        <w:spacing w:after="0" w:line="148" w:lineRule="exact"/>
        <w:rPr>
          <w:sz w:val="20"/>
          <w:szCs w:val="20"/>
          <w:color w:val="auto"/>
        </w:rPr>
      </w:pPr>
    </w:p>
    <w:p>
      <w:pPr>
        <w:jc w:val="both"/>
        <w:ind w:firstLine="1244"/>
        <w:spacing w:after="0" w:line="207" w:lineRule="auto"/>
        <w:tabs>
          <w:tab w:leader="none" w:pos="1692"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Role of L/C Issuer</w:t>
      </w:r>
      <w:r>
        <w:rPr>
          <w:rFonts w:ascii="Times New Roman" w:cs="Times New Roman" w:eastAsia="Times New Roman" w:hAnsi="Times New Roman"/>
          <w:sz w:val="21"/>
          <w:szCs w:val="21"/>
          <w:color w:val="auto"/>
        </w:rPr>
        <w:t xml:space="preserve">. Each Revolving Credit Lender and each L/C Party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Revolving Credit Lender for (i) any action taken or omitted in connection herewith at the request or with the approval of the Revolving Credit Lenders or the Required Revolving Lenders, as applicable; (ii) any action taken or omitted in the absence of gross negligence or willful misconduct; or (iii) the due execution, effectiveness, validity or enforceability of any document or instrument related to any Letter of Credit or Issuer Document. Each L/C Party hereby assumes all risks of the acts or omissions of any beneficiary or transferee with respect to its use of any Letter of Credit; provided, however, that this assumption is not intended to, and shall not, preclude the applicable L/C Party from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2.03(e); 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anything in such clauses to the contrary notwithstanding, the applicable L/C Party may have a claim against the L/C Issuer, and the L/C Issuer may be liable to the applicable L/C Party, to the extent, but only to the extent, of any direct, as opposed to consequential or exemplary, damages suffered by the applicable L/C Party which such L/C Party proves were caused by the L/C Issuer’s willful misconduct or gross negligence or the L/C Issuer’s willful failure to pay under any Letter of Credit issued for the account of such L/C Party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Times New Roman" w:cs="Times New Roman" w:eastAsia="Times New Roman" w:hAnsi="Times New Roman"/>
          <w:sz w:val="21"/>
          <w:szCs w:val="21"/>
          <w:b w:val="1"/>
          <w:bCs w:val="1"/>
          <w:color w:val="auto"/>
        </w:rPr>
        <w:t>SWIFT</w:t>
      </w:r>
      <w:r>
        <w:rPr>
          <w:rFonts w:ascii="Times New Roman" w:cs="Times New Roman" w:eastAsia="Times New Roman" w:hAnsi="Times New Roman"/>
          <w:sz w:val="21"/>
          <w:szCs w:val="21"/>
          <w:color w:val="auto"/>
        </w:rPr>
        <w:t>”) message or overnight courier, or any other commercially reasonable means of communicating with a beneficiary.</w:t>
      </w:r>
    </w:p>
    <w:p>
      <w:pPr>
        <w:spacing w:after="0" w:line="168" w:lineRule="exact"/>
        <w:rPr>
          <w:rFonts w:ascii="Times New Roman" w:cs="Times New Roman" w:eastAsia="Times New Roman" w:hAnsi="Times New Roman"/>
          <w:sz w:val="21"/>
          <w:szCs w:val="21"/>
          <w:color w:val="auto"/>
        </w:rPr>
      </w:pPr>
    </w:p>
    <w:p>
      <w:pPr>
        <w:jc w:val="both"/>
        <w:ind w:firstLine="1244"/>
        <w:spacing w:after="0" w:line="212" w:lineRule="auto"/>
        <w:tabs>
          <w:tab w:leader="none" w:pos="1753"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Applicability of ISP</w:t>
      </w:r>
      <w:r>
        <w:rPr>
          <w:rFonts w:ascii="Times New Roman" w:cs="Times New Roman" w:eastAsia="Times New Roman" w:hAnsi="Times New Roman"/>
          <w:sz w:val="21"/>
          <w:szCs w:val="21"/>
          <w:color w:val="auto"/>
        </w:rPr>
        <w:t>. Unless otherwise expressly agreed by the L/C Issuer and Toro or the applicable L/C Party when a Letter of Credit is issued (including any such agreement applicable to an Existing Letter of Credit), the rules of the ISP shall apply to each standby Letter of Credit. Notwithstanding the foregoing, the L/C Issuer shall not be responsible to any L/C Party for, and the L/C Issuer’s rights and remedies against such L/C Party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ectPr>
          <w:pgSz w:w="11900" w:h="16838" w:orient="portrait"/>
          <w:cols w:equalWidth="0" w:num="1">
            <w:col w:w="11240"/>
          </w:cols>
          <w:pgMar w:left="320" w:top="1342" w:right="339" w:bottom="1440" w:gutter="0" w:footer="0" w:header="0"/>
        </w:sectPr>
      </w:pPr>
    </w:p>
    <w:bookmarkStart w:id="121" w:name="page122"/>
    <w:bookmarkEnd w:id="121"/>
    <w:p>
      <w:pPr>
        <w:jc w:val="both"/>
        <w:ind w:firstLine="1244"/>
        <w:spacing w:after="0" w:line="220" w:lineRule="auto"/>
        <w:tabs>
          <w:tab w:leader="none" w:pos="1753"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xml:space="preserve">. The L/C Parties shall pay to the Administrative Agent for the account of each Revolving Credit Lender, subject to adjustment as provided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in accordance with its Applicable Percentage, in Dollars, a Letter of Credit fee (the “</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for each Letter of Credit equal to the Applicable Rate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Dollar Equivalent of the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Letter of Credit Fees shall be</w:t>
      </w:r>
    </w:p>
    <w:p>
      <w:pPr>
        <w:spacing w:after="0" w:line="1" w:lineRule="exact"/>
        <w:rPr>
          <w:rFonts w:ascii="Times New Roman" w:cs="Times New Roman" w:eastAsia="Times New Roman" w:hAnsi="Times New Roman"/>
          <w:sz w:val="20"/>
          <w:szCs w:val="20"/>
          <w:color w:val="auto"/>
        </w:rPr>
      </w:pPr>
    </w:p>
    <w:p>
      <w:pPr>
        <w:jc w:val="both"/>
        <w:ind w:firstLine="3"/>
        <w:spacing w:after="0" w:line="212" w:lineRule="auto"/>
        <w:tabs>
          <w:tab w:leader="none" w:pos="273"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while any Event of Default exists, all Letter of Credit Fees shall accrue at the Default Rate.</w:t>
      </w:r>
    </w:p>
    <w:p>
      <w:pPr>
        <w:spacing w:after="0" w:line="145" w:lineRule="exact"/>
        <w:rPr>
          <w:rFonts w:ascii="Times New Roman" w:cs="Times New Roman" w:eastAsia="Times New Roman" w:hAnsi="Times New Roman"/>
          <w:sz w:val="21"/>
          <w:szCs w:val="21"/>
          <w:color w:val="auto"/>
        </w:rPr>
      </w:pPr>
    </w:p>
    <w:p>
      <w:pPr>
        <w:jc w:val="both"/>
        <w:ind w:firstLine="1244"/>
        <w:spacing w:after="0" w:line="211" w:lineRule="auto"/>
        <w:tabs>
          <w:tab w:leader="none" w:pos="1642"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Fronting Fee and Documentary and Processing Charges Payable to L/C Issuer</w:t>
      </w:r>
      <w:r>
        <w:rPr>
          <w:rFonts w:ascii="Times New Roman" w:cs="Times New Roman" w:eastAsia="Times New Roman" w:hAnsi="Times New Roman"/>
          <w:sz w:val="21"/>
          <w:szCs w:val="21"/>
          <w:color w:val="auto"/>
        </w:rPr>
        <w:t xml:space="preserve">. The L/C Parties shall pay directly to the L/C Issuer for its own account, in Dollars, a fronting fee with respect to each Letter of Credit, at the rate per annum specified in the BofA Fee Letter, computed on the Dollar Equivalent of the daily amount available to be drawn under such Letter of Credit on a quarterly basis in arrears. Such fronting fee shall be due and payable on the first Business Day after the end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21"/>
          <w:szCs w:val="21"/>
          <w:u w:val="single" w:color="auto"/>
          <w:color w:val="auto"/>
        </w:rPr>
        <w:t>Section 1.08</w:t>
      </w:r>
      <w:r>
        <w:rPr>
          <w:rFonts w:ascii="Times New Roman" w:cs="Times New Roman" w:eastAsia="Times New Roman" w:hAnsi="Times New Roman"/>
          <w:sz w:val="21"/>
          <w:szCs w:val="21"/>
          <w:color w:val="auto"/>
        </w:rPr>
        <w:t>. In addition, the L/C Parties shall pay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45" w:lineRule="exact"/>
        <w:rPr>
          <w:rFonts w:ascii="Times New Roman" w:cs="Times New Roman" w:eastAsia="Times New Roman" w:hAnsi="Times New Roman"/>
          <w:sz w:val="21"/>
          <w:szCs w:val="21"/>
          <w:color w:val="auto"/>
        </w:rPr>
      </w:pPr>
    </w:p>
    <w:p>
      <w:pPr>
        <w:ind w:firstLine="1244"/>
        <w:spacing w:after="0" w:line="236" w:lineRule="auto"/>
        <w:tabs>
          <w:tab w:leader="none" w:pos="1668"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Conflict with Issuer Documents</w:t>
      </w:r>
      <w:r>
        <w:rPr>
          <w:rFonts w:ascii="Times New Roman" w:cs="Times New Roman" w:eastAsia="Times New Roman" w:hAnsi="Times New Roman"/>
          <w:sz w:val="21"/>
          <w:szCs w:val="21"/>
          <w:color w:val="auto"/>
        </w:rPr>
        <w:t>. In the event of any conflict between the terms hereof and the terms of any Issuer Document, the terms hereof shall control.</w:t>
      </w:r>
    </w:p>
    <w:p>
      <w:pPr>
        <w:spacing w:after="0" w:line="141"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2.04</w:t>
      </w:r>
      <w:r>
        <w:rPr>
          <w:sz w:val="20"/>
          <w:szCs w:val="20"/>
          <w:color w:val="auto"/>
        </w:rPr>
        <w:tab/>
      </w:r>
      <w:r>
        <w:rPr>
          <w:rFonts w:ascii="Times New Roman" w:cs="Times New Roman" w:eastAsia="Times New Roman" w:hAnsi="Times New Roman"/>
          <w:sz w:val="20"/>
          <w:szCs w:val="20"/>
          <w:b w:val="1"/>
          <w:bCs w:val="1"/>
          <w:color w:val="auto"/>
        </w:rPr>
        <w:t>Swing Line Loans.</w:t>
      </w:r>
    </w:p>
    <w:p>
      <w:pPr>
        <w:spacing w:after="0" w:line="176" w:lineRule="exact"/>
        <w:rPr>
          <w:sz w:val="20"/>
          <w:szCs w:val="20"/>
          <w:color w:val="auto"/>
        </w:rPr>
      </w:pPr>
    </w:p>
    <w:p>
      <w:pPr>
        <w:jc w:val="both"/>
        <w:ind w:firstLine="1244"/>
        <w:spacing w:after="0" w:line="210" w:lineRule="auto"/>
        <w:tabs>
          <w:tab w:leader="none" w:pos="1702"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The Swing Line</w:t>
      </w:r>
      <w:r>
        <w:rPr>
          <w:rFonts w:ascii="Times New Roman" w:cs="Times New Roman" w:eastAsia="Times New Roman" w:hAnsi="Times New Roman"/>
          <w:sz w:val="21"/>
          <w:szCs w:val="21"/>
          <w:color w:val="auto"/>
        </w:rPr>
        <w:t xml:space="preserve">. Subject to the terms and conditions set forth herein, the Swing Line Lender, in reliance upon the agreements of the other Lenders set forth in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may in its sole discretion, make loans in Dollars (each such loan, a “</w:t>
      </w:r>
      <w:r>
        <w:rPr>
          <w:rFonts w:ascii="Times New Roman" w:cs="Times New Roman" w:eastAsia="Times New Roman" w:hAnsi="Times New Roman"/>
          <w:sz w:val="21"/>
          <w:szCs w:val="21"/>
          <w:u w:val="single" w:color="auto"/>
          <w:color w:val="auto"/>
        </w:rPr>
        <w:t>Swing Line Loan</w:t>
      </w:r>
      <w:r>
        <w:rPr>
          <w:rFonts w:ascii="Times New Roman" w:cs="Times New Roman" w:eastAsia="Times New Roman" w:hAnsi="Times New Roman"/>
          <w:sz w:val="21"/>
          <w:szCs w:val="21"/>
          <w:color w:val="auto"/>
        </w:rPr>
        <w:t xml:space="preserve">”) to Toro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Loans and L/C Obligations of the Lender acting as Swing Line Lender, may exceed the amount of such Lender’s Revolving Credit Commitment;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after giving effect to any Swing Line Loan, (i) the Total Revolving Credit Outstandings shall not exceed the Revolving Credit Facility at such time, and (ii) the Revolving Credit Exposure of any Revolving Credit Lender shall not exceed such Lender’s Revolving Credit Commitment, (y) Toro shall not use the proceeds of any Swing Line Loan to refinance any outstanding Swing Line Loan, and (z)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Toro may borrow under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prepay under </w:t>
      </w:r>
      <w:r>
        <w:rPr>
          <w:rFonts w:ascii="Times New Roman" w:cs="Times New Roman" w:eastAsia="Times New Roman" w:hAnsi="Times New Roman"/>
          <w:sz w:val="21"/>
          <w:szCs w:val="21"/>
          <w:u w:val="single" w:color="auto"/>
          <w:color w:val="auto"/>
        </w:rPr>
        <w:t>Section 2.05</w:t>
      </w:r>
      <w:r>
        <w:rPr>
          <w:rFonts w:ascii="Times New Roman" w:cs="Times New Roman" w:eastAsia="Times New Roman" w:hAnsi="Times New Roman"/>
          <w:sz w:val="21"/>
          <w:szCs w:val="21"/>
          <w:color w:val="auto"/>
        </w:rPr>
        <w:t>, and reborrow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ectPr>
          <w:pgSz w:w="11900" w:h="16838" w:orient="portrait"/>
          <w:cols w:equalWidth="0" w:num="1">
            <w:col w:w="11240"/>
          </w:cols>
          <w:pgMar w:left="320" w:top="1342" w:right="339" w:bottom="1440" w:gutter="0" w:footer="0" w:header="0"/>
        </w:sectPr>
      </w:pPr>
    </w:p>
    <w:bookmarkStart w:id="122" w:name="page123"/>
    <w:bookmarkEnd w:id="122"/>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Each Swing Line Loan shall bear interest at (x) the Base Rate plus the Applicable Rate for Base Rate Loans or (y) such other rate quoted to Toro by the Swing Line Lender on the date any Swing Line Loan shall be requested.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times the amount of such Swing Line Loan.</w:t>
      </w:r>
    </w:p>
    <w:p>
      <w:pPr>
        <w:spacing w:after="0" w:line="149" w:lineRule="exact"/>
        <w:rPr>
          <w:sz w:val="20"/>
          <w:szCs w:val="20"/>
          <w:color w:val="auto"/>
        </w:rPr>
      </w:pPr>
    </w:p>
    <w:p>
      <w:pPr>
        <w:jc w:val="both"/>
        <w:ind w:firstLine="1244"/>
        <w:spacing w:after="0" w:line="218" w:lineRule="auto"/>
        <w:tabs>
          <w:tab w:leader="none" w:pos="1779"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 Procedures</w:t>
      </w:r>
      <w:r>
        <w:rPr>
          <w:rFonts w:ascii="Times New Roman" w:cs="Times New Roman" w:eastAsia="Times New Roman" w:hAnsi="Times New Roman"/>
          <w:sz w:val="20"/>
          <w:szCs w:val="20"/>
          <w:color w:val="auto"/>
        </w:rPr>
        <w:t xml:space="preserve">. Each Swing Line Borrowing shall be made upon the irrevocable notice by Toro to the Swing Line Lender and the Administrative Agent, which may be given by (A) telephone or (B) by a Swing Line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promptly by delivery to the Swing Line Lender and the Administrative Agent of a Swing Line Loan Notice. Each such Swing Line Loan Notice must be received by the Swing Line Lender and the Administrative Agent not later than 2:00 p.m. on the requested borrowing date, and shall specify (i) the amount to be borrowed, which shall be a minimum of $500,000, and (ii) the requested borrowing date, which shall be a Business Day.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of the contents thereof. Unless the Swing Line Lender has received notice (by telephone or in writing) from the Administrative Agent (including at the request of any Lender) prior to 3:00 p.m. on the date of the proposed Swing Line Borrowing</w:t>
      </w:r>
    </w:p>
    <w:p>
      <w:pPr>
        <w:jc w:val="both"/>
        <w:ind w:firstLine="3"/>
        <w:spacing w:after="0" w:line="213" w:lineRule="auto"/>
        <w:tabs>
          <w:tab w:leader="none" w:pos="342"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directing the Swing Line Lender not to make such Swing Line Loan as a result of the limitations set forth in the first proviso to the first sentence of </w:t>
      </w:r>
      <w:r>
        <w:rPr>
          <w:rFonts w:ascii="Times New Roman" w:cs="Times New Roman" w:eastAsia="Times New Roman" w:hAnsi="Times New Roman"/>
          <w:sz w:val="21"/>
          <w:szCs w:val="21"/>
          <w:u w:val="single" w:color="auto"/>
          <w:color w:val="auto"/>
        </w:rPr>
        <w:t>Section 2.04(a),</w:t>
      </w:r>
      <w:r>
        <w:rPr>
          <w:rFonts w:ascii="Times New Roman" w:cs="Times New Roman" w:eastAsia="Times New Roman" w:hAnsi="Times New Roman"/>
          <w:sz w:val="21"/>
          <w:szCs w:val="21"/>
          <w:color w:val="auto"/>
        </w:rPr>
        <w:t xml:space="preserve"> or (B) that one or more of the applicable conditions specified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is not then satisfied, then, subject to the terms and conditions hereof, the Swing Line Lender will, not later than 4:00 p.m. on the borrowing date specified in such Swing Line Loan Notice, make the amount of its Swing Line Loan available to Toro at its office by crediting the account of Toro on the books of the Swing Line Lender in Same Day Funds.</w:t>
      </w:r>
    </w:p>
    <w:p>
      <w:pPr>
        <w:spacing w:after="0" w:line="146" w:lineRule="exact"/>
        <w:rPr>
          <w:rFonts w:ascii="Times New Roman" w:cs="Times New Roman" w:eastAsia="Times New Roman" w:hAnsi="Times New Roman"/>
          <w:sz w:val="21"/>
          <w:szCs w:val="21"/>
          <w:color w:val="auto"/>
        </w:rPr>
      </w:pPr>
    </w:p>
    <w:p>
      <w:pPr>
        <w:ind w:left="1680" w:hanging="436"/>
        <w:spacing w:after="0"/>
        <w:tabs>
          <w:tab w:leader="none" w:pos="1680"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Refinancing of Swing Line Loans.</w:t>
      </w:r>
    </w:p>
    <w:p>
      <w:pPr>
        <w:spacing w:after="0" w:line="171" w:lineRule="exact"/>
        <w:rPr>
          <w:rFonts w:ascii="Times New Roman" w:cs="Times New Roman" w:eastAsia="Times New Roman" w:hAnsi="Times New Roman"/>
          <w:sz w:val="21"/>
          <w:szCs w:val="21"/>
          <w:color w:val="auto"/>
        </w:rPr>
      </w:pPr>
    </w:p>
    <w:p>
      <w:pPr>
        <w:jc w:val="both"/>
        <w:ind w:firstLine="1864"/>
        <w:spacing w:after="0" w:line="220" w:lineRule="auto"/>
        <w:tabs>
          <w:tab w:leader="none" w:pos="2261"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Swing Line Lender at any time in its sole and absolute discretion may request, on behalf of Toro (which hereby irrevocably authorizes the Swing Line Lender to so request on its behalf), that each Revolving Credit Lender make a Base Rate Loan in an amount equal to such Lender’s Applicable Revolving Credit Percentage of the amount of Swing Line Loans then outstanding. Such request shall be made in writing (which written request shall be deemed to be a Loan Notice for purposes hereof) and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Base Rate Loans, but subject to the unutilized portion of the Revolving Credit Facility and the conditions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xml:space="preserve">. The Swing Line Lender shall furnish Toro with a copy of the applicable Loan Notice promptly after delivering such notice to the Administrative Agent. Each Revolving Credit Lender shall make an amount equal to its Applicable Revolving Credit Percentage of the amount specified in such Loan Notice available to the Administrative Agent in Same Day Funds (and the Administrative Agent may apply Cash Collateral available with respect to the applicable Swing Line Loan) for the account of the Swing Line Lender at the Administrative Agent’s Office for Dollar-denominated payments not later than 1:00 p.m. on the day specified in such Loan Notice, whereupon, subject to </w:t>
      </w:r>
      <w:r>
        <w:rPr>
          <w:rFonts w:ascii="Times New Roman" w:cs="Times New Roman" w:eastAsia="Times New Roman" w:hAnsi="Times New Roman"/>
          <w:sz w:val="20"/>
          <w:szCs w:val="20"/>
          <w:u w:val="single" w:color="auto"/>
          <w:color w:val="auto"/>
        </w:rPr>
        <w:t>Section 2.04(c)(ii)</w:t>
      </w:r>
      <w:r>
        <w:rPr>
          <w:rFonts w:ascii="Times New Roman" w:cs="Times New Roman" w:eastAsia="Times New Roman" w:hAnsi="Times New Roman"/>
          <w:sz w:val="20"/>
          <w:szCs w:val="20"/>
          <w:color w:val="auto"/>
        </w:rPr>
        <w:t>, each Revolving Credit Lender that so makes funds available shall be deemed to have made a Base Rate Loan to Toro in such amount. The Administrative Agent shall remit the funds so received to the Swing Line Lender.</w:t>
      </w:r>
    </w:p>
    <w:p>
      <w:pPr>
        <w:spacing w:after="0" w:line="153" w:lineRule="exact"/>
        <w:rPr>
          <w:rFonts w:ascii="Times New Roman" w:cs="Times New Roman" w:eastAsia="Times New Roman" w:hAnsi="Times New Roman"/>
          <w:sz w:val="20"/>
          <w:szCs w:val="20"/>
          <w:color w:val="auto"/>
        </w:rPr>
      </w:pPr>
    </w:p>
    <w:p>
      <w:pPr>
        <w:ind w:firstLine="1864"/>
        <w:spacing w:after="0" w:line="236" w:lineRule="auto"/>
        <w:tabs>
          <w:tab w:leader="none" w:pos="2406"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for any reason any Swing Line Loan cannot be refinanced by such a Revolving Credit Borrowing in accordance with </w:t>
      </w:r>
      <w:r>
        <w:rPr>
          <w:rFonts w:ascii="Times New Roman" w:cs="Times New Roman" w:eastAsia="Times New Roman" w:hAnsi="Times New Roman"/>
          <w:sz w:val="21"/>
          <w:szCs w:val="21"/>
          <w:u w:val="single" w:color="auto"/>
          <w:color w:val="auto"/>
        </w:rPr>
        <w:t>Section 2.04(c)(i)</w:t>
      </w:r>
      <w:r>
        <w:rPr>
          <w:rFonts w:ascii="Times New Roman" w:cs="Times New Roman" w:eastAsia="Times New Roman" w:hAnsi="Times New Roman"/>
          <w:sz w:val="21"/>
          <w:szCs w:val="21"/>
          <w:color w:val="auto"/>
        </w:rPr>
        <w:t>, the request for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ectPr>
          <w:pgSz w:w="11900" w:h="16838" w:orient="portrait"/>
          <w:cols w:equalWidth="0" w:num="1">
            <w:col w:w="11240"/>
          </w:cols>
          <w:pgMar w:left="320" w:top="1342" w:right="339" w:bottom="1440" w:gutter="0" w:footer="0" w:header="0"/>
        </w:sectPr>
      </w:pPr>
    </w:p>
    <w:bookmarkStart w:id="123" w:name="page124"/>
    <w:bookmarkEnd w:id="123"/>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Rate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Times New Roman" w:cs="Times New Roman" w:eastAsia="Times New Roman" w:hAnsi="Times New Roman"/>
          <w:sz w:val="21"/>
          <w:szCs w:val="21"/>
          <w:u w:val="single" w:color="auto"/>
          <w:color w:val="auto"/>
        </w:rPr>
        <w:t>Section 2.04(c)(i)</w:t>
      </w:r>
      <w:r>
        <w:rPr>
          <w:rFonts w:ascii="Times New Roman" w:cs="Times New Roman" w:eastAsia="Times New Roman" w:hAnsi="Times New Roman"/>
          <w:sz w:val="21"/>
          <w:szCs w:val="21"/>
          <w:color w:val="auto"/>
        </w:rPr>
        <w:t xml:space="preserve"> shall be deemed payment in respect of such participation.</w:t>
      </w:r>
    </w:p>
    <w:p>
      <w:pPr>
        <w:spacing w:after="0" w:line="148" w:lineRule="exact"/>
        <w:rPr>
          <w:sz w:val="20"/>
          <w:szCs w:val="20"/>
          <w:color w:val="auto"/>
        </w:rPr>
      </w:pPr>
    </w:p>
    <w:p>
      <w:pPr>
        <w:jc w:val="both"/>
        <w:ind w:firstLine="1864"/>
        <w:spacing w:after="0" w:line="222" w:lineRule="auto"/>
        <w:tabs>
          <w:tab w:leader="none" w:pos="2407"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Credit Lender fails to make available to the Administrative Agent for the account of the Swing Line Lender any amount required to be paid by such Lender pursuant to the foregoing provisions of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Swing Line Lender shall be entitled to recover from such Revolving Credit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Lender pays such amount (with interest and fees as aforesaid), the amount so paid shall constitute such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shall be conclusive absent manifest error.</w:t>
      </w:r>
    </w:p>
    <w:p>
      <w:pPr>
        <w:spacing w:after="0" w:line="146" w:lineRule="exact"/>
        <w:rPr>
          <w:rFonts w:ascii="Times New Roman" w:cs="Times New Roman" w:eastAsia="Times New Roman" w:hAnsi="Times New Roman"/>
          <w:sz w:val="20"/>
          <w:szCs w:val="20"/>
          <w:color w:val="auto"/>
        </w:rPr>
      </w:pPr>
    </w:p>
    <w:p>
      <w:pPr>
        <w:jc w:val="both"/>
        <w:ind w:firstLine="1864"/>
        <w:spacing w:after="0" w:line="213" w:lineRule="auto"/>
        <w:tabs>
          <w:tab w:leader="none" w:pos="2404"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Revolving Credit Lender’s obligation to make Revolving Credit Loans or to purchase and fund risk participations in Swing Line Loans pursuant to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shall be absolute and unconditional and shall not be affected by any circumstance, including (A) any setoff, counterclaim, recoupment, defense or other right which such Lender may have against the Swing Line Lender, Toro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each Revolving Credit Lender’s obligation to make Revolving Credit Loans pursuant to this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xml:space="preserve"> is subject to the conditions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No such funding of risk participations shall relieve or otherwise impair the obligation of Toro to repay Swing Line Loans, together with interest as provided herein.</w:t>
      </w:r>
    </w:p>
    <w:p>
      <w:pPr>
        <w:spacing w:after="0" w:line="146" w:lineRule="exact"/>
        <w:rPr>
          <w:rFonts w:ascii="Times New Roman" w:cs="Times New Roman" w:eastAsia="Times New Roman" w:hAnsi="Times New Roman"/>
          <w:sz w:val="21"/>
          <w:szCs w:val="21"/>
          <w:color w:val="auto"/>
        </w:rPr>
      </w:pPr>
    </w:p>
    <w:p>
      <w:pPr>
        <w:ind w:left="1700" w:hanging="456"/>
        <w:spacing w:after="0"/>
        <w:tabs>
          <w:tab w:leader="none" w:pos="170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Repayment of Participations.</w:t>
      </w:r>
    </w:p>
    <w:p>
      <w:pPr>
        <w:spacing w:after="0" w:line="171" w:lineRule="exact"/>
        <w:rPr>
          <w:rFonts w:ascii="Times New Roman" w:cs="Times New Roman" w:eastAsia="Times New Roman" w:hAnsi="Times New Roman"/>
          <w:sz w:val="21"/>
          <w:szCs w:val="21"/>
          <w:color w:val="auto"/>
        </w:rPr>
      </w:pPr>
    </w:p>
    <w:p>
      <w:pPr>
        <w:jc w:val="both"/>
        <w:ind w:firstLine="1864"/>
        <w:spacing w:after="0" w:line="220" w:lineRule="auto"/>
        <w:tabs>
          <w:tab w:leader="none" w:pos="2322"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148" w:lineRule="exact"/>
        <w:rPr>
          <w:rFonts w:ascii="Times New Roman" w:cs="Times New Roman" w:eastAsia="Times New Roman" w:hAnsi="Times New Roman"/>
          <w:sz w:val="21"/>
          <w:szCs w:val="21"/>
          <w:color w:val="auto"/>
        </w:rPr>
      </w:pPr>
    </w:p>
    <w:p>
      <w:pPr>
        <w:jc w:val="both"/>
        <w:ind w:firstLine="1864"/>
        <w:spacing w:after="0" w:line="214" w:lineRule="auto"/>
        <w:tabs>
          <w:tab w:leader="none" w:pos="2381"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payment received by the Swing Line Lender in respect of principal or interest on any Swing Line Loan is required to be returned by the Swing Line Lender under any of the circumstances described in </w:t>
      </w:r>
      <w:r>
        <w:rPr>
          <w:rFonts w:ascii="Times New Roman" w:cs="Times New Roman" w:eastAsia="Times New Roman" w:hAnsi="Times New Roman"/>
          <w:sz w:val="21"/>
          <w:szCs w:val="21"/>
          <w:u w:val="single" w:color="auto"/>
          <w:color w:val="auto"/>
        </w:rPr>
        <w:t>Section 11.05</w:t>
      </w:r>
      <w:r>
        <w:rPr>
          <w:rFonts w:ascii="Times New Roman" w:cs="Times New Roman" w:eastAsia="Times New Roman" w:hAnsi="Times New Roman"/>
          <w:sz w:val="21"/>
          <w:szCs w:val="21"/>
          <w:color w:val="auto"/>
        </w:rPr>
        <w:t xml:space="preserve"> (including pursuant to any settlement entered into by the Swing Line Lender in its discretion), each Revolving Credit Lender shall pay to the Swing Line Lender its Applicable Revolving Credit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spacing w:after="0" w:line="146" w:lineRule="exact"/>
        <w:rPr>
          <w:rFonts w:ascii="Times New Roman" w:cs="Times New Roman" w:eastAsia="Times New Roman" w:hAnsi="Times New Roman"/>
          <w:sz w:val="21"/>
          <w:szCs w:val="21"/>
          <w:color w:val="auto"/>
        </w:rPr>
      </w:pPr>
    </w:p>
    <w:p>
      <w:pPr>
        <w:ind w:firstLine="1244"/>
        <w:spacing w:after="0" w:line="236" w:lineRule="auto"/>
        <w:tabs>
          <w:tab w:leader="none" w:pos="1754"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Interest for Account of Swing Line Lender</w:t>
      </w:r>
      <w:r>
        <w:rPr>
          <w:rFonts w:ascii="Times New Roman" w:cs="Times New Roman" w:eastAsia="Times New Roman" w:hAnsi="Times New Roman"/>
          <w:sz w:val="21"/>
          <w:szCs w:val="21"/>
          <w:color w:val="auto"/>
        </w:rPr>
        <w:t>. The Swing Line Lender shall be responsible for invoicing Toro for interest on the Swing Line Loans. Until each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1240"/>
          </w:cols>
          <w:pgMar w:left="320" w:top="1342" w:right="339" w:bottom="1440" w:gutter="0" w:footer="0" w:header="0"/>
        </w:sectPr>
      </w:pPr>
    </w:p>
    <w:bookmarkStart w:id="124" w:name="page125"/>
    <w:bookmarkEnd w:id="124"/>
    <w:p>
      <w:pPr>
        <w:jc w:val="both"/>
        <w:spacing w:after="0" w:line="225" w:lineRule="auto"/>
        <w:rPr>
          <w:sz w:val="20"/>
          <w:szCs w:val="20"/>
          <w:color w:val="auto"/>
        </w:rPr>
      </w:pPr>
      <w:r>
        <w:rPr>
          <w:rFonts w:ascii="Times New Roman" w:cs="Times New Roman" w:eastAsia="Times New Roman" w:hAnsi="Times New Roman"/>
          <w:sz w:val="21"/>
          <w:szCs w:val="21"/>
          <w:color w:val="auto"/>
        </w:rPr>
        <w:t xml:space="preserve">Credit Lender funds its Base Rate Loan or risk participation pursuant to this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148" w:lineRule="exact"/>
        <w:rPr>
          <w:sz w:val="20"/>
          <w:szCs w:val="20"/>
          <w:color w:val="auto"/>
        </w:rPr>
      </w:pPr>
    </w:p>
    <w:p>
      <w:pPr>
        <w:ind w:firstLine="1244"/>
        <w:spacing w:after="0" w:line="236" w:lineRule="auto"/>
        <w:tabs>
          <w:tab w:leader="none" w:pos="1692"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Directly to Swing Line Lender</w:t>
      </w:r>
      <w:r>
        <w:rPr>
          <w:rFonts w:ascii="Times New Roman" w:cs="Times New Roman" w:eastAsia="Times New Roman" w:hAnsi="Times New Roman"/>
          <w:sz w:val="21"/>
          <w:szCs w:val="21"/>
          <w:color w:val="auto"/>
        </w:rPr>
        <w:t>. Toro shall make all payments of principal and interest in respect of the Swing Line Loans directly to the Swing Line Lender.</w:t>
      </w:r>
    </w:p>
    <w:p>
      <w:pPr>
        <w:spacing w:after="0" w:line="141"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2.05</w:t>
      </w:r>
      <w:r>
        <w:rPr>
          <w:sz w:val="20"/>
          <w:szCs w:val="20"/>
          <w:color w:val="auto"/>
        </w:rPr>
        <w:tab/>
      </w:r>
      <w:r>
        <w:rPr>
          <w:rFonts w:ascii="Times New Roman" w:cs="Times New Roman" w:eastAsia="Times New Roman" w:hAnsi="Times New Roman"/>
          <w:sz w:val="20"/>
          <w:szCs w:val="20"/>
          <w:b w:val="1"/>
          <w:bCs w:val="1"/>
          <w:color w:val="auto"/>
        </w:rPr>
        <w:t>Prepayments</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1680" w:hanging="436"/>
        <w:spacing w:after="0"/>
        <w:tabs>
          <w:tab w:leader="none" w:pos="1680"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Optional</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firstLine="1864"/>
        <w:spacing w:after="0" w:line="223" w:lineRule="auto"/>
        <w:tabs>
          <w:tab w:leader="none" w:pos="2307" w:val="left"/>
        </w:tabs>
        <w:numPr>
          <w:ilvl w:val="2"/>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may, upon notice from Toro to the Administrative Agent, at any time or from time to time voluntarily prepay Term Loans and Revolving Credit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notice must be in a form acceptable to the Administrative Agent and be received by the Administrative Agent not later than 12:00 noon</w:t>
      </w:r>
    </w:p>
    <w:p>
      <w:pPr>
        <w:spacing w:after="0" w:line="1" w:lineRule="exact"/>
        <w:rPr>
          <w:rFonts w:ascii="Times New Roman" w:cs="Times New Roman" w:eastAsia="Times New Roman" w:hAnsi="Times New Roman"/>
          <w:sz w:val="20"/>
          <w:szCs w:val="20"/>
          <w:color w:val="auto"/>
        </w:rPr>
      </w:pPr>
    </w:p>
    <w:p>
      <w:pPr>
        <w:jc w:val="both"/>
        <w:ind w:firstLine="3"/>
        <w:spacing w:after="0" w:line="207" w:lineRule="auto"/>
        <w:tabs>
          <w:tab w:leader="none" w:pos="34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two (2) Business Days prior to any date of prepayment of Term SOFR Loans, (B) four (4) Business Days (or five (5), in the case of prepayment of Loans denominated in Special Notice Currencies) prior to any date of prepayment of any Alternative Currency Loans, and (C) on the date of prepayment of Base Rate Loans; (ii) any prepayment of Term SOFR Loans shall be in a principal amount of $5,000,000 or a whole multiple of $1,000,000 in excess thereof; (iii) any prepayment of Alternative Currency Loans shall be in a minimum principal Dollar Equivalent amount of $5,000,000 or a whole multiple of $1,000,000 in excess thereof; and (iv)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Alternative Currency Term Rate Loans or Term SOFR Loans are to be prepaid, the Interest Period(s) of such Loans. The Administrative Agent will promptly notify each Lender of its receipt of each such notice, and of the amount of such Lender’s ratable portion of such prepayment (based on such Lender’s Applicable Percentage). Once such notice is given by Toro, the applicable Borrower shall make such prepayment and the payment amount specified in such notice shall be due and payable on the date specified therein. Any prepayment of a Loan shall be accompanied by all accrued interest on the amount prepaid, together with, in the case of any Term SOFR Loan and any Alternative Currency Loan, any additional amounts required pursuant to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xml:space="preserve"> Each prepayment of the outstanding Term Loans pursuant to this </w:t>
      </w:r>
      <w:r>
        <w:rPr>
          <w:rFonts w:ascii="Times New Roman" w:cs="Times New Roman" w:eastAsia="Times New Roman" w:hAnsi="Times New Roman"/>
          <w:sz w:val="21"/>
          <w:szCs w:val="21"/>
          <w:u w:val="single" w:color="auto"/>
          <w:color w:val="auto"/>
        </w:rPr>
        <w:t>Section 2.05(a)</w:t>
      </w:r>
      <w:r>
        <w:rPr>
          <w:rFonts w:ascii="Times New Roman" w:cs="Times New Roman" w:eastAsia="Times New Roman" w:hAnsi="Times New Roman"/>
          <w:sz w:val="21"/>
          <w:szCs w:val="21"/>
          <w:color w:val="auto"/>
        </w:rPr>
        <w:t xml:space="preserve"> shall be applied to the principal repayment installments of the Term Facility in inverse order of maturity, and subject to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each such prepayment shall be paid to the Lenders in accordance with their respective Applicable Percentages in respect of each of the relevant Facilities.</w:t>
      </w:r>
    </w:p>
    <w:p>
      <w:pPr>
        <w:spacing w:after="0" w:line="158" w:lineRule="exact"/>
        <w:rPr>
          <w:rFonts w:ascii="Times New Roman" w:cs="Times New Roman" w:eastAsia="Times New Roman" w:hAnsi="Times New Roman"/>
          <w:sz w:val="21"/>
          <w:szCs w:val="21"/>
          <w:color w:val="auto"/>
        </w:rPr>
      </w:pPr>
    </w:p>
    <w:p>
      <w:pPr>
        <w:jc w:val="both"/>
        <w:ind w:firstLine="1864"/>
        <w:spacing w:after="0" w:line="215" w:lineRule="auto"/>
        <w:tabs>
          <w:tab w:leader="none" w:pos="2339" w:val="left"/>
        </w:tabs>
        <w:numPr>
          <w:ilvl w:val="2"/>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Toro may, upon notice to the Swing Line Lender (with a copy to the Administrative Agent), at any time or from time to time, voluntarily prepay Swing Line Loans in whole or in part without premium or penalty; provided that (i) such notice must be received by the Swing Line Lender and the Administrative Agent not later than 2:00 p.m. on the date of the prepayment, and (ii) any such prepayment shall be in a minimum principal amount of $100,000. Each such notice shall specify the date and amount of such prepayment. Once such notice is given by Toro, Toro shall make such prepayment and the payment amount specified in such notice shall be due and payable on the date specified therein.</w:t>
      </w:r>
    </w:p>
    <w:p>
      <w:pPr>
        <w:spacing w:after="0" w:line="149" w:lineRule="exact"/>
        <w:rPr>
          <w:rFonts w:ascii="Times New Roman" w:cs="Times New Roman" w:eastAsia="Times New Roman" w:hAnsi="Times New Roman"/>
          <w:sz w:val="21"/>
          <w:szCs w:val="21"/>
          <w:color w:val="auto"/>
        </w:rPr>
      </w:pPr>
    </w:p>
    <w:p>
      <w:pPr>
        <w:jc w:val="both"/>
        <w:ind w:firstLine="1244"/>
        <w:spacing w:after="0" w:line="220" w:lineRule="auto"/>
        <w:tabs>
          <w:tab w:leader="none" w:pos="1727" w:val="left"/>
        </w:tabs>
        <w:numPr>
          <w:ilvl w:val="1"/>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Mandatory</w:t>
      </w:r>
      <w:r>
        <w:rPr>
          <w:rFonts w:ascii="Times New Roman" w:cs="Times New Roman" w:eastAsia="Times New Roman" w:hAnsi="Times New Roman"/>
          <w:sz w:val="21"/>
          <w:szCs w:val="21"/>
          <w:color w:val="auto"/>
        </w:rPr>
        <w:t>. If the Administrative Agent notifies Toro at any time that the Total Revolving Credit Outstandings at such time exceed an amount equal to 105% of the Revolving Credit Facility then in effect, then, within two (2) Business Days after receipt of such notice, the Borrowers shall prepay Revolving Credit Loans and/or Toro shall Cash Collateralize the L/C Obligations in an aggregate amount sufficient to reduce such Total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ectPr>
          <w:pgSz w:w="11900" w:h="16838" w:orient="portrait"/>
          <w:cols w:equalWidth="0" w:num="1">
            <w:col w:w="11240"/>
          </w:cols>
          <w:pgMar w:left="320" w:top="1342" w:right="339" w:bottom="1440" w:gutter="0" w:footer="0" w:header="0"/>
        </w:sectPr>
      </w:pPr>
    </w:p>
    <w:bookmarkStart w:id="125" w:name="page126"/>
    <w:bookmarkEnd w:id="125"/>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Outstandings as of such date of payment to an amount not to exceed the Revolving Credit Facility then in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subject to the provisions of </w:t>
      </w:r>
      <w:r>
        <w:rPr>
          <w:rFonts w:ascii="Times New Roman" w:cs="Times New Roman" w:eastAsia="Times New Roman" w:hAnsi="Times New Roman"/>
          <w:sz w:val="21"/>
          <w:szCs w:val="21"/>
          <w:u w:val="single" w:color="auto"/>
          <w:color w:val="auto"/>
        </w:rPr>
        <w:t>Section 2.15(a)(ii)</w:t>
      </w:r>
      <w:r>
        <w:rPr>
          <w:rFonts w:ascii="Times New Roman" w:cs="Times New Roman" w:eastAsia="Times New Roman" w:hAnsi="Times New Roman"/>
          <w:sz w:val="21"/>
          <w:szCs w:val="21"/>
          <w:color w:val="auto"/>
        </w:rPr>
        <w:t xml:space="preserve">, Toro shall not be required to Cash Collateralize the L/C Obligations pursuant to this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xml:space="preserve"> unless after the prepayment in full of the Revolving Credit Loans the Total Revolving Credit Outstandings exceed the Revolving Credit Facility then in effect. The Administrative Agent may, at any time and from time to time after the initial deposit of such Cash Collateral, request that additional Cash Collateral be provided in order to protect against the results of further exchange rate fluctuations.</w:t>
      </w:r>
    </w:p>
    <w:p>
      <w:pPr>
        <w:spacing w:after="0" w:line="145"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b w:val="1"/>
          <w:bCs w:val="1"/>
          <w:color w:val="auto"/>
        </w:rPr>
        <w:t>2.06</w:t>
      </w:r>
      <w:r>
        <w:rPr>
          <w:sz w:val="20"/>
          <w:szCs w:val="20"/>
          <w:color w:val="auto"/>
        </w:rPr>
        <w:tab/>
      </w:r>
      <w:r>
        <w:rPr>
          <w:rFonts w:ascii="Times New Roman" w:cs="Times New Roman" w:eastAsia="Times New Roman" w:hAnsi="Times New Roman"/>
          <w:sz w:val="20"/>
          <w:szCs w:val="20"/>
          <w:b w:val="1"/>
          <w:bCs w:val="1"/>
          <w:color w:val="auto"/>
        </w:rPr>
        <w:t>Termination or Reduction of Commitments.</w:t>
      </w:r>
    </w:p>
    <w:p>
      <w:pPr>
        <w:spacing w:after="0" w:line="176" w:lineRule="exact"/>
        <w:rPr>
          <w:sz w:val="20"/>
          <w:szCs w:val="20"/>
          <w:color w:val="auto"/>
        </w:rPr>
      </w:pPr>
    </w:p>
    <w:p>
      <w:pPr>
        <w:jc w:val="both"/>
        <w:ind w:firstLine="1244"/>
        <w:spacing w:after="0" w:line="209" w:lineRule="auto"/>
        <w:tabs>
          <w:tab w:leader="none" w:pos="1728"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Optional</w:t>
      </w:r>
      <w:r>
        <w:rPr>
          <w:rFonts w:ascii="Times New Roman" w:cs="Times New Roman" w:eastAsia="Times New Roman" w:hAnsi="Times New Roman"/>
          <w:sz w:val="21"/>
          <w:szCs w:val="21"/>
          <w:color w:val="auto"/>
        </w:rPr>
        <w:t xml:space="preserve">. The Borrowers may, upon notice by Toro to the Administrative Agent, terminate the Revolving Credit Facility, the Letter of Credit Sublimit or the Swing Line Sublimit, or from time to time permanently reduce the Revolving Credit Facility, the Letter of Credit Sublimit or the Swing Line Sublimit;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any such notice shall be received by the Administrative Agent not later than 12:00 noon five (5) Business Days prior to the date of termination or reduction, (ii) any such partial reduction shall be in an aggregate amount of $10,000,000 or any whole multiple of $1,000,000 in excess thereof, and (iii) the Borrowers shall not terminate or reduce (A) the Revolving Credit Facility if, after giving effect thereto and to any concurrent prepayments hereunder, the Total Revolving Credit Outstandings would exceed the Revolving Credit Facility, (B) the Letter of Credit Sublimit if, after giving effect thereto, the Outstanding Amount of L/C Obligations not fully Cash Collateralized hereunder would exceed the Letter of Credit Sublimit, or (C) the Swing Line Sublimit if, after giving effect thereto and to any concurrent prepayments hereunder, the Outstanding Amount of Swing Line Loans would exceed the Swing Line Sublimit. The Administrative Agent will promptly notify the Lenders of any such notice of termination or reduction of the Revolving Credit Facility. The amount of any such Revolving Credit Facility reduction shall not be applied to the Letter of Credit Sublimit unless otherwise specified by Toro. Any reduction of the Revolving Credit Facility shall be applied to the Revolving Credit Commitment of each Revolving Credit Lender according to its Applicable Percentage. All fees accrued until the effective date of any termination of the Revolving Credit Facility shall be paid on the effective date of such termination.</w:t>
      </w:r>
    </w:p>
    <w:p>
      <w:pPr>
        <w:spacing w:after="0" w:line="153" w:lineRule="exact"/>
        <w:rPr>
          <w:rFonts w:ascii="Times New Roman" w:cs="Times New Roman" w:eastAsia="Times New Roman" w:hAnsi="Times New Roman"/>
          <w:sz w:val="21"/>
          <w:szCs w:val="21"/>
          <w:color w:val="auto"/>
        </w:rPr>
      </w:pPr>
    </w:p>
    <w:p>
      <w:pPr>
        <w:ind w:firstLine="1244"/>
        <w:spacing w:after="0" w:line="236" w:lineRule="auto"/>
        <w:tabs>
          <w:tab w:leader="none" w:pos="174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Mandatory</w:t>
      </w:r>
      <w:r>
        <w:rPr>
          <w:rFonts w:ascii="Times New Roman" w:cs="Times New Roman" w:eastAsia="Times New Roman" w:hAnsi="Times New Roman"/>
          <w:sz w:val="21"/>
          <w:szCs w:val="21"/>
          <w:color w:val="auto"/>
        </w:rPr>
        <w:t>. The aggregate Term Commitments shall be automatically and permanently reduced to zero upon the Term Borrowing on the Closing Date.</w:t>
      </w:r>
    </w:p>
    <w:p>
      <w:pPr>
        <w:spacing w:after="0" w:line="145" w:lineRule="exact"/>
        <w:rPr>
          <w:rFonts w:ascii="Times New Roman" w:cs="Times New Roman" w:eastAsia="Times New Roman" w:hAnsi="Times New Roman"/>
          <w:sz w:val="21"/>
          <w:szCs w:val="21"/>
          <w:color w:val="auto"/>
        </w:rPr>
      </w:pPr>
    </w:p>
    <w:p>
      <w:pPr>
        <w:jc w:val="both"/>
        <w:ind w:firstLine="1244"/>
        <w:spacing w:after="0" w:line="215" w:lineRule="auto"/>
        <w:tabs>
          <w:tab w:leader="none" w:pos="178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Application of Commitment Reductions; Payment of Fees</w:t>
      </w:r>
      <w:r>
        <w:rPr>
          <w:rFonts w:ascii="Times New Roman" w:cs="Times New Roman" w:eastAsia="Times New Roman" w:hAnsi="Times New Roman"/>
          <w:sz w:val="21"/>
          <w:szCs w:val="21"/>
          <w:color w:val="auto"/>
        </w:rPr>
        <w:t xml:space="preserve">. The Administrative Agent will promptly notify the Lenders of any termination or reduction of the Letter of Credit Sublimit, Swing Line Sublimit or the Revolving Credit Commitment under this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Upon any reduction of the Revolving Credit Commitments, the Revolving Credit Commitment of each Revolving Credit Lender shall be reduced by such Lender’s Applicable Revolving Credit Percentage of such reduction amount. All fees in respect of the Revolving Credit Facility accrued until the effective date of any termination of the Revolving Credit Facility shall be paid on the effective date of such termination.</w:t>
      </w:r>
    </w:p>
    <w:p>
      <w:pPr>
        <w:spacing w:after="0" w:line="145"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2.07</w:t>
      </w:r>
      <w:r>
        <w:rPr>
          <w:sz w:val="20"/>
          <w:szCs w:val="20"/>
          <w:color w:val="auto"/>
        </w:rPr>
        <w:tab/>
      </w:r>
      <w:r>
        <w:rPr>
          <w:rFonts w:ascii="Times New Roman" w:cs="Times New Roman" w:eastAsia="Times New Roman" w:hAnsi="Times New Roman"/>
          <w:sz w:val="20"/>
          <w:szCs w:val="20"/>
          <w:b w:val="1"/>
          <w:bCs w:val="1"/>
          <w:color w:val="auto"/>
        </w:rPr>
        <w:t>Repayment of Loans.</w:t>
      </w:r>
    </w:p>
    <w:p>
      <w:pPr>
        <w:spacing w:after="0" w:line="176" w:lineRule="exact"/>
        <w:rPr>
          <w:sz w:val="20"/>
          <w:szCs w:val="20"/>
          <w:color w:val="auto"/>
        </w:rPr>
      </w:pPr>
    </w:p>
    <w:p>
      <w:pPr>
        <w:jc w:val="both"/>
        <w:ind w:firstLine="1244"/>
        <w:spacing w:after="0" w:line="225" w:lineRule="auto"/>
        <w:tabs>
          <w:tab w:leader="none" w:pos="1715"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 Loans</w:t>
      </w:r>
      <w:r>
        <w:rPr>
          <w:rFonts w:ascii="Times New Roman" w:cs="Times New Roman" w:eastAsia="Times New Roman" w:hAnsi="Times New Roman"/>
          <w:sz w:val="21"/>
          <w:szCs w:val="21"/>
          <w:color w:val="auto"/>
        </w:rPr>
        <w:t xml:space="preserve">. Toro shall repay to the Term Lenders the aggregate principal amount of all Term Loans outstanding on the following dates in the respective amounts set forth opposite such dates (which amounts shall be reduced as a result of the application of prepayments in accordance with the order of priority set forth in </w:t>
      </w:r>
      <w:r>
        <w:rPr>
          <w:rFonts w:ascii="Times New Roman" w:cs="Times New Roman" w:eastAsia="Times New Roman" w:hAnsi="Times New Roman"/>
          <w:sz w:val="21"/>
          <w:szCs w:val="21"/>
          <w:u w:val="single" w:color="auto"/>
          <w:color w:val="auto"/>
        </w:rPr>
        <w:t>Section 2.05):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ectPr>
          <w:pgSz w:w="11900" w:h="16838" w:orient="portrait"/>
          <w:cols w:equalWidth="0" w:num="1">
            <w:col w:w="11240"/>
          </w:cols>
          <w:pgMar w:left="320" w:top="1342" w:right="339" w:bottom="1440" w:gutter="0" w:footer="0" w:header="0"/>
        </w:sectPr>
      </w:pPr>
    </w:p>
    <w:bookmarkStart w:id="126" w:name="page127"/>
    <w:bookmarkEnd w:id="126"/>
    <w:tbl>
      <w:tblPr>
        <w:tblLayout w:type="fixed"/>
        <w:tblInd w:w="1530" w:type="dxa"/>
        <w:tblCellMar>
          <w:top w:w="0" w:type="dxa"/>
          <w:left w:w="0" w:type="dxa"/>
          <w:bottom w:w="0" w:type="dxa"/>
          <w:right w:w="0" w:type="dxa"/>
        </w:tblCellMar>
      </w:tblPr>
      <w:tr>
        <w:trPr>
          <w:trHeight w:val="271"/>
        </w:trPr>
        <w:tc>
          <w:tcPr>
            <w:tcW w:w="328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b w:val="1"/>
                <w:bCs w:val="1"/>
                <w:color w:val="auto"/>
              </w:rPr>
              <w:t>Date</w:t>
            </w:r>
          </w:p>
        </w:tc>
        <w:tc>
          <w:tcPr>
            <w:tcW w:w="280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b w:val="1"/>
                <w:bCs w:val="1"/>
                <w:color w:val="auto"/>
              </w:rPr>
              <w:t>Amount</w:t>
            </w:r>
          </w:p>
        </w:tc>
      </w:tr>
      <w:tr>
        <w:trPr>
          <w:trHeight w:val="251"/>
        </w:trPr>
        <w:tc>
          <w:tcPr>
            <w:tcW w:w="32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December 31, 2024</w:t>
            </w:r>
          </w:p>
        </w:tc>
        <w:tc>
          <w:tcPr>
            <w:tcW w:w="2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$6,750,000.00</w:t>
            </w:r>
          </w:p>
        </w:tc>
      </w:tr>
      <w:tr>
        <w:trPr>
          <w:trHeight w:val="251"/>
        </w:trPr>
        <w:tc>
          <w:tcPr>
            <w:tcW w:w="32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March 31, 2025</w:t>
            </w:r>
          </w:p>
        </w:tc>
        <w:tc>
          <w:tcPr>
            <w:tcW w:w="2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$6,750,000.00</w:t>
            </w:r>
          </w:p>
        </w:tc>
      </w:tr>
      <w:tr>
        <w:trPr>
          <w:trHeight w:val="251"/>
        </w:trPr>
        <w:tc>
          <w:tcPr>
            <w:tcW w:w="32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June 30, 2025</w:t>
            </w:r>
          </w:p>
        </w:tc>
        <w:tc>
          <w:tcPr>
            <w:tcW w:w="2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$6,750,000.00</w:t>
            </w:r>
          </w:p>
        </w:tc>
      </w:tr>
      <w:tr>
        <w:trPr>
          <w:trHeight w:val="251"/>
        </w:trPr>
        <w:tc>
          <w:tcPr>
            <w:tcW w:w="32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September 30, 2025</w:t>
            </w:r>
          </w:p>
        </w:tc>
        <w:tc>
          <w:tcPr>
            <w:tcW w:w="2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$6,750,000.00</w:t>
            </w:r>
          </w:p>
        </w:tc>
      </w:tr>
      <w:tr>
        <w:trPr>
          <w:trHeight w:val="251"/>
        </w:trPr>
        <w:tc>
          <w:tcPr>
            <w:tcW w:w="32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December 31, 2025</w:t>
            </w:r>
          </w:p>
        </w:tc>
        <w:tc>
          <w:tcPr>
            <w:tcW w:w="2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$6,750,000.00</w:t>
            </w:r>
          </w:p>
        </w:tc>
      </w:tr>
      <w:tr>
        <w:trPr>
          <w:trHeight w:val="251"/>
        </w:trPr>
        <w:tc>
          <w:tcPr>
            <w:tcW w:w="32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March 31, 2026</w:t>
            </w:r>
          </w:p>
        </w:tc>
        <w:tc>
          <w:tcPr>
            <w:tcW w:w="2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$6,750,000.00</w:t>
            </w:r>
          </w:p>
        </w:tc>
      </w:tr>
      <w:tr>
        <w:trPr>
          <w:trHeight w:val="251"/>
        </w:trPr>
        <w:tc>
          <w:tcPr>
            <w:tcW w:w="32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June 30, 2026</w:t>
            </w:r>
          </w:p>
        </w:tc>
        <w:tc>
          <w:tcPr>
            <w:tcW w:w="2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$6,750,000.00</w:t>
            </w:r>
          </w:p>
        </w:tc>
      </w:tr>
      <w:tr>
        <w:trPr>
          <w:trHeight w:val="251"/>
        </w:trPr>
        <w:tc>
          <w:tcPr>
            <w:tcW w:w="32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September 30, 2026</w:t>
            </w:r>
          </w:p>
        </w:tc>
        <w:tc>
          <w:tcPr>
            <w:tcW w:w="2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$6,750,000.00</w:t>
            </w:r>
          </w:p>
        </w:tc>
      </w:tr>
    </w:tbl>
    <w:p>
      <w:pPr>
        <w:spacing w:after="0" w:line="200" w:lineRule="exact"/>
        <w:rPr>
          <w:sz w:val="20"/>
          <w:szCs w:val="20"/>
          <w:color w:val="auto"/>
        </w:rPr>
      </w:pPr>
    </w:p>
    <w:p>
      <w:pPr>
        <w:spacing w:after="0" w:line="2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final principal repayment installment of the Term Loans shall be repaid on the Maturity Date for the Term Facility and in any event shall be in an amount equal to the aggregate principal amount of all Term Loans outstanding on such date.</w:t>
      </w:r>
    </w:p>
    <w:p>
      <w:pPr>
        <w:spacing w:after="0" w:line="132" w:lineRule="exact"/>
        <w:rPr>
          <w:sz w:val="20"/>
          <w:szCs w:val="20"/>
          <w:color w:val="auto"/>
        </w:rPr>
      </w:pPr>
    </w:p>
    <w:p>
      <w:pPr>
        <w:ind w:firstLine="1244"/>
        <w:spacing w:after="0" w:line="236" w:lineRule="auto"/>
        <w:tabs>
          <w:tab w:leader="none" w:pos="171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Revolving Credit Loans</w:t>
      </w:r>
      <w:r>
        <w:rPr>
          <w:rFonts w:ascii="Times New Roman" w:cs="Times New Roman" w:eastAsia="Times New Roman" w:hAnsi="Times New Roman"/>
          <w:sz w:val="21"/>
          <w:szCs w:val="21"/>
          <w:color w:val="auto"/>
        </w:rPr>
        <w:t>. Each Borrower shall repay to the Revolving Credit Lenders on the Maturity Date for the Revolving Credit Facility the aggregate principal amount of all Revolving Credit Loans outstanding on such date.</w:t>
      </w:r>
    </w:p>
    <w:p>
      <w:pPr>
        <w:spacing w:after="0" w:line="145" w:lineRule="exact"/>
        <w:rPr>
          <w:rFonts w:ascii="Times New Roman" w:cs="Times New Roman" w:eastAsia="Times New Roman" w:hAnsi="Times New Roman"/>
          <w:sz w:val="21"/>
          <w:szCs w:val="21"/>
          <w:color w:val="auto"/>
        </w:rPr>
      </w:pPr>
    </w:p>
    <w:p>
      <w:pPr>
        <w:ind w:firstLine="1244"/>
        <w:spacing w:after="0" w:line="236" w:lineRule="auto"/>
        <w:tabs>
          <w:tab w:leader="none" w:pos="170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Swing Line Loans</w:t>
      </w:r>
      <w:r>
        <w:rPr>
          <w:rFonts w:ascii="Times New Roman" w:cs="Times New Roman" w:eastAsia="Times New Roman" w:hAnsi="Times New Roman"/>
          <w:sz w:val="21"/>
          <w:szCs w:val="21"/>
          <w:color w:val="auto"/>
        </w:rPr>
        <w:t>. Toro shall repay each Swing Line Loan on the earlier to occur of (i) the Maturity Date and (ii) the date of demand by the Swing Line Lender.</w:t>
      </w:r>
    </w:p>
    <w:p>
      <w:pPr>
        <w:spacing w:after="0" w:line="141"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2.08</w:t>
      </w:r>
      <w:r>
        <w:rPr>
          <w:sz w:val="20"/>
          <w:szCs w:val="20"/>
          <w:color w:val="auto"/>
        </w:rPr>
        <w:tab/>
      </w:r>
      <w:r>
        <w:rPr>
          <w:rFonts w:ascii="Times New Roman" w:cs="Times New Roman" w:eastAsia="Times New Roman" w:hAnsi="Times New Roman"/>
          <w:sz w:val="20"/>
          <w:szCs w:val="20"/>
          <w:b w:val="1"/>
          <w:bCs w:val="1"/>
          <w:color w:val="auto"/>
        </w:rPr>
        <w:t>Interest</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1244"/>
        <w:spacing w:after="0" w:line="219" w:lineRule="auto"/>
        <w:tabs>
          <w:tab w:leader="none" w:pos="170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provisions of </w:t>
      </w:r>
      <w:r>
        <w:rPr>
          <w:rFonts w:ascii="Times New Roman" w:cs="Times New Roman" w:eastAsia="Times New Roman" w:hAnsi="Times New Roman"/>
          <w:sz w:val="20"/>
          <w:szCs w:val="20"/>
          <w:u w:val="single" w:color="auto"/>
          <w:color w:val="auto"/>
        </w:rPr>
        <w:t>subsection (b)</w:t>
      </w:r>
      <w:r>
        <w:rPr>
          <w:rFonts w:ascii="Times New Roman" w:cs="Times New Roman" w:eastAsia="Times New Roman" w:hAnsi="Times New Roman"/>
          <w:sz w:val="20"/>
          <w:szCs w:val="20"/>
          <w:color w:val="auto"/>
        </w:rPr>
        <w:t xml:space="preserve"> below, (i) each Term SOFR Loan under a Facility shall bear interest on the outstanding principal amount thereof for each Interest Period at a rate per annum equal to Term SOFR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for such Facility; (ii) each Base Rate Loan under a Facility shall bear interest on the outstanding principal amount thereof from the applicable borrowing date at a rate per annum equal to the Base Rate plus the Applicable Rate for such Facility; (iii) each Alternative Currency Daily Rate Loan under the Revolving Credit Facility shall bear interest on the outstanding principal amount thereof from the applicable borrowing date at a rate per annum equal to the Alternative Currency Daily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3" w:lineRule="exact"/>
        <w:rPr>
          <w:rFonts w:ascii="Times New Roman" w:cs="Times New Roman" w:eastAsia="Times New Roman" w:hAnsi="Times New Roman"/>
          <w:sz w:val="20"/>
          <w:szCs w:val="20"/>
          <w:color w:val="auto"/>
        </w:rPr>
      </w:pPr>
    </w:p>
    <w:p>
      <w:pPr>
        <w:jc w:val="both"/>
        <w:ind w:firstLine="3"/>
        <w:spacing w:after="0" w:line="213" w:lineRule="auto"/>
        <w:tabs>
          <w:tab w:leader="none" w:pos="375"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Alternative Currency Term Rate Loan under the Revolving Credit Facility shall bear interest on the outstanding principal amount thereof for each Interest Period at a rate per annum equal to the Alternative Currency Term Rate for such Interest Period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Rate; and (v) each Swing Line Loan shall bear interest on the outstanding principal amount thereof from the applicable borrowing date at a rate per annum equal to (x) the Base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Rate for the Revolving Credit Facility or the rate quoted to Toro by the Swing Line Lender on the date any Swing Line Loan shall be requested.</w:t>
      </w:r>
    </w:p>
    <w:p>
      <w:pPr>
        <w:spacing w:after="0" w:line="147"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Notwithstanding anything else herein, if at any time any Applicable Reference Rate or the Successor Rate as so determined would otherwise be less than zero percent, such interest rate will be deemed to be zero percent for purposes of this Agreement and the other Loan Documents.</w:t>
      </w:r>
    </w:p>
    <w:p>
      <w:pPr>
        <w:spacing w:after="0" w:line="148" w:lineRule="exact"/>
        <w:rPr>
          <w:sz w:val="20"/>
          <w:szCs w:val="20"/>
          <w:color w:val="auto"/>
        </w:rPr>
      </w:pPr>
    </w:p>
    <w:p>
      <w:pPr>
        <w:jc w:val="both"/>
        <w:ind w:firstLine="1244"/>
        <w:spacing w:after="0" w:line="225" w:lineRule="auto"/>
        <w:tabs>
          <w:tab w:leader="none" w:pos="1702"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ectPr>
          <w:pgSz w:w="11900" w:h="16838" w:orient="portrait"/>
          <w:cols w:equalWidth="0" w:num="1">
            <w:col w:w="11240"/>
          </w:cols>
          <w:pgMar w:left="320" w:top="1386" w:right="339" w:bottom="1440" w:gutter="0" w:footer="0" w:header="0"/>
        </w:sectPr>
      </w:pPr>
    </w:p>
    <w:bookmarkStart w:id="127" w:name="page128"/>
    <w:bookmarkEnd w:id="127"/>
    <w:p>
      <w:pPr>
        <w:jc w:val="both"/>
        <w:ind w:firstLine="1864"/>
        <w:spacing w:after="0" w:line="220" w:lineRule="auto"/>
        <w:tabs>
          <w:tab w:leader="none" w:pos="2376"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48" w:lineRule="exact"/>
        <w:rPr>
          <w:rFonts w:ascii="Times New Roman" w:cs="Times New Roman" w:eastAsia="Times New Roman" w:hAnsi="Times New Roman"/>
          <w:sz w:val="21"/>
          <w:szCs w:val="21"/>
          <w:color w:val="auto"/>
        </w:rPr>
      </w:pPr>
    </w:p>
    <w:p>
      <w:pPr>
        <w:jc w:val="both"/>
        <w:ind w:firstLine="1864"/>
        <w:spacing w:after="0" w:line="225" w:lineRule="auto"/>
        <w:tabs>
          <w:tab w:leader="none" w:pos="2468"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request of the Required Lenders, while any Event of Default exists, the Borrowers shall pay interest on the principal amount of all outstanding Obligations at a fluctuating interest rate per annum at all times equal to the Default Rate to the fullest extent permitted by Applicable Laws.</w:t>
      </w:r>
    </w:p>
    <w:p>
      <w:pPr>
        <w:spacing w:after="0" w:line="146" w:lineRule="exact"/>
        <w:rPr>
          <w:rFonts w:ascii="Times New Roman" w:cs="Times New Roman" w:eastAsia="Times New Roman" w:hAnsi="Times New Roman"/>
          <w:sz w:val="21"/>
          <w:szCs w:val="21"/>
          <w:color w:val="auto"/>
        </w:rPr>
      </w:pPr>
    </w:p>
    <w:p>
      <w:pPr>
        <w:ind w:left="2380" w:hanging="516"/>
        <w:spacing w:after="0"/>
        <w:tabs>
          <w:tab w:leader="none" w:pos="2380"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payable upon demand.</w:t>
      </w:r>
    </w:p>
    <w:p>
      <w:pPr>
        <w:spacing w:after="0" w:line="149" w:lineRule="exact"/>
        <w:rPr>
          <w:rFonts w:ascii="Times New Roman" w:cs="Times New Roman" w:eastAsia="Times New Roman" w:hAnsi="Times New Roman"/>
          <w:sz w:val="20"/>
          <w:szCs w:val="20"/>
          <w:color w:val="auto"/>
        </w:rPr>
      </w:pPr>
    </w:p>
    <w:p>
      <w:pPr>
        <w:jc w:val="both"/>
        <w:ind w:firstLine="1244"/>
        <w:spacing w:after="0" w:line="225" w:lineRule="auto"/>
        <w:tabs>
          <w:tab w:leader="none" w:pos="1713"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47" w:lineRule="exact"/>
        <w:rPr>
          <w:rFonts w:ascii="Times New Roman" w:cs="Times New Roman" w:eastAsia="Times New Roman" w:hAnsi="Times New Roman"/>
          <w:sz w:val="21"/>
          <w:szCs w:val="21"/>
          <w:color w:val="auto"/>
        </w:rPr>
      </w:pPr>
    </w:p>
    <w:p>
      <w:pPr>
        <w:jc w:val="both"/>
        <w:ind w:firstLine="1244"/>
        <w:spacing w:after="0" w:line="226" w:lineRule="auto"/>
        <w:tabs>
          <w:tab w:leader="none" w:pos="182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the Interest Act (Canada) with respect to any credit extension denominated in Canadian Dollars,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44"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2.09</w:t>
      </w:r>
      <w:r>
        <w:rPr>
          <w:sz w:val="20"/>
          <w:szCs w:val="20"/>
          <w:color w:val="auto"/>
        </w:rPr>
        <w:tab/>
      </w:r>
      <w:r>
        <w:rPr>
          <w:rFonts w:ascii="Times New Roman" w:cs="Times New Roman" w:eastAsia="Times New Roman" w:hAnsi="Times New Roman"/>
          <w:sz w:val="20"/>
          <w:szCs w:val="20"/>
          <w:b w:val="1"/>
          <w:bCs w:val="1"/>
          <w:color w:val="auto"/>
        </w:rPr>
        <w:t>Fees</w:t>
      </w:r>
      <w:r>
        <w:rPr>
          <w:rFonts w:ascii="Times New Roman" w:cs="Times New Roman" w:eastAsia="Times New Roman" w:hAnsi="Times New Roman"/>
          <w:sz w:val="20"/>
          <w:szCs w:val="20"/>
          <w:color w:val="auto"/>
        </w:rPr>
        <w:t>. In addition to certain fees described in subsections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1244"/>
        <w:spacing w:after="0" w:line="211" w:lineRule="auto"/>
        <w:tabs>
          <w:tab w:leader="none" w:pos="1676"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Facility Fee</w:t>
      </w:r>
      <w:r>
        <w:rPr>
          <w:rFonts w:ascii="Times New Roman" w:cs="Times New Roman" w:eastAsia="Times New Roman" w:hAnsi="Times New Roman"/>
          <w:sz w:val="21"/>
          <w:szCs w:val="21"/>
          <w:color w:val="auto"/>
        </w:rPr>
        <w:t>. The Borrowers shall pay to the Administrative Agent for the account of each Revolving Credit Lender in accordance with its Applicable Percentage, a facility fee (the “</w:t>
      </w:r>
      <w:r>
        <w:rPr>
          <w:rFonts w:ascii="Times New Roman" w:cs="Times New Roman" w:eastAsia="Times New Roman" w:hAnsi="Times New Roman"/>
          <w:sz w:val="21"/>
          <w:szCs w:val="21"/>
          <w:u w:val="single" w:color="auto"/>
          <w:color w:val="auto"/>
        </w:rPr>
        <w:t>Facility Fee</w:t>
      </w:r>
      <w:r>
        <w:rPr>
          <w:rFonts w:ascii="Times New Roman" w:cs="Times New Roman" w:eastAsia="Times New Roman" w:hAnsi="Times New Roman"/>
          <w:sz w:val="21"/>
          <w:szCs w:val="21"/>
          <w:color w:val="auto"/>
        </w:rPr>
        <w:t xml:space="preserve">”) in Dollars equal to the Applicable Rate times the actual daily amount of the Revolving Credit Facility (or, if the Revolving Credit Facility has terminated, on the Outstanding Amount of all Revolving Credit Loans, Swing Line Loans and L/C Obligations), regardless of usage, subject to adjustment as provided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The Facility Fee shall accrue at all times during the Availability Period (and thereafter so long as any Revolving Credit Loans, Swing Line Loans or L/C Obligations remain outstanding), including at any time during which one or more of the conditions in </w:t>
      </w:r>
      <w:r>
        <w:rPr>
          <w:rFonts w:ascii="Times New Roman" w:cs="Times New Roman" w:eastAsia="Times New Roman" w:hAnsi="Times New Roman"/>
          <w:sz w:val="21"/>
          <w:szCs w:val="21"/>
          <w:u w:val="single" w:color="auto"/>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45" w:lineRule="exact"/>
        <w:rPr>
          <w:rFonts w:ascii="Times New Roman" w:cs="Times New Roman" w:eastAsia="Times New Roman" w:hAnsi="Times New Roman"/>
          <w:sz w:val="21"/>
          <w:szCs w:val="21"/>
          <w:color w:val="auto"/>
        </w:rPr>
      </w:pPr>
    </w:p>
    <w:p>
      <w:pPr>
        <w:jc w:val="both"/>
        <w:ind w:firstLine="1244"/>
        <w:spacing w:after="0" w:line="225" w:lineRule="auto"/>
        <w:tabs>
          <w:tab w:leader="none" w:pos="171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Fees</w:t>
      </w:r>
      <w:r>
        <w:rPr>
          <w:rFonts w:ascii="Times New Roman" w:cs="Times New Roman" w:eastAsia="Times New Roman" w:hAnsi="Times New Roman"/>
          <w:sz w:val="21"/>
          <w:szCs w:val="21"/>
          <w:color w:val="auto"/>
        </w:rPr>
        <w:t>. (i) Toro shall pay to the Arrangers and the Administrative Agent for their own respective accounts, in Dollars, fees in the amounts and at the times specified in the Fee Letters. Such fees shall be fully earned when paid and shall not be refundable for any reason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ectPr>
          <w:pgSz w:w="11900" w:h="16838" w:orient="portrait"/>
          <w:cols w:equalWidth="0" w:num="1">
            <w:col w:w="11240"/>
          </w:cols>
          <w:pgMar w:left="320" w:top="1342" w:right="339" w:bottom="1440" w:gutter="0" w:footer="0" w:header="0"/>
        </w:sectPr>
      </w:pPr>
    </w:p>
    <w:bookmarkStart w:id="128" w:name="page129"/>
    <w:bookmarkEnd w:id="128"/>
    <w:p>
      <w:pPr>
        <w:jc w:val="both"/>
        <w:ind w:firstLine="1864"/>
        <w:spacing w:after="0" w:line="225" w:lineRule="auto"/>
        <w:tabs>
          <w:tab w:leader="none" w:pos="2339"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Toro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44" w:lineRule="exact"/>
        <w:rPr>
          <w:sz w:val="20"/>
          <w:szCs w:val="20"/>
          <w:color w:val="auto"/>
        </w:rPr>
      </w:pPr>
    </w:p>
    <w:p>
      <w:pPr>
        <w:jc w:val="both"/>
        <w:ind w:firstLine="620"/>
        <w:spacing w:after="0" w:line="223" w:lineRule="auto"/>
        <w:rPr>
          <w:sz w:val="20"/>
          <w:szCs w:val="20"/>
          <w:color w:val="auto"/>
        </w:rPr>
      </w:pPr>
      <w:r>
        <w:rPr>
          <w:rFonts w:ascii="Times New Roman" w:cs="Times New Roman" w:eastAsia="Times New Roman" w:hAnsi="Times New Roman"/>
          <w:sz w:val="20"/>
          <w:szCs w:val="20"/>
          <w:b w:val="1"/>
          <w:bCs w:val="1"/>
          <w:color w:val="auto"/>
        </w:rPr>
        <w:t xml:space="preserve">2.10 Computation of Interest and Fees; Retroactive Adjustments of Applicable Rate. </w:t>
      </w:r>
      <w:r>
        <w:rPr>
          <w:rFonts w:ascii="Times New Roman" w:cs="Times New Roman" w:eastAsia="Times New Roman" w:hAnsi="Times New Roman"/>
          <w:sz w:val="20"/>
          <w:szCs w:val="20"/>
          <w:color w:val="auto"/>
        </w:rPr>
        <w:t>(a) All computations of interest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Base Rate Loans (including Base Rate Loans determined by reference to Term SOFR)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 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bear interest for one day. Each determination by the Administrative Agent of an interest rate or fee hereunder shall be conclusive and binding for all purposes, absent manifest error.</w:t>
      </w:r>
    </w:p>
    <w:p>
      <w:pPr>
        <w:spacing w:after="0" w:line="148" w:lineRule="exact"/>
        <w:rPr>
          <w:sz w:val="20"/>
          <w:szCs w:val="20"/>
          <w:color w:val="auto"/>
        </w:rPr>
      </w:pPr>
    </w:p>
    <w:p>
      <w:pPr>
        <w:jc w:val="both"/>
        <w:ind w:firstLine="1244"/>
        <w:spacing w:after="0" w:line="211" w:lineRule="auto"/>
        <w:tabs>
          <w:tab w:leader="none" w:pos="1688"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as a result of any restatement of or other adjustment to the financial statements of the Borrowers or for any other reason, the Borrowers or the Lenders determine that (i) the Leverage Ratio as calculated by the Borrowers as of any applicable date was inaccurate and (ii) a proper calculation of the Leverage Ratio would have resulted in higher pricing for such period, each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paragraph shall not limit the rights of the Administrative Agent, any Lender or the L/C Issuer, as the case may be, under </w:t>
      </w:r>
      <w:r>
        <w:rPr>
          <w:rFonts w:ascii="Times New Roman" w:cs="Times New Roman" w:eastAsia="Times New Roman" w:hAnsi="Times New Roman"/>
          <w:sz w:val="21"/>
          <w:szCs w:val="21"/>
          <w:u w:val="single" w:color="auto"/>
          <w:color w:val="auto"/>
        </w:rPr>
        <w:t>Section 2.03(c)(iii)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2.03(h)</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2.08(b)</w:t>
      </w:r>
      <w:r>
        <w:rPr>
          <w:rFonts w:ascii="Times New Roman" w:cs="Times New Roman" w:eastAsia="Times New Roman" w:hAnsi="Times New Roman"/>
          <w:sz w:val="21"/>
          <w:szCs w:val="21"/>
          <w:color w:val="auto"/>
        </w:rPr>
        <w:t xml:space="preserve"> or under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The Borrower’s obligations under this paragraph shall survive the termination of the Aggregate Commitments and the repayment of all other Obligations hereunder.</w:t>
      </w:r>
    </w:p>
    <w:p>
      <w:pPr>
        <w:spacing w:after="0" w:line="142" w:lineRule="exact"/>
        <w:rPr>
          <w:sz w:val="20"/>
          <w:szCs w:val="20"/>
          <w:color w:val="auto"/>
        </w:rPr>
      </w:pPr>
    </w:p>
    <w:p>
      <w:pPr>
        <w:jc w:val="both"/>
        <w:ind w:firstLine="620"/>
        <w:spacing w:after="0" w:line="211" w:lineRule="auto"/>
        <w:rPr>
          <w:sz w:val="20"/>
          <w:szCs w:val="20"/>
          <w:color w:val="auto"/>
        </w:rPr>
      </w:pPr>
      <w:r>
        <w:rPr>
          <w:rFonts w:ascii="Times New Roman" w:cs="Times New Roman" w:eastAsia="Times New Roman" w:hAnsi="Times New Roman"/>
          <w:sz w:val="21"/>
          <w:szCs w:val="21"/>
          <w:b w:val="1"/>
          <w:bCs w:val="1"/>
          <w:color w:val="auto"/>
        </w:rPr>
        <w:t>2.11 Evidence of Debt</w:t>
      </w:r>
      <w:r>
        <w:rPr>
          <w:rFonts w:ascii="Times New Roman" w:cs="Times New Roman" w:eastAsia="Times New Roman" w:hAnsi="Times New Roman"/>
          <w:sz w:val="21"/>
          <w:szCs w:val="21"/>
          <w:color w:val="auto"/>
        </w:rPr>
        <w:t>. (a) The Credit Extensions made by each Lender shall be evidenced by one or more accounts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50" w:lineRule="exact"/>
        <w:rPr>
          <w:sz w:val="20"/>
          <w:szCs w:val="20"/>
          <w:color w:val="auto"/>
        </w:rPr>
      </w:pPr>
    </w:p>
    <w:p>
      <w:pPr>
        <w:jc w:val="both"/>
        <w:ind w:firstLine="1244"/>
        <w:spacing w:after="0" w:line="225" w:lineRule="auto"/>
        <w:tabs>
          <w:tab w:leader="none" w:pos="1762"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addition to the accounts and records referred to in </w:t>
      </w:r>
      <w:r>
        <w:rPr>
          <w:rFonts w:ascii="Times New Roman" w:cs="Times New Roman" w:eastAsia="Times New Roman" w:hAnsi="Times New Roman"/>
          <w:sz w:val="21"/>
          <w:szCs w:val="21"/>
          <w:u w:val="single" w:color="auto"/>
          <w:color w:val="auto"/>
        </w:rPr>
        <w:t>subsection (a)</w:t>
      </w:r>
      <w:r>
        <w:rPr>
          <w:rFonts w:ascii="Times New Roman" w:cs="Times New Roman" w:eastAsia="Times New Roman" w:hAnsi="Times New Roman"/>
          <w:sz w:val="21"/>
          <w:szCs w:val="21"/>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ectPr>
          <w:pgSz w:w="11900" w:h="16838" w:orient="portrait"/>
          <w:cols w:equalWidth="0" w:num="1">
            <w:col w:w="11240"/>
          </w:cols>
          <w:pgMar w:left="320" w:top="1342" w:right="339" w:bottom="1440" w:gutter="0" w:footer="0" w:header="0"/>
        </w:sectPr>
      </w:pPr>
    </w:p>
    <w:bookmarkStart w:id="129" w:name="page130"/>
    <w:bookmarkEnd w:id="129"/>
    <w:p>
      <w:pPr>
        <w:jc w:val="both"/>
        <w:spacing w:after="0" w:line="236" w:lineRule="auto"/>
        <w:rPr>
          <w:sz w:val="20"/>
          <w:szCs w:val="20"/>
          <w:color w:val="auto"/>
        </w:rPr>
      </w:pPr>
      <w:r>
        <w:rPr>
          <w:rFonts w:ascii="Times New Roman" w:cs="Times New Roman" w:eastAsia="Times New Roman" w:hAnsi="Times New Roman"/>
          <w:sz w:val="21"/>
          <w:szCs w:val="21"/>
          <w:color w:val="auto"/>
        </w:rPr>
        <w:t>records maintained by the Administrative Agent and the accounts and records of any Lender in respect of such matters, the accounts and records of the Administrative Agent shall control in the absence of manifest error.</w:t>
      </w:r>
    </w:p>
    <w:p>
      <w:pPr>
        <w:spacing w:after="0" w:line="141" w:lineRule="exact"/>
        <w:rPr>
          <w:sz w:val="20"/>
          <w:szCs w:val="20"/>
          <w:color w:val="auto"/>
        </w:rPr>
      </w:pPr>
    </w:p>
    <w:p>
      <w:pPr>
        <w:jc w:val="both"/>
        <w:ind w:firstLine="620"/>
        <w:spacing w:after="0" w:line="219" w:lineRule="auto"/>
        <w:rPr>
          <w:sz w:val="20"/>
          <w:szCs w:val="20"/>
          <w:color w:val="auto"/>
        </w:rPr>
      </w:pPr>
      <w:r>
        <w:rPr>
          <w:rFonts w:ascii="Times New Roman" w:cs="Times New Roman" w:eastAsia="Times New Roman" w:hAnsi="Times New Roman"/>
          <w:sz w:val="20"/>
          <w:szCs w:val="20"/>
          <w:b w:val="1"/>
          <w:bCs w:val="1"/>
          <w:color w:val="auto"/>
        </w:rPr>
        <w:t>2.12 Payments Generally; Administrative Agent’s Clawback</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All payments to be made by the Borrowers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made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3:00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(as determined by the Administrative Agent) of the Alternative Currency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3:00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51" w:lineRule="exact"/>
        <w:rPr>
          <w:sz w:val="20"/>
          <w:szCs w:val="20"/>
          <w:color w:val="auto"/>
        </w:rPr>
      </w:pPr>
    </w:p>
    <w:p>
      <w:pPr>
        <w:jc w:val="both"/>
        <w:ind w:firstLine="1244"/>
        <w:spacing w:after="0" w:line="209" w:lineRule="auto"/>
        <w:tabs>
          <w:tab w:leader="none" w:pos="1792"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w:t>
      </w:r>
      <w:r>
        <w:rPr>
          <w:rFonts w:ascii="Times New Roman" w:cs="Times New Roman" w:eastAsia="Times New Roman" w:hAnsi="Times New Roman"/>
          <w:sz w:val="21"/>
          <w:szCs w:val="21"/>
          <w:u w:val="single" w:color="auto"/>
          <w:color w:val="auto"/>
        </w:rPr>
        <w:t>Funding by Lenders; Presumption by Administrative Agent</w:t>
      </w:r>
      <w:r>
        <w:rPr>
          <w:rFonts w:ascii="Times New Roman" w:cs="Times New Roman" w:eastAsia="Times New Roman" w:hAnsi="Times New Roman"/>
          <w:sz w:val="21"/>
          <w:szCs w:val="21"/>
          <w:color w:val="auto"/>
        </w:rPr>
        <w:t xml:space="preserve">. Unless the Administrative Agent shall have received notice from a Lender prior to the proposed date of any Borrowing of Term SOFR Loans, Alternative Currency Term Rate Loans or Alternative Currency Daily Rate Loans (or, in the case of any Borrowing of Base Rate Loans, prior to 1:00 p.m.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(or, in the case of a Borrowing of Base Rate Loans, that such Lender has made such share available in accordance with and at the time required by </w:t>
      </w:r>
      <w:r>
        <w:rPr>
          <w:rFonts w:ascii="Times New Roman" w:cs="Times New Roman" w:eastAsia="Times New Roman" w:hAnsi="Times New Roman"/>
          <w:sz w:val="21"/>
          <w:szCs w:val="21"/>
          <w:u w:val="single" w:color="auto"/>
          <w:color w:val="auto"/>
        </w:rPr>
        <w:t>Section 2.02</w:t>
      </w:r>
      <w:r>
        <w:rPr>
          <w:rFonts w:ascii="Times New Roman" w:cs="Times New Roman" w:eastAsia="Times New Roman" w:hAnsi="Times New Roman"/>
          <w:sz w:val="21"/>
          <w:szCs w:val="21"/>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60</w:t>
      </w:r>
    </w:p>
    <w:p>
      <w:pPr>
        <w:sectPr>
          <w:pgSz w:w="11900" w:h="16838" w:orient="portrait"/>
          <w:cols w:equalWidth="0" w:num="1">
            <w:col w:w="11240"/>
          </w:cols>
          <w:pgMar w:left="320" w:top="1342" w:right="339" w:bottom="1440" w:gutter="0" w:footer="0" w:header="0"/>
        </w:sectPr>
      </w:pPr>
    </w:p>
    <w:bookmarkStart w:id="130" w:name="page131"/>
    <w:bookmarkEnd w:id="130"/>
    <w:p>
      <w:pPr>
        <w:jc w:val="both"/>
        <w:spacing w:after="0" w:line="225" w:lineRule="auto"/>
        <w:rPr>
          <w:sz w:val="20"/>
          <w:szCs w:val="20"/>
          <w:color w:val="auto"/>
        </w:rPr>
      </w:pPr>
      <w:r>
        <w:rPr>
          <w:rFonts w:ascii="Times New Roman" w:cs="Times New Roman" w:eastAsia="Times New Roman" w:hAnsi="Times New Roman"/>
          <w:sz w:val="21"/>
          <w:szCs w:val="21"/>
          <w:color w:val="auto"/>
        </w:rPr>
        <w:t>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48" w:lineRule="exact"/>
        <w:rPr>
          <w:sz w:val="20"/>
          <w:szCs w:val="20"/>
          <w:color w:val="auto"/>
        </w:rPr>
      </w:pPr>
    </w:p>
    <w:p>
      <w:pPr>
        <w:jc w:val="both"/>
        <w:ind w:firstLine="1864"/>
        <w:spacing w:after="0" w:line="215" w:lineRule="auto"/>
        <w:tabs>
          <w:tab w:leader="none" w:pos="232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by Borrowers; Presumptions by Administrative Agent</w:t>
      </w:r>
      <w:r>
        <w:rPr>
          <w:rFonts w:ascii="Times New Roman" w:cs="Times New Roman" w:eastAsia="Times New Roman" w:hAnsi="Times New Roman"/>
          <w:sz w:val="21"/>
          <w:szCs w:val="21"/>
          <w:color w:val="auto"/>
        </w:rPr>
        <w:t>. With respect to any payment that is due to the Administrative Agent for the account of the Lenders or the L/C Issuer hereunder, unless the Administrative Agent shall have received notice from a Borrower prior to the date on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w:t>
      </w:r>
    </w:p>
    <w:p>
      <w:pPr>
        <w:spacing w:after="0" w:line="149" w:lineRule="exact"/>
        <w:rPr>
          <w:sz w:val="20"/>
          <w:szCs w:val="20"/>
          <w:color w:val="auto"/>
        </w:rPr>
      </w:pPr>
    </w:p>
    <w:p>
      <w:pPr>
        <w:jc w:val="both"/>
        <w:ind w:firstLine="620"/>
        <w:spacing w:after="0" w:line="222" w:lineRule="auto"/>
        <w:rPr>
          <w:sz w:val="20"/>
          <w:szCs w:val="20"/>
          <w:color w:val="auto"/>
        </w:rPr>
      </w:pPr>
      <w:r>
        <w:rPr>
          <w:rFonts w:ascii="Times New Roman" w:cs="Times New Roman" w:eastAsia="Times New Roman" w:hAnsi="Times New Roman"/>
          <w:sz w:val="20"/>
          <w:szCs w:val="20"/>
          <w:color w:val="auto"/>
        </w:rPr>
        <w:t>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(1) the applicable Borrower has not in fact made such payment; (2) the Administrative Agent has made a payment in excess of the amount so paid by the applicable Borrower (whether or not then owed); or (3) the Administrative Agent has for any reason otherwise erroneously made such payment; then each of the Lenders or the L/C Issuer, as the case may be, severally agrees to repay to the Administrative Agent forthwith on demand the Rescindable Amount so distributed to such Lender or the L/C Issuer,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A notice of the Administrative Agent to any Lender or any Borrower with respect to any amount owing under this </w:t>
      </w:r>
      <w:r>
        <w:rPr>
          <w:rFonts w:ascii="Times New Roman" w:cs="Times New Roman" w:eastAsia="Times New Roman" w:hAnsi="Times New Roman"/>
          <w:sz w:val="21"/>
          <w:szCs w:val="21"/>
          <w:u w:val="single" w:color="auto"/>
          <w:color w:val="auto"/>
        </w:rPr>
        <w:t>subsection</w:t>
      </w:r>
    </w:p>
    <w:p>
      <w:pPr>
        <w:ind w:left="300" w:hanging="297"/>
        <w:spacing w:after="0"/>
        <w:tabs>
          <w:tab w:leader="none" w:pos="300" w:val="left"/>
        </w:tabs>
        <w:numPr>
          <w:ilvl w:val="0"/>
          <w:numId w:val="9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shall be conclusive, absent manifest error.</w:t>
      </w:r>
    </w:p>
    <w:p>
      <w:pPr>
        <w:spacing w:after="0" w:line="149" w:lineRule="exact"/>
        <w:rPr>
          <w:rFonts w:ascii="Times New Roman" w:cs="Times New Roman" w:eastAsia="Times New Roman" w:hAnsi="Times New Roman"/>
          <w:sz w:val="21"/>
          <w:szCs w:val="21"/>
          <w:u w:val="single" w:color="auto"/>
          <w:color w:val="auto"/>
        </w:rPr>
      </w:pPr>
    </w:p>
    <w:p>
      <w:pPr>
        <w:jc w:val="both"/>
        <w:ind w:firstLine="1244"/>
        <w:spacing w:after="0" w:line="217" w:lineRule="auto"/>
        <w:tabs>
          <w:tab w:leader="none" w:pos="1702"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Failure to Satisfy Conditions Precedent</w:t>
      </w:r>
      <w:r>
        <w:rPr>
          <w:rFonts w:ascii="Times New Roman" w:cs="Times New Roman" w:eastAsia="Times New Roman" w:hAnsi="Times New Roman"/>
          <w:sz w:val="21"/>
          <w:szCs w:val="21"/>
          <w:color w:val="auto"/>
        </w:rPr>
        <w:t xml:space="preserve">. If any Lender makes available to the Administrative Agent funds for any Loan to be made by such Lender to any Borrower as provided in the foregoing provisions of this </w:t>
      </w:r>
      <w:r>
        <w:rPr>
          <w:rFonts w:ascii="Times New Roman" w:cs="Times New Roman" w:eastAsia="Times New Roman" w:hAnsi="Times New Roman"/>
          <w:sz w:val="21"/>
          <w:szCs w:val="21"/>
          <w:u w:val="single" w:color="auto"/>
          <w:color w:val="auto"/>
        </w:rPr>
        <w:t>Article II</w:t>
      </w:r>
      <w:r>
        <w:rPr>
          <w:rFonts w:ascii="Times New Roman" w:cs="Times New Roman" w:eastAsia="Times New Roman" w:hAnsi="Times New Roman"/>
          <w:sz w:val="21"/>
          <w:szCs w:val="21"/>
          <w:color w:val="auto"/>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21"/>
          <w:szCs w:val="21"/>
          <w:u w:val="single" w:color="auto"/>
          <w:color w:val="auto"/>
        </w:rPr>
        <w:t>Article IV</w:t>
      </w:r>
      <w:r>
        <w:rPr>
          <w:rFonts w:ascii="Times New Roman" w:cs="Times New Roman" w:eastAsia="Times New Roman" w:hAnsi="Times New Roman"/>
          <w:sz w:val="21"/>
          <w:szCs w:val="21"/>
          <w:color w:val="auto"/>
        </w:rPr>
        <w:t xml:space="preserve"> are not satisfied or waived in accordance with the terms hereof, the Administrative Agent shall return such funds (in like funds as received from such Lender) to such Lender, without interest.</w:t>
      </w:r>
    </w:p>
    <w:p>
      <w:pPr>
        <w:spacing w:after="0" w:line="148" w:lineRule="exact"/>
        <w:rPr>
          <w:rFonts w:ascii="Times New Roman" w:cs="Times New Roman" w:eastAsia="Times New Roman" w:hAnsi="Times New Roman"/>
          <w:sz w:val="21"/>
          <w:szCs w:val="21"/>
          <w:color w:val="auto"/>
        </w:rPr>
      </w:pPr>
    </w:p>
    <w:p>
      <w:pPr>
        <w:jc w:val="both"/>
        <w:ind w:firstLine="1244"/>
        <w:spacing w:after="0" w:line="215" w:lineRule="auto"/>
        <w:tabs>
          <w:tab w:leader="none" w:pos="1779"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Obligations of Lenders Several</w:t>
      </w:r>
      <w:r>
        <w:rPr>
          <w:rFonts w:ascii="Times New Roman" w:cs="Times New Roman" w:eastAsia="Times New Roman" w:hAnsi="Times New Roman"/>
          <w:sz w:val="21"/>
          <w:szCs w:val="21"/>
          <w:color w:val="auto"/>
        </w:rPr>
        <w:t xml:space="preserve">. The obligations of the Lenders hereunder to make Term Loans and Revolving Credit Loans, to fund participations in Letters of Credit and Swing Line Loans and to make payments pursuant to </w:t>
      </w:r>
      <w:r>
        <w:rPr>
          <w:rFonts w:ascii="Times New Roman" w:cs="Times New Roman" w:eastAsia="Times New Roman" w:hAnsi="Times New Roman"/>
          <w:sz w:val="21"/>
          <w:szCs w:val="21"/>
          <w:u w:val="single" w:color="auto"/>
          <w:color w:val="auto"/>
        </w:rPr>
        <w:t>Section 11.04(c)</w:t>
      </w:r>
      <w:r>
        <w:rPr>
          <w:rFonts w:ascii="Times New Roman" w:cs="Times New Roman" w:eastAsia="Times New Roman" w:hAnsi="Times New Roman"/>
          <w:sz w:val="21"/>
          <w:szCs w:val="21"/>
          <w:color w:val="auto"/>
        </w:rPr>
        <w:t xml:space="preserve"> are several and not joint. The failure of any Lender to make any Loan, to fund any such participation or to make any payment under </w:t>
      </w:r>
      <w:r>
        <w:rPr>
          <w:rFonts w:ascii="Times New Roman" w:cs="Times New Roman" w:eastAsia="Times New Roman" w:hAnsi="Times New Roman"/>
          <w:sz w:val="21"/>
          <w:szCs w:val="21"/>
          <w:u w:val="single" w:color="auto"/>
          <w:color w:val="auto"/>
        </w:rPr>
        <w:t>Section 11.04(c)</w:t>
      </w:r>
      <w:r>
        <w:rPr>
          <w:rFonts w:ascii="Times New Roman" w:cs="Times New Roman" w:eastAsia="Times New Roman" w:hAnsi="Times New Roman"/>
          <w:sz w:val="21"/>
          <w:szCs w:val="21"/>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1"/>
          <w:szCs w:val="21"/>
          <w:u w:val="single" w:color="auto"/>
          <w:color w:val="auto"/>
        </w:rPr>
        <w:t>Section 11.04(c)</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jc w:val="both"/>
        <w:ind w:firstLine="1244"/>
        <w:spacing w:after="0" w:line="225" w:lineRule="auto"/>
        <w:tabs>
          <w:tab w:leader="none" w:pos="1728"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Funding Source</w:t>
      </w:r>
      <w:r>
        <w:rPr>
          <w:rFonts w:ascii="Times New Roman" w:cs="Times New Roman" w:eastAsia="Times New Roman" w:hAnsi="Times New Roman"/>
          <w:sz w:val="21"/>
          <w:szCs w:val="21"/>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4" w:lineRule="exact"/>
        <w:rPr>
          <w:sz w:val="20"/>
          <w:szCs w:val="20"/>
          <w:color w:val="auto"/>
        </w:rPr>
      </w:pPr>
    </w:p>
    <w:p>
      <w:pPr>
        <w:ind w:firstLine="620"/>
        <w:spacing w:after="0" w:line="237" w:lineRule="auto"/>
        <w:rPr>
          <w:sz w:val="20"/>
          <w:szCs w:val="20"/>
          <w:color w:val="auto"/>
        </w:rPr>
      </w:pPr>
      <w:r>
        <w:rPr>
          <w:rFonts w:ascii="Times New Roman" w:cs="Times New Roman" w:eastAsia="Times New Roman" w:hAnsi="Times New Roman"/>
          <w:sz w:val="21"/>
          <w:szCs w:val="21"/>
          <w:b w:val="1"/>
          <w:bCs w:val="1"/>
          <w:color w:val="auto"/>
        </w:rPr>
        <w:t>2.13 Sharing of Payments by Lenders</w:t>
      </w:r>
      <w:r>
        <w:rPr>
          <w:rFonts w:ascii="Times New Roman" w:cs="Times New Roman" w:eastAsia="Times New Roman" w:hAnsi="Times New Roman"/>
          <w:sz w:val="21"/>
          <w:szCs w:val="21"/>
          <w:color w:val="auto"/>
        </w:rPr>
        <w:t>. If any Lender shall, by exercising any right of setoff or counterclaim or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obtain payment in respect of any principal of or interest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61</w:t>
      </w:r>
    </w:p>
    <w:p>
      <w:pPr>
        <w:sectPr>
          <w:pgSz w:w="11900" w:h="16838" w:orient="portrait"/>
          <w:cols w:equalWidth="0" w:num="1">
            <w:col w:w="11240"/>
          </w:cols>
          <w:pgMar w:left="320" w:top="1342" w:right="339" w:bottom="1440" w:gutter="0" w:footer="0" w:header="0"/>
        </w:sectPr>
      </w:pPr>
    </w:p>
    <w:bookmarkStart w:id="131" w:name="page132"/>
    <w:bookmarkEnd w:id="131"/>
    <w:p>
      <w:pPr>
        <w:jc w:val="both"/>
        <w:spacing w:after="0" w:line="214" w:lineRule="auto"/>
        <w:rPr>
          <w:sz w:val="20"/>
          <w:szCs w:val="20"/>
          <w:color w:val="auto"/>
        </w:rPr>
      </w:pPr>
      <w:r>
        <w:rPr>
          <w:rFonts w:ascii="Times New Roman" w:cs="Times New Roman" w:eastAsia="Times New Roman" w:hAnsi="Times New Roman"/>
          <w:sz w:val="21"/>
          <w:szCs w:val="21"/>
          <w:color w:val="auto"/>
        </w:rPr>
        <w:t xml:space="preserve">any of the Loans made by it, or the participations in L/C Obligations or in Swing Line Loans held by it resulting in such Lender’s receiving payment of a proportion of the aggregate amount of such Loans or participations and accrued interest thereon greater than its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47" w:lineRule="exact"/>
        <w:rPr>
          <w:sz w:val="20"/>
          <w:szCs w:val="20"/>
          <w:color w:val="auto"/>
        </w:rPr>
      </w:pPr>
    </w:p>
    <w:p>
      <w:pPr>
        <w:jc w:val="both"/>
        <w:ind w:firstLine="1864"/>
        <w:spacing w:after="0" w:line="225" w:lineRule="auto"/>
        <w:tabs>
          <w:tab w:leader="none" w:pos="2322"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47" w:lineRule="exact"/>
        <w:rPr>
          <w:rFonts w:ascii="Times New Roman" w:cs="Times New Roman" w:eastAsia="Times New Roman" w:hAnsi="Times New Roman"/>
          <w:sz w:val="21"/>
          <w:szCs w:val="21"/>
          <w:color w:val="auto"/>
        </w:rPr>
      </w:pPr>
    </w:p>
    <w:p>
      <w:pPr>
        <w:jc w:val="both"/>
        <w:ind w:firstLine="1864"/>
        <w:spacing w:after="0" w:line="215" w:lineRule="auto"/>
        <w:tabs>
          <w:tab w:leader="none" w:pos="2421"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provisions of this Section shall not be construed to apply to (x) any payment made by a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or (z) any payment obtained by a Lender as consideration for the assignment of or sale of a participation in any of its Loans or subparticipations in L/C Obligations or Swing Line Loans to any assignee or participant, other than to Toro or any Subsidiary thereof (as to which the provisions of this Section shall apply).</w:t>
      </w:r>
    </w:p>
    <w:p>
      <w:pPr>
        <w:spacing w:after="0" w:line="149"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44"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2.14</w:t>
      </w:r>
      <w:r>
        <w:rPr>
          <w:sz w:val="20"/>
          <w:szCs w:val="20"/>
          <w:color w:val="auto"/>
        </w:rPr>
        <w:tab/>
      </w:r>
      <w:r>
        <w:rPr>
          <w:rFonts w:ascii="Times New Roman" w:cs="Times New Roman" w:eastAsia="Times New Roman" w:hAnsi="Times New Roman"/>
          <w:sz w:val="20"/>
          <w:szCs w:val="20"/>
          <w:b w:val="1"/>
          <w:bCs w:val="1"/>
          <w:color w:val="auto"/>
        </w:rPr>
        <w:t>Increase in Commitments.</w:t>
      </w:r>
    </w:p>
    <w:p>
      <w:pPr>
        <w:spacing w:after="0" w:line="176" w:lineRule="exact"/>
        <w:rPr>
          <w:sz w:val="20"/>
          <w:szCs w:val="20"/>
          <w:color w:val="auto"/>
        </w:rPr>
      </w:pPr>
    </w:p>
    <w:p>
      <w:pPr>
        <w:jc w:val="both"/>
        <w:ind w:firstLine="1244"/>
        <w:spacing w:after="0" w:line="218" w:lineRule="auto"/>
        <w:tabs>
          <w:tab w:leader="none" w:pos="1793"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Increase</w:t>
      </w:r>
      <w:r>
        <w:rPr>
          <w:rFonts w:ascii="Times New Roman" w:cs="Times New Roman" w:eastAsia="Times New Roman" w:hAnsi="Times New Roman"/>
          <w:sz w:val="20"/>
          <w:szCs w:val="20"/>
          <w:color w:val="auto"/>
        </w:rPr>
        <w:t>. Provided there exists no Default, upon notice to the Administrative Agent (which shall promptly notify the Lenders), Toro may from time to time, request (x) an increase in the Revolving Credit Facility (each, an “</w:t>
      </w:r>
      <w:r>
        <w:rPr>
          <w:rFonts w:ascii="Times New Roman" w:cs="Times New Roman" w:eastAsia="Times New Roman" w:hAnsi="Times New Roman"/>
          <w:sz w:val="20"/>
          <w:szCs w:val="20"/>
          <w:u w:val="single" w:color="auto"/>
          <w:color w:val="auto"/>
        </w:rPr>
        <w:t>Incremental Revolving Commitment</w:t>
      </w:r>
      <w:r>
        <w:rPr>
          <w:rFonts w:ascii="Times New Roman" w:cs="Times New Roman" w:eastAsia="Times New Roman" w:hAnsi="Times New Roman"/>
          <w:sz w:val="20"/>
          <w:szCs w:val="20"/>
          <w:color w:val="auto"/>
        </w:rPr>
        <w:t>”) by an amount (for all such requests) up to $300,000,000 and/or (y) the one-time establishment of one or more new term loan commitments (each, an “</w:t>
      </w:r>
      <w:r>
        <w:rPr>
          <w:rFonts w:ascii="Times New Roman" w:cs="Times New Roman" w:eastAsia="Times New Roman" w:hAnsi="Times New Roman"/>
          <w:sz w:val="20"/>
          <w:szCs w:val="20"/>
          <w:u w:val="single" w:color="auto"/>
          <w:color w:val="auto"/>
        </w:rPr>
        <w:t>Incremental Term Commitment</w:t>
      </w:r>
      <w:r>
        <w:rPr>
          <w:rFonts w:ascii="Times New Roman" w:cs="Times New Roman" w:eastAsia="Times New Roman" w:hAnsi="Times New Roman"/>
          <w:sz w:val="20"/>
          <w:szCs w:val="20"/>
          <w:color w:val="auto"/>
        </w:rPr>
        <w:t xml:space="preserve">”) by an amount (for all such requests) up to $100,000,000;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request for an increase shall be in a minimum amount of $25,000,000 or a whole multiple of $5,000,000 in excess thereof; and provided, further, that Toro may make a maximum of six (6) such requests. Each such notice shall specify (i) the date (each, an “</w:t>
      </w:r>
      <w:r>
        <w:rPr>
          <w:rFonts w:ascii="Times New Roman" w:cs="Times New Roman" w:eastAsia="Times New Roman" w:hAnsi="Times New Roman"/>
          <w:sz w:val="20"/>
          <w:szCs w:val="20"/>
          <w:u w:val="single" w:color="auto"/>
          <w:color w:val="auto"/>
        </w:rPr>
        <w:t>Increase Effective Date</w:t>
      </w:r>
      <w:r>
        <w:rPr>
          <w:rFonts w:ascii="Times New Roman" w:cs="Times New Roman" w:eastAsia="Times New Roman" w:hAnsi="Times New Roman"/>
          <w:sz w:val="20"/>
          <w:szCs w:val="20"/>
          <w:color w:val="auto"/>
        </w:rPr>
        <w:t>”) on which Toro proposes that the Incremental Commitments shall be effective, which shall be a date not less than 10 Business Days after the date on which such notice is delivered to the Administrative Agent and</w:t>
      </w:r>
    </w:p>
    <w:p>
      <w:pPr>
        <w:spacing w:after="0" w:line="4" w:lineRule="exact"/>
        <w:rPr>
          <w:rFonts w:ascii="Times New Roman" w:cs="Times New Roman" w:eastAsia="Times New Roman" w:hAnsi="Times New Roman"/>
          <w:sz w:val="20"/>
          <w:szCs w:val="20"/>
          <w:color w:val="auto"/>
        </w:rPr>
      </w:pPr>
    </w:p>
    <w:p>
      <w:pPr>
        <w:jc w:val="both"/>
        <w:ind w:firstLine="3"/>
        <w:spacing w:after="0" w:line="218" w:lineRule="auto"/>
        <w:tabs>
          <w:tab w:leader="none" w:pos="315"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identity of each Eligible Assignee to whom Toro proposes any portion of such Incremental Commitments be allocated and the amounts of such allocations;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existing Lender approached to provide all or a portion of the Incremental Commitments may elect or decline, in its sole discretion, to provide such Incremental Commitment.</w:t>
      </w:r>
    </w:p>
    <w:p>
      <w:pPr>
        <w:spacing w:after="0" w:line="146" w:lineRule="exact"/>
        <w:rPr>
          <w:rFonts w:ascii="Times New Roman" w:cs="Times New Roman" w:eastAsia="Times New Roman" w:hAnsi="Times New Roman"/>
          <w:sz w:val="21"/>
          <w:szCs w:val="21"/>
          <w:color w:val="auto"/>
        </w:rPr>
      </w:pPr>
    </w:p>
    <w:p>
      <w:pPr>
        <w:jc w:val="both"/>
        <w:ind w:firstLine="1244"/>
        <w:spacing w:after="0" w:line="220" w:lineRule="auto"/>
        <w:tabs>
          <w:tab w:leader="none" w:pos="1727"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w:t>
      </w:r>
      <w:r>
        <w:rPr>
          <w:rFonts w:ascii="Times New Roman" w:cs="Times New Roman" w:eastAsia="Times New Roman" w:hAnsi="Times New Roman"/>
          <w:sz w:val="21"/>
          <w:szCs w:val="21"/>
          <w:color w:val="auto"/>
        </w:rPr>
        <w:t xml:space="preserve">. As a condition precedent to the effectiveness of any Incremental Commitments, Toro shall deliver to the Administrative Agent and the Lenders (i) such information as may be requested pursuant to </w:t>
      </w:r>
      <w:r>
        <w:rPr>
          <w:rFonts w:ascii="Times New Roman" w:cs="Times New Roman" w:eastAsia="Times New Roman" w:hAnsi="Times New Roman"/>
          <w:sz w:val="21"/>
          <w:szCs w:val="21"/>
          <w:u w:val="single" w:color="auto"/>
          <w:color w:val="auto"/>
        </w:rPr>
        <w:t>Section 4.01(a)(xi)</w:t>
      </w:r>
      <w:r>
        <w:rPr>
          <w:rFonts w:ascii="Times New Roman" w:cs="Times New Roman" w:eastAsia="Times New Roman" w:hAnsi="Times New Roman"/>
          <w:sz w:val="21"/>
          <w:szCs w:val="21"/>
          <w:color w:val="auto"/>
        </w:rPr>
        <w:t>, (ii) legal opinions of the type delivered on the Closing Date to the extent reasonably requested by, and in form and substance reasonably satisfactory to, the Administrative Agent and (iii) a certificate of each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62</w:t>
      </w:r>
    </w:p>
    <w:p>
      <w:pPr>
        <w:sectPr>
          <w:pgSz w:w="11900" w:h="16838" w:orient="portrait"/>
          <w:cols w:equalWidth="0" w:num="1">
            <w:col w:w="11240"/>
          </w:cols>
          <w:pgMar w:left="320" w:top="1342" w:right="339" w:bottom="1440" w:gutter="0" w:footer="0" w:header="0"/>
        </w:sectPr>
      </w:pPr>
    </w:p>
    <w:bookmarkStart w:id="132" w:name="page133"/>
    <w:bookmarkEnd w:id="132"/>
    <w:p>
      <w:pPr>
        <w:jc w:val="both"/>
        <w:spacing w:after="0" w:line="220" w:lineRule="auto"/>
        <w:rPr>
          <w:sz w:val="20"/>
          <w:szCs w:val="20"/>
          <w:color w:val="auto"/>
        </w:rPr>
      </w:pPr>
      <w:r>
        <w:rPr>
          <w:rFonts w:ascii="Times New Roman" w:cs="Times New Roman" w:eastAsia="Times New Roman" w:hAnsi="Times New Roman"/>
          <w:sz w:val="20"/>
          <w:szCs w:val="20"/>
          <w:color w:val="auto"/>
        </w:rPr>
        <w:t xml:space="preserve">Party dated as of the Increase Effective Date signed by a Responsible Officer of such Loan Party (A) certifying and attaching the resolutions adopted by such Loan Party approving or consenting to such increase, and (B) certifying that, before and after giving effect to such increase, (1) the representations and warranties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and the other Loan Documents are true and correct in all material respects on and as of the Increase Effective Date, except (w) if a qualifier relating to materiality, Material Adverse Effect or other similar concept applies, such representation or warranty is true and correct in all respects, (x) to the extent that such representations and warranties specifically refer to an earlier date, in which case they are true and correct as of such earlier date, and (y) that for purposes of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the representations and warranties contained in subsections (a) and (b) of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(2) immediately after giving effect to such Incremental Commitments (assuming that such Incremental Commitments have been fully utilized), Toro is in compliance on a pro forma basis with the financial covenant set forth in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and (3) no Default exists or will result from the borrowings to be made on the Increase Effective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Incremental Commitments are being provided in connection with a Limited Conditionality Acquisition, such certificate shall provide that the above requirements in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were satisfied in accordance with </w:t>
      </w: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The Borrowers shall prepay any Loans outstanding on the Increase Effective Date (and pay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to the extent necessary to keep the outstanding Loans ratable with any revised Applicable Percentages arising from any nonratable increase in the Revolving Credit Commitments under this Section.</w:t>
      </w:r>
    </w:p>
    <w:p>
      <w:pPr>
        <w:spacing w:after="0" w:line="146" w:lineRule="exact"/>
        <w:rPr>
          <w:sz w:val="20"/>
          <w:szCs w:val="20"/>
          <w:color w:val="auto"/>
        </w:rPr>
      </w:pPr>
    </w:p>
    <w:p>
      <w:pPr>
        <w:ind w:firstLine="1244"/>
        <w:spacing w:after="0" w:line="236" w:lineRule="auto"/>
        <w:tabs>
          <w:tab w:leader="none" w:pos="1832"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of New Loans and Commitments</w:t>
      </w:r>
      <w:r>
        <w:rPr>
          <w:rFonts w:ascii="Times New Roman" w:cs="Times New Roman" w:eastAsia="Times New Roman" w:hAnsi="Times New Roman"/>
          <w:sz w:val="21"/>
          <w:szCs w:val="21"/>
          <w:color w:val="auto"/>
        </w:rPr>
        <w:t>. The terms and provisions of Loans made pursuant to Incremental Commitments shall be as follows:</w:t>
      </w:r>
    </w:p>
    <w:p>
      <w:pPr>
        <w:spacing w:after="0" w:line="145" w:lineRule="exact"/>
        <w:rPr>
          <w:rFonts w:ascii="Times New Roman" w:cs="Times New Roman" w:eastAsia="Times New Roman" w:hAnsi="Times New Roman"/>
          <w:sz w:val="21"/>
          <w:szCs w:val="21"/>
          <w:color w:val="auto"/>
        </w:rPr>
      </w:pPr>
    </w:p>
    <w:p>
      <w:pPr>
        <w:jc w:val="both"/>
        <w:ind w:firstLine="1864"/>
        <w:spacing w:after="0" w:line="217" w:lineRule="auto"/>
        <w:tabs>
          <w:tab w:leader="none" w:pos="2295"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terms and provisions of Incremental Term Loans shall be, except as otherwise set forth herein or in the Increase Joinder, identical to the Term Loans (it being understood that Incremental Term Loans may be a part of the Term Loans) and to the extent that the terms and provisions of Incremental Term Loans are not identical to the Term Loans (except to the extent permitted by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below) they shall be reasonably satisfactory to the Administrative Agent; provided that in any event the Incremental Term Loans must comply with </w:t>
      </w:r>
      <w:r>
        <w:rPr>
          <w:rFonts w:ascii="Times New Roman" w:cs="Times New Roman" w:eastAsia="Times New Roman" w:hAnsi="Times New Roman"/>
          <w:sz w:val="21"/>
          <w:szCs w:val="21"/>
          <w:u w:val="single" w:color="auto"/>
          <w:color w:val="auto"/>
        </w:rPr>
        <w:t>clauses (iii)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below;</w:t>
      </w:r>
    </w:p>
    <w:p>
      <w:pPr>
        <w:spacing w:after="0" w:line="148" w:lineRule="exact"/>
        <w:rPr>
          <w:rFonts w:ascii="Times New Roman" w:cs="Times New Roman" w:eastAsia="Times New Roman" w:hAnsi="Times New Roman"/>
          <w:sz w:val="21"/>
          <w:szCs w:val="21"/>
          <w:color w:val="auto"/>
        </w:rPr>
      </w:pPr>
    </w:p>
    <w:p>
      <w:pPr>
        <w:ind w:firstLine="1864"/>
        <w:spacing w:after="0" w:line="236" w:lineRule="auto"/>
        <w:tabs>
          <w:tab w:leader="none" w:pos="2336"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terms and provisions of Revolving Credit Loans made pursuant to new Commitments shall be identical to the Revolving Credit Loans;</w:t>
      </w:r>
    </w:p>
    <w:p>
      <w:pPr>
        <w:spacing w:after="0" w:line="145" w:lineRule="exact"/>
        <w:rPr>
          <w:rFonts w:ascii="Times New Roman" w:cs="Times New Roman" w:eastAsia="Times New Roman" w:hAnsi="Times New Roman"/>
          <w:sz w:val="21"/>
          <w:szCs w:val="21"/>
          <w:color w:val="auto"/>
        </w:rPr>
      </w:pPr>
    </w:p>
    <w:p>
      <w:pPr>
        <w:ind w:firstLine="1864"/>
        <w:spacing w:after="0" w:line="236" w:lineRule="auto"/>
        <w:tabs>
          <w:tab w:leader="none" w:pos="2550"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weighted average life to maturity of any Incremental Term Loans shall be no shorter than the remaining weighted average life to maturity of the then existing Term Loans; and</w:t>
      </w:r>
    </w:p>
    <w:p>
      <w:pPr>
        <w:spacing w:after="0" w:line="145" w:lineRule="exact"/>
        <w:rPr>
          <w:rFonts w:ascii="Times New Roman" w:cs="Times New Roman" w:eastAsia="Times New Roman" w:hAnsi="Times New Roman"/>
          <w:sz w:val="21"/>
          <w:szCs w:val="21"/>
          <w:color w:val="auto"/>
        </w:rPr>
      </w:pPr>
    </w:p>
    <w:p>
      <w:pPr>
        <w:ind w:firstLine="1864"/>
        <w:spacing w:after="0" w:line="236" w:lineRule="auto"/>
        <w:tabs>
          <w:tab w:leader="none" w:pos="2430"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maturity date of Incremental Term Loans (the “</w:t>
      </w:r>
      <w:r>
        <w:rPr>
          <w:rFonts w:ascii="Times New Roman" w:cs="Times New Roman" w:eastAsia="Times New Roman" w:hAnsi="Times New Roman"/>
          <w:sz w:val="21"/>
          <w:szCs w:val="21"/>
          <w:u w:val="single" w:color="auto"/>
          <w:color w:val="auto"/>
        </w:rPr>
        <w:t>Incremental Term Loan Maturity Date</w:t>
      </w:r>
      <w:r>
        <w:rPr>
          <w:rFonts w:ascii="Times New Roman" w:cs="Times New Roman" w:eastAsia="Times New Roman" w:hAnsi="Times New Roman"/>
          <w:sz w:val="21"/>
          <w:szCs w:val="21"/>
          <w:color w:val="auto"/>
        </w:rPr>
        <w:t>”) shall not be earlier than the then Latest Maturity Date.</w:t>
      </w:r>
    </w:p>
    <w:p>
      <w:pPr>
        <w:spacing w:after="0" w:line="145" w:lineRule="exact"/>
        <w:rPr>
          <w:sz w:val="20"/>
          <w:szCs w:val="20"/>
          <w:color w:val="auto"/>
        </w:rPr>
      </w:pPr>
    </w:p>
    <w:p>
      <w:pPr>
        <w:jc w:val="both"/>
        <w:ind w:firstLine="620"/>
        <w:spacing w:after="0" w:line="213" w:lineRule="auto"/>
        <w:rPr>
          <w:sz w:val="20"/>
          <w:szCs w:val="20"/>
          <w:color w:val="auto"/>
        </w:rPr>
      </w:pPr>
      <w:r>
        <w:rPr>
          <w:rFonts w:ascii="Times New Roman" w:cs="Times New Roman" w:eastAsia="Times New Roman" w:hAnsi="Times New Roman"/>
          <w:sz w:val="21"/>
          <w:szCs w:val="21"/>
          <w:color w:val="auto"/>
        </w:rPr>
        <w:t>The Incremental Commitments shall be effected by a joinder agreement (the “</w:t>
      </w:r>
      <w:r>
        <w:rPr>
          <w:rFonts w:ascii="Times New Roman" w:cs="Times New Roman" w:eastAsia="Times New Roman" w:hAnsi="Times New Roman"/>
          <w:sz w:val="21"/>
          <w:szCs w:val="21"/>
          <w:u w:val="single" w:color="auto"/>
          <w:color w:val="auto"/>
        </w:rPr>
        <w:t>Increase Joinder</w:t>
      </w:r>
      <w:r>
        <w:rPr>
          <w:rFonts w:ascii="Times New Roman" w:cs="Times New Roman" w:eastAsia="Times New Roman" w:hAnsi="Times New Roman"/>
          <w:sz w:val="21"/>
          <w:szCs w:val="21"/>
          <w:color w:val="auto"/>
        </w:rPr>
        <w:t xml:space="preserve">”) executed by each applicable Borrower, the Administrative Agent and each Lender making such Incremental Commitment, in form and substance reasonably satisfactory to each of them. Notwithstanding the provisions of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xml:space="preserve">, the Increase Joinder may, without the consent of any other Lenders, effect such amendments to this Agreement and the other Loan Documents as may be necessary or appropriate, in the reasonable opinion of the Administrative Agent, to effect the provisions of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In addition, unless otherwise specifically provided herein, all references in Loan Documents to Revolving Credit Loans or Term Loans shall be deemed, unless the context otherwise requires, to include references to Revolving Credit Loans made pursuant to Incremental Revolving Commitments and Incremental Term Loans that are Term Loans, respectively, made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ectPr>
          <w:pgSz w:w="11900" w:h="16838" w:orient="portrait"/>
          <w:cols w:equalWidth="0" w:num="1">
            <w:col w:w="11240"/>
          </w:cols>
          <w:pgMar w:left="320" w:top="1342" w:right="339" w:bottom="1440" w:gutter="0" w:footer="0" w:header="0"/>
        </w:sectPr>
      </w:pPr>
    </w:p>
    <w:bookmarkStart w:id="133" w:name="page134"/>
    <w:bookmarkEnd w:id="133"/>
    <w:p>
      <w:pPr>
        <w:jc w:val="both"/>
        <w:ind w:firstLine="1244"/>
        <w:spacing w:after="0" w:line="213" w:lineRule="auto"/>
        <w:tabs>
          <w:tab w:leader="none" w:pos="174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 of Revolving Credit Loans</w:t>
      </w:r>
      <w:r>
        <w:rPr>
          <w:rFonts w:ascii="Times New Roman" w:cs="Times New Roman" w:eastAsia="Times New Roman" w:hAnsi="Times New Roman"/>
          <w:sz w:val="21"/>
          <w:szCs w:val="21"/>
          <w:color w:val="auto"/>
        </w:rPr>
        <w:t xml:space="preserve">. To the extent the Commitments being increased on the relevant Increase Effective Date are Incremental Revolving Commitments, then each Revolving Credit Lender that is acquiring an Incremental Revolving Commitment on the Increase Effective Date shall make a Revolving Credit Loan, the proceeds of which will be used to prepay the Revolving Credit Loans of the other Revolving Credit Lenders immediately prior to such Increase Effective Date, so that, after giving effect thereto, the Revolving Credit Loans outstanding are held by the Revolving Credit Lenders pro rata based on their Revolving Credit Commitments after giving effect to such Increase Effective Date. If there is a new borrowing of Revolving Credit Loans on such Increase Effective Date, the Revolving Credit Lenders after giving effect to such Increase Effective Date shall make such Revolving Credit Loans in accordance with </w:t>
      </w:r>
      <w:r>
        <w:rPr>
          <w:rFonts w:ascii="Times New Roman" w:cs="Times New Roman" w:eastAsia="Times New Roman" w:hAnsi="Times New Roman"/>
          <w:sz w:val="21"/>
          <w:szCs w:val="21"/>
          <w:u w:val="single" w:color="auto"/>
          <w:color w:val="auto"/>
        </w:rPr>
        <w:t>Section 2.01(b</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jc w:val="both"/>
        <w:ind w:firstLine="1244"/>
        <w:spacing w:after="0" w:line="225" w:lineRule="auto"/>
        <w:tabs>
          <w:tab w:leader="none" w:pos="1702"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Making of Incremental Term Loans</w:t>
      </w:r>
      <w:r>
        <w:rPr>
          <w:rFonts w:ascii="Times New Roman" w:cs="Times New Roman" w:eastAsia="Times New Roman" w:hAnsi="Times New Roman"/>
          <w:sz w:val="21"/>
          <w:szCs w:val="21"/>
          <w:color w:val="auto"/>
        </w:rPr>
        <w:t>. On any Increase Effective Date on which new Commitments for Incremental Term Loans are effective, subject to the satisfaction of the foregoing terms and conditions, each Lender of such new Commitment shall make an Incremental Term Loan to Toro in an amount equal to its new Commitment.</w:t>
      </w:r>
    </w:p>
    <w:p>
      <w:pPr>
        <w:spacing w:after="0" w:line="147" w:lineRule="exact"/>
        <w:rPr>
          <w:rFonts w:ascii="Times New Roman" w:cs="Times New Roman" w:eastAsia="Times New Roman" w:hAnsi="Times New Roman"/>
          <w:sz w:val="21"/>
          <w:szCs w:val="21"/>
          <w:color w:val="auto"/>
        </w:rPr>
      </w:pPr>
    </w:p>
    <w:p>
      <w:pPr>
        <w:jc w:val="both"/>
        <w:ind w:firstLine="1244"/>
        <w:spacing w:after="0" w:line="220" w:lineRule="auto"/>
        <w:tabs>
          <w:tab w:leader="none" w:pos="1679"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Equal and Ratable Benefit</w:t>
      </w:r>
      <w:r>
        <w:rPr>
          <w:rFonts w:ascii="Times New Roman" w:cs="Times New Roman" w:eastAsia="Times New Roman" w:hAnsi="Times New Roman"/>
          <w:sz w:val="21"/>
          <w:szCs w:val="21"/>
          <w:color w:val="auto"/>
        </w:rPr>
        <w:t xml:space="preserve">. The Loans and Commitments established pursuant to this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shall constitute Loans and Commitments under, and shall be entitled to all the benefits afforded by, this Agreement and the other Loan Documents, and shall, without limiting the foregoing, benefit equally and ratably from the Guaranty, except that the new Loans may be subordinated in right of payment to the extent set forth in the Increase Joinder.</w:t>
      </w:r>
    </w:p>
    <w:p>
      <w:pPr>
        <w:spacing w:after="0" w:line="148" w:lineRule="exact"/>
        <w:rPr>
          <w:rFonts w:ascii="Times New Roman" w:cs="Times New Roman" w:eastAsia="Times New Roman" w:hAnsi="Times New Roman"/>
          <w:sz w:val="21"/>
          <w:szCs w:val="21"/>
          <w:color w:val="auto"/>
        </w:rPr>
      </w:pPr>
    </w:p>
    <w:p>
      <w:pPr>
        <w:ind w:left="1700" w:hanging="456"/>
        <w:spacing w:after="0"/>
        <w:tabs>
          <w:tab w:leader="none" w:pos="170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Conflicting Provisions</w:t>
      </w:r>
      <w:r>
        <w:rPr>
          <w:rFonts w:ascii="Times New Roman" w:cs="Times New Roman" w:eastAsia="Times New Roman" w:hAnsi="Times New Roman"/>
          <w:sz w:val="21"/>
          <w:szCs w:val="21"/>
          <w:color w:val="auto"/>
        </w:rPr>
        <w:t xml:space="preserve">. This Section shall supersede any provisions in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11.01</w:t>
      </w:r>
      <w:r>
        <w:rPr>
          <w:rFonts w:ascii="Times New Roman" w:cs="Times New Roman" w:eastAsia="Times New Roman" w:hAnsi="Times New Roman"/>
          <w:sz w:val="21"/>
          <w:szCs w:val="21"/>
          <w:color w:val="auto"/>
        </w:rPr>
        <w:t xml:space="preserve"> to the contrary.</w:t>
      </w:r>
    </w:p>
    <w:p>
      <w:pPr>
        <w:spacing w:after="0" w:line="168"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2.15</w:t>
      </w:r>
      <w:r>
        <w:rPr>
          <w:sz w:val="20"/>
          <w:szCs w:val="20"/>
          <w:color w:val="auto"/>
        </w:rPr>
        <w:tab/>
      </w:r>
      <w:r>
        <w:rPr>
          <w:rFonts w:ascii="Times New Roman" w:cs="Times New Roman" w:eastAsia="Times New Roman" w:hAnsi="Times New Roman"/>
          <w:sz w:val="20"/>
          <w:szCs w:val="20"/>
          <w:b w:val="1"/>
          <w:bCs w:val="1"/>
          <w:color w:val="auto"/>
        </w:rPr>
        <w:t>Cash Collateral.</w:t>
      </w:r>
    </w:p>
    <w:p>
      <w:pPr>
        <w:spacing w:after="0" w:line="176" w:lineRule="exact"/>
        <w:rPr>
          <w:sz w:val="20"/>
          <w:szCs w:val="20"/>
          <w:color w:val="auto"/>
        </w:rPr>
      </w:pPr>
    </w:p>
    <w:p>
      <w:pPr>
        <w:jc w:val="both"/>
        <w:ind w:firstLine="1244"/>
        <w:spacing w:after="0" w:line="211" w:lineRule="auto"/>
        <w:tabs>
          <w:tab w:leader="none" w:pos="1676"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Credit Support Events</w:t>
      </w:r>
      <w:r>
        <w:rPr>
          <w:rFonts w:ascii="Times New Roman" w:cs="Times New Roman" w:eastAsia="Times New Roman" w:hAnsi="Times New Roman"/>
          <w:sz w:val="21"/>
          <w:szCs w:val="21"/>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(iii) the Borrowers shall be required to provide Cash Collateral pursuant to </w:t>
      </w:r>
      <w:r>
        <w:rPr>
          <w:rFonts w:ascii="Times New Roman" w:cs="Times New Roman" w:eastAsia="Times New Roman" w:hAnsi="Times New Roman"/>
          <w:sz w:val="21"/>
          <w:szCs w:val="21"/>
          <w:u w:val="single" w:color="auto"/>
          <w:color w:val="auto"/>
        </w:rPr>
        <w:t>Section 8.02(c),</w:t>
      </w:r>
      <w:r>
        <w:rPr>
          <w:rFonts w:ascii="Times New Roman" w:cs="Times New Roman" w:eastAsia="Times New Roman" w:hAnsi="Times New Roman"/>
          <w:sz w:val="21"/>
          <w:szCs w:val="21"/>
          <w:color w:val="auto"/>
        </w:rPr>
        <w:t xml:space="preserve"> or (iv) there shall exist a Defaulting Lender, the Borrowers shall immediately (in the case of </w:t>
      </w:r>
      <w:r>
        <w:rPr>
          <w:rFonts w:ascii="Times New Roman" w:cs="Times New Roman" w:eastAsia="Times New Roman" w:hAnsi="Times New Roman"/>
          <w:sz w:val="21"/>
          <w:szCs w:val="21"/>
          <w:u w:val="single" w:color="auto"/>
          <w:color w:val="auto"/>
        </w:rPr>
        <w:t>clause (iii)</w:t>
      </w:r>
      <w:r>
        <w:rPr>
          <w:rFonts w:ascii="Times New Roman" w:cs="Times New Roman" w:eastAsia="Times New Roman" w:hAnsi="Times New Roman"/>
          <w:sz w:val="21"/>
          <w:szCs w:val="21"/>
          <w:color w:val="auto"/>
        </w:rPr>
        <w:t xml:space="preserve"> above) or within one (1)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above, after giving effect to </w:t>
      </w:r>
      <w:r>
        <w:rPr>
          <w:rFonts w:ascii="Times New Roman" w:cs="Times New Roman" w:eastAsia="Times New Roman" w:hAnsi="Times New Roman"/>
          <w:sz w:val="21"/>
          <w:szCs w:val="21"/>
          <w:u w:val="single" w:color="auto"/>
          <w:color w:val="auto"/>
        </w:rPr>
        <w:t>Section 2.16(a)(iv</w:t>
      </w:r>
      <w:r>
        <w:rPr>
          <w:rFonts w:ascii="Times New Roman" w:cs="Times New Roman" w:eastAsia="Times New Roman" w:hAnsi="Times New Roman"/>
          <w:sz w:val="21"/>
          <w:szCs w:val="21"/>
          <w:color w:val="auto"/>
        </w:rPr>
        <w:t>) and any Cash Collateral provided by the Defaulting Lender). Additionally, if the Administrative Agent notifies the Borrowers at any time that the Outstanding Amount of all L/C Obligations at such time exceeds 105% of the Letter of Credit Sublimit then in effect, then, within two (2) Business Days after receipt of such notice, the Borrowers shall provide Cash Collateral for the Outstanding Amount of the L/C Obligations in an amount not less than the amount by which the Outstanding Amount of all L/C Obligations exceeds the Letter of Credit Sublimit.</w:t>
      </w:r>
    </w:p>
    <w:p>
      <w:pPr>
        <w:spacing w:after="0" w:line="145" w:lineRule="exact"/>
        <w:rPr>
          <w:rFonts w:ascii="Times New Roman" w:cs="Times New Roman" w:eastAsia="Times New Roman" w:hAnsi="Times New Roman"/>
          <w:sz w:val="21"/>
          <w:szCs w:val="21"/>
          <w:color w:val="auto"/>
        </w:rPr>
      </w:pPr>
    </w:p>
    <w:p>
      <w:pPr>
        <w:jc w:val="both"/>
        <w:ind w:firstLine="1244"/>
        <w:spacing w:after="0" w:line="214" w:lineRule="auto"/>
        <w:tabs>
          <w:tab w:leader="none" w:pos="1727"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Security Interest.</w:t>
      </w:r>
      <w:r>
        <w:rPr>
          <w:rFonts w:ascii="Times New Roman" w:cs="Times New Roman" w:eastAsia="Times New Roman" w:hAnsi="Times New Roman"/>
          <w:sz w:val="21"/>
          <w:szCs w:val="21"/>
          <w:color w:val="auto"/>
        </w:rPr>
        <w:t xml:space="preserve"> Each Borrower, and to the extent provided by any Defaulting Lender, such Defaulting Lender, hereby grants to (and subjects to the control of) the Administrative Agent, for the benefit of the Administrative Agent, the L/C Issuer and the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1"/>
          <w:szCs w:val="21"/>
          <w:u w:val="single" w:color="auto"/>
          <w:color w:val="auto"/>
        </w:rPr>
        <w:t>Section 2.15(c)</w:t>
      </w:r>
      <w:r>
        <w:rPr>
          <w:rFonts w:ascii="Times New Roman" w:cs="Times New Roman" w:eastAsia="Times New Roman" w:hAnsi="Times New Roman"/>
          <w:sz w:val="21"/>
          <w:szCs w:val="21"/>
          <w:color w:val="auto"/>
        </w:rPr>
        <w:t>. If at any time the Administrative Agent determines that Cash Collateral is subject to any right or claim of any Person other than the Administrative Agent or the L/C Issuer as herein provided, or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ectPr>
          <w:pgSz w:w="11900" w:h="16838" w:orient="portrait"/>
          <w:cols w:equalWidth="0" w:num="1">
            <w:col w:w="11240"/>
          </w:cols>
          <w:pgMar w:left="320" w:top="1342" w:right="339" w:bottom="1440" w:gutter="0" w:footer="0" w:header="0"/>
        </w:sectPr>
      </w:pPr>
    </w:p>
    <w:bookmarkStart w:id="134" w:name="page135"/>
    <w:bookmarkEnd w:id="134"/>
    <w:p>
      <w:pPr>
        <w:jc w:val="both"/>
        <w:spacing w:after="0" w:line="215" w:lineRule="auto"/>
        <w:rPr>
          <w:sz w:val="20"/>
          <w:szCs w:val="20"/>
          <w:color w:val="auto"/>
        </w:rPr>
      </w:pPr>
      <w:r>
        <w:rPr>
          <w:rFonts w:ascii="Times New Roman" w:cs="Times New Roman" w:eastAsia="Times New Roman" w:hAnsi="Times New Roman"/>
          <w:sz w:val="21"/>
          <w:szCs w:val="21"/>
          <w:color w:val="auto"/>
        </w:rPr>
        <w:t>total amount of such Cash Collateral is less than the Minimum Collateral Amount, the Borrowers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Borrowers shall pay on demand therefor from time to time all customary account opening, activity and other administrative fees and charges in connection with the maintenance and disbursement of Cash Collateral.</w:t>
      </w:r>
    </w:p>
    <w:p>
      <w:pPr>
        <w:spacing w:after="0" w:line="149" w:lineRule="exact"/>
        <w:rPr>
          <w:sz w:val="20"/>
          <w:szCs w:val="20"/>
          <w:color w:val="auto"/>
        </w:rPr>
      </w:pPr>
    </w:p>
    <w:p>
      <w:pPr>
        <w:jc w:val="both"/>
        <w:ind w:firstLine="1244"/>
        <w:spacing w:after="0" w:line="217" w:lineRule="auto"/>
        <w:tabs>
          <w:tab w:leader="none" w:pos="1793"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Application</w:t>
      </w:r>
      <w:r>
        <w:rPr>
          <w:rFonts w:ascii="Times New Roman" w:cs="Times New Roman" w:eastAsia="Times New Roman" w:hAnsi="Times New Roman"/>
          <w:sz w:val="21"/>
          <w:szCs w:val="21"/>
          <w:color w:val="auto"/>
        </w:rPr>
        <w:t xml:space="preserve">. Notwithstanding anything to the contrary contained in this Agreement, Cash Collateral provided under any of this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Sections 2.03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8.02</w:t>
      </w:r>
      <w:r>
        <w:rPr>
          <w:rFonts w:ascii="Times New Roman" w:cs="Times New Roman" w:eastAsia="Times New Roman" w:hAnsi="Times New Roman"/>
          <w:sz w:val="21"/>
          <w:szCs w:val="21"/>
          <w:color w:val="auto"/>
        </w:rPr>
        <w:t xml:space="preserve"> in respect of Letters of Credit shall be held and applied to the satisfaction of the specific L/C Obligations, obligations to fund participations therein (including, as to Cash Collateral provided by a Lender that is a Defaulting Lender, any interest accrued on such obligation) and other obligations for which the Cash Collateral was so provided, prior to any other application of Cash Collateral as may be provided for herein.</w:t>
      </w:r>
    </w:p>
    <w:p>
      <w:pPr>
        <w:spacing w:after="0" w:line="148" w:lineRule="exact"/>
        <w:rPr>
          <w:rFonts w:ascii="Times New Roman" w:cs="Times New Roman" w:eastAsia="Times New Roman" w:hAnsi="Times New Roman"/>
          <w:sz w:val="21"/>
          <w:szCs w:val="21"/>
          <w:color w:val="auto"/>
        </w:rPr>
      </w:pPr>
    </w:p>
    <w:p>
      <w:pPr>
        <w:jc w:val="both"/>
        <w:ind w:firstLine="1244"/>
        <w:spacing w:after="0" w:line="213" w:lineRule="auto"/>
        <w:tabs>
          <w:tab w:leader="none" w:pos="1753"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1"/>
          <w:szCs w:val="21"/>
          <w:u w:val="single" w:color="auto"/>
          <w:color w:val="auto"/>
        </w:rPr>
        <w:t>Section 11.06(b)(vi)</w:t>
      </w:r>
      <w:r>
        <w:rPr>
          <w:rFonts w:ascii="Times New Roman" w:cs="Times New Roman" w:eastAsia="Times New Roman" w:hAnsi="Times New Roman"/>
          <w:sz w:val="21"/>
          <w:szCs w:val="21"/>
          <w:color w:val="auto"/>
        </w:rPr>
        <w:t xml:space="preserve">)) or (ii) the determination by the Administrative Agent and the L/C Issuer that there exists excess Cash Collateral;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142"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2.16</w:t>
      </w:r>
      <w:r>
        <w:rPr>
          <w:sz w:val="20"/>
          <w:szCs w:val="20"/>
          <w:color w:val="auto"/>
        </w:rPr>
        <w:tab/>
      </w:r>
      <w:r>
        <w:rPr>
          <w:rFonts w:ascii="Times New Roman" w:cs="Times New Roman" w:eastAsia="Times New Roman" w:hAnsi="Times New Roman"/>
          <w:sz w:val="20"/>
          <w:szCs w:val="20"/>
          <w:b w:val="1"/>
          <w:bCs w:val="1"/>
          <w:color w:val="auto"/>
        </w:rPr>
        <w:t>Defaulting Lenders.</w:t>
      </w:r>
    </w:p>
    <w:p>
      <w:pPr>
        <w:spacing w:after="0" w:line="176" w:lineRule="exact"/>
        <w:rPr>
          <w:sz w:val="20"/>
          <w:szCs w:val="20"/>
          <w:color w:val="auto"/>
        </w:rPr>
      </w:pPr>
    </w:p>
    <w:p>
      <w:pPr>
        <w:ind w:firstLine="1244"/>
        <w:spacing w:after="0" w:line="236" w:lineRule="auto"/>
        <w:tabs>
          <w:tab w:leader="none" w:pos="1780"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w:t>
      </w:r>
      <w:r>
        <w:rPr>
          <w:rFonts w:ascii="Times New Roman" w:cs="Times New Roman" w:eastAsia="Times New Roman" w:hAnsi="Times New Roman"/>
          <w:sz w:val="21"/>
          <w:szCs w:val="21"/>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45" w:lineRule="exact"/>
        <w:rPr>
          <w:rFonts w:ascii="Times New Roman" w:cs="Times New Roman" w:eastAsia="Times New Roman" w:hAnsi="Times New Roman"/>
          <w:sz w:val="21"/>
          <w:szCs w:val="21"/>
          <w:color w:val="auto"/>
        </w:rPr>
      </w:pPr>
    </w:p>
    <w:p>
      <w:pPr>
        <w:jc w:val="both"/>
        <w:ind w:firstLine="1864"/>
        <w:spacing w:after="0" w:line="225" w:lineRule="auto"/>
        <w:tabs>
          <w:tab w:leader="none" w:pos="2404"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Waivers and Amendments</w:t>
      </w:r>
      <w:r>
        <w:rPr>
          <w:rFonts w:ascii="Times New Roman" w:cs="Times New Roman" w:eastAsia="Times New Roman" w:hAnsi="Times New Roman"/>
          <w:sz w:val="21"/>
          <w:szCs w:val="21"/>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xml:space="preserve"> and in the definition of “Required Lenders”.</w:t>
      </w:r>
    </w:p>
    <w:p>
      <w:pPr>
        <w:spacing w:after="0" w:line="147" w:lineRule="exact"/>
        <w:rPr>
          <w:rFonts w:ascii="Times New Roman" w:cs="Times New Roman" w:eastAsia="Times New Roman" w:hAnsi="Times New Roman"/>
          <w:sz w:val="21"/>
          <w:szCs w:val="21"/>
          <w:color w:val="auto"/>
        </w:rPr>
      </w:pPr>
    </w:p>
    <w:p>
      <w:pPr>
        <w:jc w:val="both"/>
        <w:ind w:firstLine="1864"/>
        <w:spacing w:after="0" w:line="222" w:lineRule="auto"/>
        <w:tabs>
          <w:tab w:leader="none" w:pos="241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Article VIII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11.08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if such Defaulting Lender is a Lender, to the payment on a pro rata basis of any amounts owing by such Defaulting Lender to the L/C Issuer or Swing Line Lender hereunder;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if such Defaulting Lender is a Lender, to Cash Collateralize the L/C Issuer’s Fronting Exposure with respect to such Defaulting Lender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as Toro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if so determined by the Administrative Agent and Toro, to be held in a deposit account and released pro rata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ectPr>
          <w:pgSz w:w="11900" w:h="16838" w:orient="portrait"/>
          <w:cols w:equalWidth="0" w:num="1">
            <w:col w:w="11240"/>
          </w:cols>
          <w:pgMar w:left="320" w:top="1342" w:right="339" w:bottom="1440" w:gutter="0" w:footer="0" w:header="0"/>
        </w:sectPr>
      </w:pPr>
    </w:p>
    <w:bookmarkStart w:id="135" w:name="page136"/>
    <w:bookmarkEnd w:id="135"/>
    <w:p>
      <w:pPr>
        <w:jc w:val="both"/>
        <w:spacing w:after="0" w:line="231" w:lineRule="auto"/>
        <w:rPr>
          <w:sz w:val="20"/>
          <w:szCs w:val="20"/>
          <w:color w:val="auto"/>
        </w:rPr>
      </w:pPr>
      <w:r>
        <w:rPr>
          <w:rFonts w:ascii="Times New Roman" w:cs="Times New Roman" w:eastAsia="Times New Roman" w:hAnsi="Times New Roman"/>
          <w:sz w:val="20"/>
          <w:szCs w:val="20"/>
          <w:color w:val="auto"/>
        </w:rPr>
        <w:t xml:space="preserve">order to (x) satisfy such Defaulting Lender’s potential future funding obligations with respect to Loans under this Agreement and (y) if such Defaulting Lender is a Lender,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xml:space="preserve">, in the case of a Defaulting Lender, to the payment of any amounts owing to the other Lenders and the L/C Issuer or Swing Line Lender, in each case, as a result of any judgment of a court of competent jurisdiction obtained by any Lender, the L/C Issuer or the Swing Line Lender against such Defaulting Lender as a result of such Defaulting Lender’s breach of its obligations under this Agreement; </w:t>
      </w: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any Borrower as a result of any judgment of a court of competent jurisdiction obtained by such Borrower against such Defaulting Lender as a result of such Defaulting Lender’s breach of its obligations under this Agreement; and </w:t>
      </w:r>
      <w:r>
        <w:rPr>
          <w:rFonts w:ascii="Times New Roman" w:cs="Times New Roman" w:eastAsia="Times New Roman" w:hAnsi="Times New Roman"/>
          <w:sz w:val="20"/>
          <w:szCs w:val="20"/>
          <w:i w:val="1"/>
          <w:iCs w:val="1"/>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and L/C Obligations owed to, all Non-Defaulting Lenders on a pro rata basis (and ratably among all applicable Facilities computed in accordance with the Defaulting Lenders’ respective funding deficiencies)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20"/>
          <w:szCs w:val="20"/>
          <w:u w:val="single" w:color="auto"/>
          <w:color w:val="auto"/>
        </w:rPr>
        <w:t>Section 2.16(a)(iv).</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50" w:lineRule="exact"/>
        <w:rPr>
          <w:sz w:val="20"/>
          <w:szCs w:val="20"/>
          <w:color w:val="auto"/>
        </w:rPr>
      </w:pPr>
    </w:p>
    <w:p>
      <w:pPr>
        <w:ind w:left="2380" w:hanging="516"/>
        <w:spacing w:after="0"/>
        <w:tabs>
          <w:tab w:leader="none" w:pos="2380"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Fees.</w:t>
      </w:r>
    </w:p>
    <w:p>
      <w:pPr>
        <w:spacing w:after="0" w:line="171" w:lineRule="exact"/>
        <w:rPr>
          <w:rFonts w:ascii="Times New Roman" w:cs="Times New Roman" w:eastAsia="Times New Roman" w:hAnsi="Times New Roman"/>
          <w:sz w:val="21"/>
          <w:szCs w:val="21"/>
          <w:color w:val="auto"/>
        </w:rPr>
      </w:pPr>
    </w:p>
    <w:p>
      <w:pPr>
        <w:jc w:val="both"/>
        <w:ind w:left="620" w:firstLine="1864"/>
        <w:spacing w:after="0" w:line="220" w:lineRule="auto"/>
        <w:tabs>
          <w:tab w:leader="none" w:pos="2996"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That Defaulting Lender (x) shall be entitled to receive any Facility Fee pursuant to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for any period during which that Lender is a Defaulting Lender only to extent allocable to the sum of (1) the Outstanding Amount of the Loans funded by it and (2) its Applicable Percentage of the stated amount of Letters of Credit for which it has provided Cash Collateral pursuant to </w:t>
      </w:r>
      <w:r>
        <w:rPr>
          <w:rFonts w:ascii="Times New Roman" w:cs="Times New Roman" w:eastAsia="Times New Roman" w:hAnsi="Times New Roman"/>
          <w:sz w:val="21"/>
          <w:szCs w:val="21"/>
          <w:u w:val="single" w:color="auto"/>
          <w:color w:val="auto"/>
        </w:rPr>
        <w:t>Section 2.16(a)(ii)</w:t>
      </w:r>
      <w:r>
        <w:rPr>
          <w:rFonts w:ascii="Times New Roman" w:cs="Times New Roman" w:eastAsia="Times New Roman" w:hAnsi="Times New Roman"/>
          <w:sz w:val="21"/>
          <w:szCs w:val="21"/>
          <w:color w:val="auto"/>
        </w:rPr>
        <w:t>.</w:t>
      </w:r>
    </w:p>
    <w:p>
      <w:pPr>
        <w:spacing w:after="0" w:line="148" w:lineRule="exact"/>
        <w:rPr>
          <w:rFonts w:ascii="Times New Roman" w:cs="Times New Roman" w:eastAsia="Times New Roman" w:hAnsi="Times New Roman"/>
          <w:sz w:val="21"/>
          <w:szCs w:val="21"/>
          <w:color w:val="auto"/>
        </w:rPr>
      </w:pPr>
    </w:p>
    <w:p>
      <w:pPr>
        <w:jc w:val="both"/>
        <w:ind w:left="620" w:firstLine="1864"/>
        <w:spacing w:after="0" w:line="225" w:lineRule="auto"/>
        <w:tabs>
          <w:tab w:leader="none" w:pos="2988"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Defaulting Lender which is a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jc w:val="both"/>
        <w:ind w:left="620" w:firstLine="1864"/>
        <w:spacing w:after="0" w:line="214" w:lineRule="auto"/>
        <w:tabs>
          <w:tab w:leader="none" w:pos="2969"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any fee payable under </w:t>
      </w:r>
      <w:r>
        <w:rPr>
          <w:rFonts w:ascii="Times New Roman" w:cs="Times New Roman" w:eastAsia="Times New Roman" w:hAnsi="Times New Roman"/>
          <w:sz w:val="21"/>
          <w:szCs w:val="21"/>
          <w:u w:val="single" w:color="auto"/>
          <w:color w:val="auto"/>
        </w:rPr>
        <w:t>Section 2.09(a)</w:t>
      </w:r>
      <w:r>
        <w:rPr>
          <w:rFonts w:ascii="Times New Roman" w:cs="Times New Roman" w:eastAsia="Times New Roman" w:hAnsi="Times New Roman"/>
          <w:sz w:val="21"/>
          <w:szCs w:val="21"/>
          <w:color w:val="auto"/>
        </w:rPr>
        <w:t xml:space="preserve"> or any Letter of Credit Fee not required to be paid to any Defaulting Lender pursuant to clause (A) or (B) above, the Borrowers shall (x) pay to each Non-Defaulting Lender which is a Lender that portion of any such fee otherwise payable to such Defaulting Lender with respect to such Defaulting Lender’s participation in L/C Obligations or Swing Line Loans that has been reallocated to such Non-Defaulting Lender pursuant to </w:t>
      </w:r>
      <w:r>
        <w:rPr>
          <w:rFonts w:ascii="Times New Roman" w:cs="Times New Roman" w:eastAsia="Times New Roman" w:hAnsi="Times New Roman"/>
          <w:sz w:val="21"/>
          <w:szCs w:val="21"/>
          <w:u w:val="single" w:color="auto"/>
          <w:color w:val="auto"/>
        </w:rPr>
        <w:t>clause (iv)</w:t>
      </w:r>
      <w:r>
        <w:rPr>
          <w:rFonts w:ascii="Times New Roman" w:cs="Times New Roman" w:eastAsia="Times New Roman" w:hAnsi="Times New Roman"/>
          <w:sz w:val="21"/>
          <w:szCs w:val="21"/>
          <w:color w:val="auto"/>
        </w:rPr>
        <w:t xml:space="preserve"> below, (y) pay to the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146" w:lineRule="exact"/>
        <w:rPr>
          <w:rFonts w:ascii="Times New Roman" w:cs="Times New Roman" w:eastAsia="Times New Roman" w:hAnsi="Times New Roman"/>
          <w:sz w:val="21"/>
          <w:szCs w:val="21"/>
          <w:color w:val="auto"/>
        </w:rPr>
      </w:pPr>
    </w:p>
    <w:p>
      <w:pPr>
        <w:ind w:firstLine="1864"/>
        <w:spacing w:after="0" w:line="236" w:lineRule="auto"/>
        <w:tabs>
          <w:tab w:leader="none" w:pos="2404"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Reallocation of Applicable Percentages to Reduce Fronting Exposure</w:t>
      </w:r>
      <w:r>
        <w:rPr>
          <w:rFonts w:ascii="Times New Roman" w:cs="Times New Roman" w:eastAsia="Times New Roman" w:hAnsi="Times New Roman"/>
          <w:sz w:val="21"/>
          <w:szCs w:val="21"/>
          <w:color w:val="auto"/>
        </w:rPr>
        <w:t>. All or any part of such Defaulting Lender’s participation in L/C Obligations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66</w:t>
      </w:r>
    </w:p>
    <w:p>
      <w:pPr>
        <w:sectPr>
          <w:pgSz w:w="11900" w:h="16838" w:orient="portrait"/>
          <w:cols w:equalWidth="0" w:num="1">
            <w:col w:w="11240"/>
          </w:cols>
          <w:pgMar w:left="320" w:top="1342" w:right="339" w:bottom="1440" w:gutter="0" w:footer="0" w:header="0"/>
        </w:sectPr>
      </w:pPr>
    </w:p>
    <w:bookmarkStart w:id="136" w:name="page137"/>
    <w:bookmarkEnd w:id="136"/>
    <w:p>
      <w:pPr>
        <w:jc w:val="both"/>
        <w:spacing w:after="0" w:line="223" w:lineRule="auto"/>
        <w:rPr>
          <w:sz w:val="20"/>
          <w:szCs w:val="20"/>
          <w:color w:val="auto"/>
        </w:rPr>
      </w:pPr>
      <w:r>
        <w:rPr>
          <w:rFonts w:ascii="Times New Roman" w:cs="Times New Roman" w:eastAsia="Times New Roman" w:hAnsi="Times New Roman"/>
          <w:sz w:val="20"/>
          <w:szCs w:val="20"/>
          <w:color w:val="auto"/>
        </w:rPr>
        <w:t xml:space="preserve">Swing Line Loans shall be reallocated among the Non-Defaulting Lenders in accordance with their respective Applicable Percentages (calculated without regard to such Defaulting Lender’s Commitment) but only to the extent that (x) the conditions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4.02</w:t>
      </w:r>
      <w:r>
        <w:rPr>
          <w:rFonts w:ascii="Times New Roman" w:cs="Times New Roman" w:eastAsia="Times New Roman" w:hAnsi="Times New Roman"/>
          <w:sz w:val="20"/>
          <w:szCs w:val="20"/>
          <w:color w:val="auto"/>
        </w:rPr>
        <w:t xml:space="preserve"> are satisfied at the time of such reallocation (and, unless Toro shall have otherwise notified the Administrative Agent at such time, Toro shall be deemed to have represented and warranted that such conditions are satisfied at such time), and (y) such reallocation does not cause the aggregate Revolving Credit Exposure of any Non- Defaulting Lender to exceed such Non-Defaulting Lender’s Revolving Credit Commitment. Subject to </w:t>
      </w:r>
      <w:r>
        <w:rPr>
          <w:rFonts w:ascii="Times New Roman" w:cs="Times New Roman" w:eastAsia="Times New Roman" w:hAnsi="Times New Roman"/>
          <w:sz w:val="20"/>
          <w:szCs w:val="20"/>
          <w:u w:val="single" w:color="auto"/>
          <w:color w:val="auto"/>
        </w:rPr>
        <w:t>Section 11.24</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 Defaulting Lender’s increased exposure following such reallocation.</w:t>
      </w:r>
    </w:p>
    <w:p>
      <w:pPr>
        <w:spacing w:after="0" w:line="151" w:lineRule="exact"/>
        <w:rPr>
          <w:sz w:val="20"/>
          <w:szCs w:val="20"/>
          <w:color w:val="auto"/>
        </w:rPr>
      </w:pPr>
    </w:p>
    <w:p>
      <w:pPr>
        <w:jc w:val="both"/>
        <w:ind w:firstLine="1864"/>
        <w:spacing w:after="0" w:line="220" w:lineRule="auto"/>
        <w:tabs>
          <w:tab w:leader="none" w:pos="2412"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Collateral, Repayment of Swing Line Loans</w:t>
      </w:r>
      <w:r>
        <w:rPr>
          <w:rFonts w:ascii="Times New Roman" w:cs="Times New Roman" w:eastAsia="Times New Roman" w:hAnsi="Times New Roman"/>
          <w:sz w:val="21"/>
          <w:szCs w:val="21"/>
          <w:color w:val="auto"/>
        </w:rPr>
        <w:t xml:space="preserve">. If the reallocation described in </w:t>
      </w:r>
      <w:r>
        <w:rPr>
          <w:rFonts w:ascii="Times New Roman" w:cs="Times New Roman" w:eastAsia="Times New Roman" w:hAnsi="Times New Roman"/>
          <w:sz w:val="21"/>
          <w:szCs w:val="21"/>
          <w:u w:val="single" w:color="auto"/>
          <w:color w:val="auto"/>
        </w:rPr>
        <w:t>clause (a)(iv)</w:t>
      </w:r>
      <w:r>
        <w:rPr>
          <w:rFonts w:ascii="Times New Roman" w:cs="Times New Roman" w:eastAsia="Times New Roman" w:hAnsi="Times New Roman"/>
          <w:sz w:val="21"/>
          <w:szCs w:val="21"/>
          <w:color w:val="auto"/>
        </w:rPr>
        <w:t xml:space="preserve"> above cannot, or can only partially, be effected, the Borrowers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 w:cs="Times New Roman" w:eastAsia="Times New Roman" w:hAnsi="Times New Roman"/>
          <w:sz w:val="21"/>
          <w:szCs w:val="21"/>
          <w:u w:val="single" w:color="auto"/>
          <w:color w:val="auto"/>
        </w:rPr>
        <w:t>Section 2.15</w:t>
      </w:r>
      <w:r>
        <w:rPr>
          <w:rFonts w:ascii="Times New Roman" w:cs="Times New Roman" w:eastAsia="Times New Roman" w:hAnsi="Times New Roman"/>
          <w:sz w:val="21"/>
          <w:szCs w:val="21"/>
          <w:color w:val="auto"/>
        </w:rPr>
        <w:t>.</w:t>
      </w:r>
    </w:p>
    <w:p>
      <w:pPr>
        <w:spacing w:after="0" w:line="148" w:lineRule="exact"/>
        <w:rPr>
          <w:rFonts w:ascii="Times New Roman" w:cs="Times New Roman" w:eastAsia="Times New Roman" w:hAnsi="Times New Roman"/>
          <w:sz w:val="21"/>
          <w:szCs w:val="21"/>
          <w:color w:val="auto"/>
        </w:rPr>
      </w:pPr>
    </w:p>
    <w:p>
      <w:pPr>
        <w:jc w:val="both"/>
        <w:ind w:firstLine="1244"/>
        <w:spacing w:after="0" w:line="210" w:lineRule="auto"/>
        <w:tabs>
          <w:tab w:leader="none" w:pos="1727"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Defaulting Lender Cure</w:t>
      </w:r>
      <w:r>
        <w:rPr>
          <w:rFonts w:ascii="Times New Roman" w:cs="Times New Roman" w:eastAsia="Times New Roman" w:hAnsi="Times New Roman"/>
          <w:sz w:val="21"/>
          <w:szCs w:val="21"/>
          <w:color w:val="auto"/>
        </w:rPr>
        <w:t xml:space="preserve">. If Toro, the Administrative Agent, and, in the case that a Defaulting Lender is a Lender, the Swing Line Lender and the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 Line Loans to be held on a pro rata basis by the Lenders in accordance with their Applicable Percentages (without giving effect to </w:t>
      </w:r>
      <w:r>
        <w:rPr>
          <w:rFonts w:ascii="Times New Roman" w:cs="Times New Roman" w:eastAsia="Times New Roman" w:hAnsi="Times New Roman"/>
          <w:sz w:val="21"/>
          <w:szCs w:val="21"/>
          <w:u w:val="single" w:color="auto"/>
          <w:color w:val="auto"/>
        </w:rPr>
        <w:t>Section 2.16(a)(iv</w:t>
      </w:r>
      <w:r>
        <w:rPr>
          <w:rFonts w:ascii="Times New Roman" w:cs="Times New Roman" w:eastAsia="Times New Roman" w:hAnsi="Times New Roman"/>
          <w:sz w:val="21"/>
          <w:szCs w:val="21"/>
          <w:color w:val="auto"/>
        </w:rPr>
        <w:t xml:space="preserve">)), whereupon that Lender will cease to be a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adjustments will be made retroactively with respect to fees accrued or payments made by or on behalf of any Borrower while that Lender was a Defaulting Lender;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52" w:lineRule="exact"/>
        <w:rPr>
          <w:rFonts w:ascii="Times New Roman" w:cs="Times New Roman" w:eastAsia="Times New Roman" w:hAnsi="Times New Roman"/>
          <w:sz w:val="21"/>
          <w:szCs w:val="21"/>
          <w:color w:val="auto"/>
        </w:rPr>
      </w:pPr>
    </w:p>
    <w:p>
      <w:pPr>
        <w:jc w:val="both"/>
        <w:ind w:firstLine="1244"/>
        <w:spacing w:after="0" w:line="220" w:lineRule="auto"/>
        <w:tabs>
          <w:tab w:leader="none" w:pos="1715"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New Swing Line Loans/Letters of Credit.</w:t>
      </w:r>
      <w:r>
        <w:rPr>
          <w:rFonts w:ascii="Times New Roman" w:cs="Times New Roman" w:eastAsia="Times New Roman" w:hAnsi="Times New Roman"/>
          <w:sz w:val="21"/>
          <w:szCs w:val="21"/>
          <w:color w:val="auto"/>
        </w:rPr>
        <w:t xml:space="preserve"> So long as any Revolving Credit Lender is a Defaulting Lender, (i) the Swing Line Lender shall not be required to fund any Swing Line Loans unless it is satisfied that it will have no Fronting Exposure after giving effect to such Swing Line Loan and (ii) the L/C Issuer shall not be required to issue, extend, increase, reinstate or renew any Letter of Credit unless it is satisfied that it will have no Fronting Exposure after giving effect thereto.</w:t>
      </w:r>
    </w:p>
    <w:p>
      <w:pPr>
        <w:spacing w:after="0" w:line="144" w:lineRule="exact"/>
        <w:rPr>
          <w:sz w:val="20"/>
          <w:szCs w:val="20"/>
          <w:color w:val="auto"/>
        </w:rPr>
      </w:pPr>
    </w:p>
    <w:p>
      <w:pPr>
        <w:jc w:val="both"/>
        <w:ind w:firstLine="620"/>
        <w:spacing w:after="0" w:line="214" w:lineRule="auto"/>
        <w:rPr>
          <w:sz w:val="20"/>
          <w:szCs w:val="20"/>
          <w:color w:val="auto"/>
        </w:rPr>
      </w:pPr>
      <w:r>
        <w:rPr>
          <w:rFonts w:ascii="Times New Roman" w:cs="Times New Roman" w:eastAsia="Times New Roman" w:hAnsi="Times New Roman"/>
          <w:sz w:val="21"/>
          <w:szCs w:val="21"/>
          <w:b w:val="1"/>
          <w:bCs w:val="1"/>
          <w:color w:val="auto"/>
        </w:rPr>
        <w:t>2.17 Designated Borrowers</w:t>
      </w:r>
      <w:r>
        <w:rPr>
          <w:rFonts w:ascii="Times New Roman" w:cs="Times New Roman" w:eastAsia="Times New Roman" w:hAnsi="Times New Roman"/>
          <w:sz w:val="21"/>
          <w:szCs w:val="21"/>
          <w:color w:val="auto"/>
        </w:rPr>
        <w:t>. (a) Toro may at any time, upon not less than 15 Business Days’ notice from Toro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Administrative Agent (or such shorter period as may be agreed by the Administrative Agent in its sole discretion), designate any additional Subsidiary of Toro (an “</w:t>
      </w:r>
      <w:r>
        <w:rPr>
          <w:rFonts w:ascii="Times New Roman" w:cs="Times New Roman" w:eastAsia="Times New Roman" w:hAnsi="Times New Roman"/>
          <w:sz w:val="21"/>
          <w:szCs w:val="21"/>
          <w:u w:val="single" w:color="auto"/>
          <w:color w:val="auto"/>
        </w:rPr>
        <w:t>Applicant Borrower</w:t>
      </w:r>
      <w:r>
        <w:rPr>
          <w:rFonts w:ascii="Times New Roman" w:cs="Times New Roman" w:eastAsia="Times New Roman" w:hAnsi="Times New Roman"/>
          <w:sz w:val="21"/>
          <w:szCs w:val="21"/>
          <w:color w:val="auto"/>
        </w:rPr>
        <w:t>”) as a Designated Borrower to receive Loans hereunder by delivering to the Administrative Agent (which shall promptly deliver counterparts thereof to each Lender) a duly executed notice and agreement in substantially the form of Exhibit G (a “</w:t>
      </w:r>
      <w:r>
        <w:rPr>
          <w:rFonts w:ascii="Times New Roman" w:cs="Times New Roman" w:eastAsia="Times New Roman" w:hAnsi="Times New Roman"/>
          <w:sz w:val="21"/>
          <w:szCs w:val="21"/>
          <w:u w:val="single" w:color="auto"/>
          <w:color w:val="auto"/>
        </w:rPr>
        <w:t>Designated Borrower Request and Assumption Agreement</w:t>
      </w:r>
      <w:r>
        <w:rPr>
          <w:rFonts w:ascii="Times New Roman" w:cs="Times New Roman" w:eastAsia="Times New Roman" w:hAnsi="Times New Roman"/>
          <w:sz w:val="21"/>
          <w:szCs w:val="21"/>
          <w:color w:val="auto"/>
        </w:rPr>
        <w:t>”). The parties hereto acknowledge and agree that prior to any Applicant Borrower becoming entitled to utilize the credit facilities provided for herein the Administrative Agent and the Lenders shall have received such supporting resolutions,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ectPr>
          <w:pgSz w:w="11900" w:h="16838" w:orient="portrait"/>
          <w:cols w:equalWidth="0" w:num="1">
            <w:col w:w="11240"/>
          </w:cols>
          <w:pgMar w:left="320" w:top="1342" w:right="339" w:bottom="1440" w:gutter="0" w:footer="0" w:header="0"/>
        </w:sectPr>
      </w:pPr>
    </w:p>
    <w:bookmarkStart w:id="137" w:name="page138"/>
    <w:bookmarkEnd w:id="137"/>
    <w:p>
      <w:pPr>
        <w:jc w:val="both"/>
        <w:spacing w:after="0" w:line="220" w:lineRule="auto"/>
        <w:rPr>
          <w:sz w:val="20"/>
          <w:szCs w:val="20"/>
          <w:color w:val="auto"/>
        </w:rPr>
      </w:pPr>
      <w:r>
        <w:rPr>
          <w:rFonts w:ascii="Times New Roman" w:cs="Times New Roman" w:eastAsia="Times New Roman" w:hAnsi="Times New Roman"/>
          <w:sz w:val="20"/>
          <w:szCs w:val="20"/>
          <w:color w:val="auto"/>
        </w:rPr>
        <w:t xml:space="preserve">incumbency certificates, opinions of counsel, such information as may be requested pursuant to </w:t>
      </w:r>
      <w:r>
        <w:rPr>
          <w:rFonts w:ascii="Times New Roman" w:cs="Times New Roman" w:eastAsia="Times New Roman" w:hAnsi="Times New Roman"/>
          <w:sz w:val="20"/>
          <w:szCs w:val="20"/>
          <w:u w:val="single" w:color="auto"/>
          <w:color w:val="auto"/>
        </w:rPr>
        <w:t>Section 4.01(a)(xi)</w:t>
      </w:r>
      <w:r>
        <w:rPr>
          <w:rFonts w:ascii="Times New Roman" w:cs="Times New Roman" w:eastAsia="Times New Roman" w:hAnsi="Times New Roman"/>
          <w:sz w:val="20"/>
          <w:szCs w:val="20"/>
          <w:color w:val="auto"/>
        </w:rPr>
        <w:t xml:space="preserve"> and other documents or information, in form, content and scope reasonably satisfactory to the Administrative Agent, as may be required by the Administrative Agent or the Required Lenders in their sole discretion, and Notes signed by such new Subsidiary Borrowers to the extent any Lenders so require. If the Administrative Agent and each of the Lenders agree that an Applicant Borrower shall be entitled to receive Loans hereunder (provided, for the avoidance of doubt, that any Lender may be entitled to reject any Applicant Borrower as a Designated Borrower hereunder to the extent that such Applicant Borrower is organized under the laws of a jurisdiction other than the United States or a political subdivision thereof, and such Lender may not legally lend to, establish credit for the account of, or do any business whatsoever with such Applicant Borrower), then promptly following receipt of all such requested resolutions, incumbency certificates, opinions of counsel, such information as may be requested pursuant to </w:t>
      </w:r>
      <w:r>
        <w:rPr>
          <w:rFonts w:ascii="Times New Roman" w:cs="Times New Roman" w:eastAsia="Times New Roman" w:hAnsi="Times New Roman"/>
          <w:sz w:val="20"/>
          <w:szCs w:val="20"/>
          <w:u w:val="single" w:color="auto"/>
          <w:color w:val="auto"/>
        </w:rPr>
        <w:t>Section 4.01(a)(xi)</w:t>
      </w:r>
      <w:r>
        <w:rPr>
          <w:rFonts w:ascii="Times New Roman" w:cs="Times New Roman" w:eastAsia="Times New Roman" w:hAnsi="Times New Roman"/>
          <w:sz w:val="20"/>
          <w:szCs w:val="20"/>
          <w:color w:val="auto"/>
        </w:rPr>
        <w:t xml:space="preserve"> and other documents or information, the Administrative Agent shall send a notice in substantially the form of Exhibit H (a “</w:t>
      </w:r>
      <w:r>
        <w:rPr>
          <w:rFonts w:ascii="Times New Roman" w:cs="Times New Roman" w:eastAsia="Times New Roman" w:hAnsi="Times New Roman"/>
          <w:sz w:val="20"/>
          <w:szCs w:val="20"/>
          <w:u w:val="single" w:color="auto"/>
          <w:color w:val="auto"/>
        </w:rPr>
        <w:t>Designated Borrower Notice</w:t>
      </w:r>
      <w:r>
        <w:rPr>
          <w:rFonts w:ascii="Times New Roman" w:cs="Times New Roman" w:eastAsia="Times New Roman" w:hAnsi="Times New Roman"/>
          <w:sz w:val="20"/>
          <w:szCs w:val="20"/>
          <w:color w:val="auto"/>
        </w:rPr>
        <w:t>”) to Toro and the Lenders specifying the effective date upon which the Applicant Borrower shall constitute a Designated Borrower for purposes hereof, whereupon each of the Lenders agrees to permit such Designated Borrower to receive Loans hereunder, on the terms and conditions set forth herein, and each of the parties agrees that such Designated Borrower otherwise shall be a Subsidiary Borrower for all purposes of this Agreement; provided that no Loan Notice or Letter of Credit Application may be submitted by or on behalf of such Designated Borrower until the date five (5) Business Days after such effective date.</w:t>
      </w:r>
    </w:p>
    <w:p>
      <w:pPr>
        <w:spacing w:after="0" w:line="144" w:lineRule="exact"/>
        <w:rPr>
          <w:sz w:val="20"/>
          <w:szCs w:val="20"/>
          <w:color w:val="auto"/>
        </w:rPr>
      </w:pPr>
    </w:p>
    <w:p>
      <w:pPr>
        <w:ind w:left="1700" w:hanging="456"/>
        <w:spacing w:after="0"/>
        <w:tabs>
          <w:tab w:leader="none" w:pos="170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 of all Designated Borrowers shall be several in nature and shall be guaranteed by Toro pursuant to</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hereof.</w:t>
      </w:r>
    </w:p>
    <w:p>
      <w:pPr>
        <w:spacing w:after="0" w:line="149" w:lineRule="exact"/>
        <w:rPr>
          <w:rFonts w:ascii="Times New Roman" w:cs="Times New Roman" w:eastAsia="Times New Roman" w:hAnsi="Times New Roman"/>
          <w:sz w:val="20"/>
          <w:szCs w:val="20"/>
          <w:color w:val="auto"/>
        </w:rPr>
      </w:pPr>
    </w:p>
    <w:p>
      <w:pPr>
        <w:jc w:val="both"/>
        <w:ind w:firstLine="1244"/>
        <w:spacing w:after="0" w:line="217" w:lineRule="auto"/>
        <w:tabs>
          <w:tab w:leader="none" w:pos="1718"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Toro may from time to time, upon not less than 15 Business Days’ notice from Toro to the Administrative Agent (or such shorter period as may be agreed by the Administrative Agent in its sole discretion), terminate a Designated Borrower’s status as such,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145"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2.18</w:t>
      </w:r>
      <w:r>
        <w:rPr>
          <w:sz w:val="20"/>
          <w:szCs w:val="20"/>
          <w:color w:val="auto"/>
        </w:rPr>
        <w:tab/>
      </w:r>
      <w:r>
        <w:rPr>
          <w:rFonts w:ascii="Times New Roman" w:cs="Times New Roman" w:eastAsia="Times New Roman" w:hAnsi="Times New Roman"/>
          <w:sz w:val="20"/>
          <w:szCs w:val="20"/>
          <w:b w:val="1"/>
          <w:bCs w:val="1"/>
          <w:color w:val="auto"/>
        </w:rPr>
        <w:t>Sustainability Adjustments.</w:t>
      </w:r>
    </w:p>
    <w:p>
      <w:pPr>
        <w:spacing w:after="0" w:line="176" w:lineRule="exact"/>
        <w:rPr>
          <w:sz w:val="20"/>
          <w:szCs w:val="20"/>
          <w:color w:val="auto"/>
        </w:rPr>
      </w:pPr>
    </w:p>
    <w:p>
      <w:pPr>
        <w:jc w:val="both"/>
        <w:ind w:firstLine="1244"/>
        <w:spacing w:after="0" w:line="209" w:lineRule="auto"/>
        <w:tabs>
          <w:tab w:leader="none" w:pos="1806"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ESG Amendment</w:t>
      </w:r>
      <w:r>
        <w:rPr>
          <w:rFonts w:ascii="Times New Roman" w:cs="Times New Roman" w:eastAsia="Times New Roman" w:hAnsi="Times New Roman"/>
          <w:sz w:val="21"/>
          <w:szCs w:val="21"/>
          <w:color w:val="auto"/>
        </w:rPr>
        <w:t>. After the Closing Date, Toro, in consultation with the Sustainability Coordinator, shall be entitled to establish key performance indicators (“</w:t>
      </w:r>
      <w:r>
        <w:rPr>
          <w:rFonts w:ascii="Times New Roman" w:cs="Times New Roman" w:eastAsia="Times New Roman" w:hAnsi="Times New Roman"/>
          <w:sz w:val="21"/>
          <w:szCs w:val="21"/>
          <w:u w:val="single" w:color="auto"/>
          <w:color w:val="auto"/>
        </w:rPr>
        <w:t>KPIs</w:t>
      </w:r>
      <w:r>
        <w:rPr>
          <w:rFonts w:ascii="Times New Roman" w:cs="Times New Roman" w:eastAsia="Times New Roman" w:hAnsi="Times New Roman"/>
          <w:sz w:val="21"/>
          <w:szCs w:val="21"/>
          <w:color w:val="auto"/>
        </w:rPr>
        <w:t>”) for the Revolving Credit Facility with respect to certain environmental, social and governance (“</w:t>
      </w:r>
      <w:r>
        <w:rPr>
          <w:rFonts w:ascii="Times New Roman" w:cs="Times New Roman" w:eastAsia="Times New Roman" w:hAnsi="Times New Roman"/>
          <w:sz w:val="21"/>
          <w:szCs w:val="21"/>
          <w:u w:val="single" w:color="auto"/>
          <w:color w:val="auto"/>
        </w:rPr>
        <w:t>ESG</w:t>
      </w:r>
      <w:r>
        <w:rPr>
          <w:rFonts w:ascii="Times New Roman" w:cs="Times New Roman" w:eastAsia="Times New Roman" w:hAnsi="Times New Roman"/>
          <w:sz w:val="21"/>
          <w:szCs w:val="21"/>
          <w:color w:val="auto"/>
        </w:rPr>
        <w:t>”) targets of the Borrowers and their Subsidiaries. The Sustainability Coordinator and Toro may amend this Agreement (such amendment, an “</w:t>
      </w:r>
      <w:r>
        <w:rPr>
          <w:rFonts w:ascii="Times New Roman" w:cs="Times New Roman" w:eastAsia="Times New Roman" w:hAnsi="Times New Roman"/>
          <w:sz w:val="21"/>
          <w:szCs w:val="21"/>
          <w:u w:val="single" w:color="auto"/>
          <w:color w:val="auto"/>
        </w:rPr>
        <w:t>ESG Amendment</w:t>
      </w:r>
      <w:r>
        <w:rPr>
          <w:rFonts w:ascii="Times New Roman" w:cs="Times New Roman" w:eastAsia="Times New Roman" w:hAnsi="Times New Roman"/>
          <w:sz w:val="21"/>
          <w:szCs w:val="21"/>
          <w:color w:val="auto"/>
        </w:rPr>
        <w:t>”) solely for the purpose of incorporating the KPIs and the other related provisions (the “</w:t>
      </w:r>
      <w:r>
        <w:rPr>
          <w:rFonts w:ascii="Times New Roman" w:cs="Times New Roman" w:eastAsia="Times New Roman" w:hAnsi="Times New Roman"/>
          <w:sz w:val="21"/>
          <w:szCs w:val="21"/>
          <w:u w:val="single" w:color="auto"/>
          <w:color w:val="auto"/>
        </w:rPr>
        <w:t>ESG Pricing Provisions</w:t>
      </w:r>
      <w:r>
        <w:rPr>
          <w:rFonts w:ascii="Times New Roman" w:cs="Times New Roman" w:eastAsia="Times New Roman" w:hAnsi="Times New Roman"/>
          <w:sz w:val="21"/>
          <w:szCs w:val="21"/>
          <w:color w:val="auto"/>
        </w:rPr>
        <w:t xml:space="preserve">”) into this Agreement, and any such amendment shall become effective at 5:00 p.m., New York City time, on the tenth Business Day after the Administrative Agent shall have posted such proposed amendment to all Lenders and the Borrowers unless, prior to such time, Lenders comprising the Required Lenders have delivered to the Administrative Agent (who shall promptly notify the Borrowers) written notice that such Required Lenders object to such ESG Amendment. In the event that the Required Lenders deliver a written notice objecting to any such ESG Amendment, an alternative ESG Amendment may be effectuated with the consent of the Required Lenders, Toro and the Sustainability Coordinator. Upon the effectiveness of any such ESG Amendment, based on the Borrower’s performance against the KPIs, certain adjustments (increase, decrease or no adjustment) to the otherwise applicable Facility Fee, Applicable Rate for Base Rate Loans, Swing Line Loans, Term SOFR Loans, Alternative Currency Loans, and Letter of Credit Fees will be made;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more than one KPI has been established, the amount of such adjustments shall (x) in the case of the applicable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ectPr>
          <w:pgSz w:w="11900" w:h="16838" w:orient="portrait"/>
          <w:cols w:equalWidth="0" w:num="1">
            <w:col w:w="11240"/>
          </w:cols>
          <w:pgMar w:left="320" w:top="1342"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color w:val="auto"/>
        </w:rPr>
        <w:t>Fee, (i) increase by 0.01% if none of the then existing KPIs are met or (ii) decrease by 0.01% if all of the then existing KPIs are met or</w:t>
      </w:r>
    </w:p>
    <w:p>
      <w:pPr>
        <w:jc w:val="both"/>
        <w:ind w:firstLine="3"/>
        <w:spacing w:after="0" w:line="209" w:lineRule="auto"/>
        <w:tabs>
          <w:tab w:leader="none" w:pos="313"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the Applicable Rate for Term SOFR Loans, Alternative Currency Loans and Letter of Credit Fees, (i) increase by 0.04% if none of the then existing KPIs are met or (ii) decrease by 0.04% if all of the then existing KPIs are met, and the adjustments to the Applicable Rate for Base Rate Loans and Swing Line Loans shall be the same amount, in basis points, as the adjustments to the Applicable Rate for Term SOFR Loans and Letter of Credit Fees,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no event shall the Applicable Rate for Base Rate Loans and Swing Line Loans be less than zero;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if more than one KPI has been established and just one of the then existing KPIs is met, no adjustments to the Facility Fee or the Applicable Rate shall be made. The pricing adjustments pursuant to the KPIs will require, among other things, reporting and validation of the measurement of the KPIs in a manner that is aligned with the Sustainability Linked Loan Principles and is to be agreed between Toro and the Sustainability Coordinator (each acting reasonably). Following the effectiveness of the ESG Amendment:</w:t>
      </w:r>
    </w:p>
    <w:p>
      <w:pPr>
        <w:spacing w:after="0" w:line="152" w:lineRule="exact"/>
        <w:rPr>
          <w:rFonts w:ascii="Times New Roman" w:cs="Times New Roman" w:eastAsia="Times New Roman" w:hAnsi="Times New Roman"/>
          <w:sz w:val="21"/>
          <w:szCs w:val="21"/>
          <w:color w:val="auto"/>
        </w:rPr>
      </w:pPr>
    </w:p>
    <w:p>
      <w:pPr>
        <w:jc w:val="both"/>
        <w:ind w:firstLine="1864"/>
        <w:spacing w:after="0" w:line="224" w:lineRule="auto"/>
        <w:tabs>
          <w:tab w:leader="none" w:pos="2291" w:val="left"/>
        </w:tabs>
        <w:numPr>
          <w:ilvl w:val="2"/>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modification to the ESG Pricing Provisions which has the effect of (x) reducing the applicable Facility Fee, Applicable Rate for Base Rate Loan and Swing Line Loans, or Applicable Rate for Term SOFR Loans, Alternative Currency Loans and Letter of Credit Fees to a level not otherwise permitted by </w:t>
      </w:r>
      <w:r>
        <w:rPr>
          <w:rFonts w:ascii="Times New Roman" w:cs="Times New Roman" w:eastAsia="Times New Roman" w:hAnsi="Times New Roman"/>
          <w:sz w:val="20"/>
          <w:szCs w:val="20"/>
          <w:u w:val="single" w:color="auto"/>
          <w:color w:val="auto"/>
        </w:rPr>
        <w:t>Section 2.18(a)</w:t>
      </w:r>
      <w:r>
        <w:rPr>
          <w:rFonts w:ascii="Times New Roman" w:cs="Times New Roman" w:eastAsia="Times New Roman" w:hAnsi="Times New Roman"/>
          <w:sz w:val="20"/>
          <w:szCs w:val="20"/>
          <w:color w:val="auto"/>
        </w:rPr>
        <w:t xml:space="preserve"> or (y) increasing the applicable Facility Fee, Applicable Rate for Base Rate Loans and Swing Line Loans, or Applicable Rate for Term SOFR Loans, Alternative Currency Loans and Letter of Credit Fees that is not accompanied by a corresponding reduction of the applicable Facility Fee, Applicable Rate for Base Rate Loans and Swing Line Loans, or Applicable Rate for Term SOFR Loans, Alternative Currency Loans, and Letter of Credit Fees by a percentage equivalent to such increase, shall (in each case) be subject to the consent of all Lenders; and</w:t>
      </w:r>
    </w:p>
    <w:p>
      <w:pPr>
        <w:spacing w:after="0" w:line="151" w:lineRule="exact"/>
        <w:rPr>
          <w:rFonts w:ascii="Times New Roman" w:cs="Times New Roman" w:eastAsia="Times New Roman" w:hAnsi="Times New Roman"/>
          <w:sz w:val="20"/>
          <w:szCs w:val="20"/>
          <w:color w:val="auto"/>
        </w:rPr>
      </w:pPr>
    </w:p>
    <w:p>
      <w:pPr>
        <w:ind w:firstLine="1864"/>
        <w:spacing w:after="0" w:line="236" w:lineRule="auto"/>
        <w:tabs>
          <w:tab w:leader="none" w:pos="2429" w:val="left"/>
        </w:tabs>
        <w:numPr>
          <w:ilvl w:val="2"/>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other modification to the ESG Pricing Provisions (other than as provided for in </w:t>
      </w:r>
      <w:r>
        <w:rPr>
          <w:rFonts w:ascii="Times New Roman" w:cs="Times New Roman" w:eastAsia="Times New Roman" w:hAnsi="Times New Roman"/>
          <w:sz w:val="21"/>
          <w:szCs w:val="21"/>
          <w:u w:val="single" w:color="auto"/>
          <w:color w:val="auto"/>
        </w:rPr>
        <w:t>Section 2.18(a)(i)</w:t>
      </w:r>
      <w:r>
        <w:rPr>
          <w:rFonts w:ascii="Times New Roman" w:cs="Times New Roman" w:eastAsia="Times New Roman" w:hAnsi="Times New Roman"/>
          <w:sz w:val="21"/>
          <w:szCs w:val="21"/>
          <w:color w:val="auto"/>
        </w:rPr>
        <w:t xml:space="preserve"> above) shall be subject only to the consent of the Required Lenders.</w:t>
      </w:r>
    </w:p>
    <w:p>
      <w:pPr>
        <w:spacing w:after="0" w:line="145" w:lineRule="exact"/>
        <w:rPr>
          <w:rFonts w:ascii="Times New Roman" w:cs="Times New Roman" w:eastAsia="Times New Roman" w:hAnsi="Times New Roman"/>
          <w:sz w:val="21"/>
          <w:szCs w:val="21"/>
          <w:color w:val="auto"/>
        </w:rPr>
      </w:pPr>
    </w:p>
    <w:p>
      <w:pPr>
        <w:jc w:val="both"/>
        <w:ind w:firstLine="1244"/>
        <w:spacing w:after="0" w:line="225" w:lineRule="auto"/>
        <w:tabs>
          <w:tab w:leader="none" w:pos="1740"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Sustainability Coordinator</w:t>
      </w:r>
      <w:r>
        <w:rPr>
          <w:rFonts w:ascii="Times New Roman" w:cs="Times New Roman" w:eastAsia="Times New Roman" w:hAnsi="Times New Roman"/>
          <w:sz w:val="21"/>
          <w:szCs w:val="21"/>
          <w:color w:val="auto"/>
        </w:rPr>
        <w:t>. If engaged by Toro, the Sustainability Coordinator will (i) assist Toro in determining the ESG Pricing Provisions in connection with the ESG Amendment and (ii) assist Toro in preparing informational materials focused on ESG to be used in connection with the ESG Amendment.</w:t>
      </w:r>
    </w:p>
    <w:p>
      <w:pPr>
        <w:spacing w:after="0" w:line="147" w:lineRule="exact"/>
        <w:rPr>
          <w:rFonts w:ascii="Times New Roman" w:cs="Times New Roman" w:eastAsia="Times New Roman" w:hAnsi="Times New Roman"/>
          <w:sz w:val="21"/>
          <w:szCs w:val="21"/>
          <w:color w:val="auto"/>
        </w:rPr>
      </w:pPr>
    </w:p>
    <w:p>
      <w:pPr>
        <w:ind w:left="1680" w:hanging="436"/>
        <w:spacing w:after="0"/>
        <w:tabs>
          <w:tab w:leader="none" w:pos="1680"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Conflicting Provisions</w:t>
      </w:r>
      <w:r>
        <w:rPr>
          <w:rFonts w:ascii="Times New Roman" w:cs="Times New Roman" w:eastAsia="Times New Roman" w:hAnsi="Times New Roman"/>
          <w:sz w:val="21"/>
          <w:szCs w:val="21"/>
          <w:color w:val="auto"/>
        </w:rPr>
        <w:t xml:space="preserve">. This Section shall supersede any provisions in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xml:space="preserve"> to the contrary.</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ARTICLE III.</w:t>
      </w:r>
    </w:p>
    <w:p>
      <w:pPr>
        <w:jc w:val="center"/>
        <w:spacing w:after="0"/>
        <w:rPr>
          <w:sz w:val="20"/>
          <w:szCs w:val="20"/>
          <w:color w:val="auto"/>
        </w:rPr>
      </w:pPr>
      <w:r>
        <w:rPr>
          <w:rFonts w:ascii="Times New Roman" w:cs="Times New Roman" w:eastAsia="Times New Roman" w:hAnsi="Times New Roman"/>
          <w:sz w:val="21"/>
          <w:szCs w:val="21"/>
          <w:b w:val="1"/>
          <w:bCs w:val="1"/>
          <w:color w:val="auto"/>
        </w:rPr>
        <w:t>TAXES, YIELD PROTECTION AND ILLEGALITY</w:t>
      </w:r>
    </w:p>
    <w:p>
      <w:pPr>
        <w:spacing w:after="0" w:line="146"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b w:val="1"/>
          <w:bCs w:val="1"/>
          <w:color w:val="auto"/>
        </w:rPr>
        <w:t>3.01</w:t>
      </w:r>
      <w:r>
        <w:rPr>
          <w:sz w:val="20"/>
          <w:szCs w:val="20"/>
          <w:color w:val="auto"/>
        </w:rPr>
        <w:tab/>
      </w:r>
      <w:r>
        <w:rPr>
          <w:rFonts w:ascii="Times New Roman" w:cs="Times New Roman" w:eastAsia="Times New Roman" w:hAnsi="Times New Roman"/>
          <w:sz w:val="20"/>
          <w:szCs w:val="20"/>
          <w:b w:val="1"/>
          <w:bCs w:val="1"/>
          <w:color w:val="auto"/>
        </w:rPr>
        <w:t>Taxes.</w:t>
      </w:r>
    </w:p>
    <w:p>
      <w:pPr>
        <w:spacing w:after="0" w:line="176" w:lineRule="exact"/>
        <w:rPr>
          <w:sz w:val="20"/>
          <w:szCs w:val="20"/>
          <w:color w:val="auto"/>
        </w:rPr>
      </w:pPr>
    </w:p>
    <w:p>
      <w:pPr>
        <w:ind w:left="1680" w:hanging="436"/>
        <w:spacing w:after="0"/>
        <w:tabs>
          <w:tab w:leader="none" w:pos="168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Free of Taxes; Obligation to Withhold; Payments on Account of Taxes</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firstLine="1864"/>
        <w:spacing w:after="0" w:line="215" w:lineRule="auto"/>
        <w:tabs>
          <w:tab w:leader="none" w:pos="2310"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and all payments by or on account of any obligation of the respective Borrowers hereunder or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Borrower, then the Administrative Agent or such Borrower shall be entitled to make such deduction or withholding, upon the basis of the information and documentation to be delivered pursuant to </w:t>
      </w:r>
      <w:r>
        <w:rPr>
          <w:rFonts w:ascii="Times New Roman" w:cs="Times New Roman" w:eastAsia="Times New Roman" w:hAnsi="Times New Roman"/>
          <w:sz w:val="21"/>
          <w:szCs w:val="21"/>
          <w:u w:val="single" w:color="auto"/>
          <w:color w:val="auto"/>
        </w:rPr>
        <w:t>subsection (e)</w:t>
      </w:r>
      <w:r>
        <w:rPr>
          <w:rFonts w:ascii="Times New Roman" w:cs="Times New Roman" w:eastAsia="Times New Roman" w:hAnsi="Times New Roman"/>
          <w:sz w:val="21"/>
          <w:szCs w:val="21"/>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ectPr>
          <w:pgSz w:w="11900" w:h="16838" w:orient="portrait"/>
          <w:cols w:equalWidth="0" w:num="1">
            <w:col w:w="11240"/>
          </w:cols>
          <w:pgMar w:left="320" w:top="1341" w:right="339" w:bottom="1440" w:gutter="0" w:footer="0" w:header="0"/>
        </w:sectPr>
      </w:pPr>
    </w:p>
    <w:bookmarkStart w:id="139" w:name="page140"/>
    <w:bookmarkEnd w:id="139"/>
    <w:p>
      <w:pPr>
        <w:jc w:val="both"/>
        <w:ind w:firstLine="1864"/>
        <w:spacing w:after="0" w:line="212" w:lineRule="auto"/>
        <w:tabs>
          <w:tab w:leader="none" w:pos="2426"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Borrower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 w:cs="Times New Roman" w:eastAsia="Times New Roman" w:hAnsi="Times New Roman"/>
          <w:sz w:val="21"/>
          <w:szCs w:val="21"/>
          <w:u w:val="single" w:color="auto"/>
          <w:color w:val="auto"/>
        </w:rPr>
        <w:t>subsection (e)</w:t>
      </w:r>
      <w:r>
        <w:rPr>
          <w:rFonts w:ascii="Times New Roman" w:cs="Times New Roman" w:eastAsia="Times New Roman" w:hAnsi="Times New Roman"/>
          <w:sz w:val="21"/>
          <w:szCs w:val="21"/>
          <w:color w:val="auto"/>
        </w:rPr>
        <w:t xml:space="preserve"> below, (B) the Administrative Agent shall timely pay the full amount so withheld or deducted by it to the relevant Governmental Authority in accordance with the Code, and (C) to the extent that the withholding or deduction is made on account of Indemnified Taxes, the sum payable by such Borrower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the applicable Recipient receives an amount equal to the sum it would have received had no such withholding or deduction been made.</w:t>
      </w:r>
    </w:p>
    <w:p>
      <w:pPr>
        <w:spacing w:after="0" w:line="147" w:lineRule="exact"/>
        <w:rPr>
          <w:rFonts w:ascii="Times New Roman" w:cs="Times New Roman" w:eastAsia="Times New Roman" w:hAnsi="Times New Roman"/>
          <w:sz w:val="21"/>
          <w:szCs w:val="21"/>
          <w:color w:val="auto"/>
        </w:rPr>
      </w:pPr>
    </w:p>
    <w:p>
      <w:pPr>
        <w:jc w:val="both"/>
        <w:ind w:firstLine="1864"/>
        <w:spacing w:after="0" w:line="212" w:lineRule="auto"/>
        <w:tabs>
          <w:tab w:leader="none" w:pos="2470"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Borrower or the Administrative Agent shall be required by any Applicable Laws other than the Code to withhold or deduct any Taxes from any payment, then (A) such Borrower or the Administrative Agent, as required by such Laws, shall withhold or make such deductions as are determined by it to be required based upon the information and documentation it has received pursuant to </w:t>
      </w:r>
      <w:r>
        <w:rPr>
          <w:rFonts w:ascii="Times New Roman" w:cs="Times New Roman" w:eastAsia="Times New Roman" w:hAnsi="Times New Roman"/>
          <w:sz w:val="21"/>
          <w:szCs w:val="21"/>
          <w:u w:val="single" w:color="auto"/>
          <w:color w:val="auto"/>
        </w:rPr>
        <w:t>subsection (e)</w:t>
      </w:r>
      <w:r>
        <w:rPr>
          <w:rFonts w:ascii="Times New Roman" w:cs="Times New Roman" w:eastAsia="Times New Roman" w:hAnsi="Times New Roman"/>
          <w:sz w:val="21"/>
          <w:szCs w:val="21"/>
          <w:color w:val="auto"/>
        </w:rPr>
        <w:t xml:space="preserve"> below, (B) such Borrower or the Administrative Agent, to the extent required by such Laws, shall make such deductions and shall timely pay the full amount so withheld or deducted by it to the relevant Governmental Authority in accordance with such Laws, and (C) to the extent that the withholding or deduction is made on account of Indemnified Taxes, the sum payable by such Borrower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the applicable Recipient receives an amount equal to the sum it would have received had no such withholding or deduction been made.</w:t>
      </w:r>
    </w:p>
    <w:p>
      <w:pPr>
        <w:spacing w:after="0" w:line="147" w:lineRule="exact"/>
        <w:rPr>
          <w:rFonts w:ascii="Times New Roman" w:cs="Times New Roman" w:eastAsia="Times New Roman" w:hAnsi="Times New Roman"/>
          <w:sz w:val="21"/>
          <w:szCs w:val="21"/>
          <w:color w:val="auto"/>
        </w:rPr>
      </w:pPr>
    </w:p>
    <w:p>
      <w:pPr>
        <w:jc w:val="both"/>
        <w:ind w:firstLine="1244"/>
        <w:spacing w:after="0" w:line="225" w:lineRule="auto"/>
        <w:tabs>
          <w:tab w:leader="none" w:pos="1701"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Other Taxes by the Borrowers</w:t>
      </w:r>
      <w:r>
        <w:rPr>
          <w:rFonts w:ascii="Times New Roman" w:cs="Times New Roman" w:eastAsia="Times New Roman" w:hAnsi="Times New Roman"/>
          <w:sz w:val="21"/>
          <w:szCs w:val="21"/>
          <w:color w:val="auto"/>
        </w:rPr>
        <w:t xml:space="preserve">. Without limiting the provisions of </w:t>
      </w:r>
      <w:r>
        <w:rPr>
          <w:rFonts w:ascii="Times New Roman" w:cs="Times New Roman" w:eastAsia="Times New Roman" w:hAnsi="Times New Roman"/>
          <w:sz w:val="21"/>
          <w:szCs w:val="21"/>
          <w:u w:val="single" w:color="auto"/>
          <w:color w:val="auto"/>
        </w:rPr>
        <w:t>subsection (a)</w:t>
      </w:r>
      <w:r>
        <w:rPr>
          <w:rFonts w:ascii="Times New Roman" w:cs="Times New Roman" w:eastAsia="Times New Roman" w:hAnsi="Times New Roman"/>
          <w:sz w:val="21"/>
          <w:szCs w:val="21"/>
          <w:color w:val="auto"/>
        </w:rPr>
        <w:t xml:space="preserve"> above, each Borrower shall timely pay to the relevant Governmental Authority in accordance with Applicable Laws, or at the option of the Administrative Agent timely reimburse it for the payment of, any Other Taxes.</w:t>
      </w:r>
    </w:p>
    <w:p>
      <w:pPr>
        <w:spacing w:after="0" w:line="147" w:lineRule="exact"/>
        <w:rPr>
          <w:rFonts w:ascii="Times New Roman" w:cs="Times New Roman" w:eastAsia="Times New Roman" w:hAnsi="Times New Roman"/>
          <w:sz w:val="21"/>
          <w:szCs w:val="21"/>
          <w:color w:val="auto"/>
        </w:rPr>
      </w:pPr>
    </w:p>
    <w:p>
      <w:pPr>
        <w:ind w:left="1680" w:hanging="436"/>
        <w:spacing w:after="0"/>
        <w:tabs>
          <w:tab w:leader="none" w:pos="168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Indemnifications.</w:t>
      </w:r>
    </w:p>
    <w:p>
      <w:pPr>
        <w:spacing w:after="0" w:line="171" w:lineRule="exact"/>
        <w:rPr>
          <w:rFonts w:ascii="Times New Roman" w:cs="Times New Roman" w:eastAsia="Times New Roman" w:hAnsi="Times New Roman"/>
          <w:sz w:val="21"/>
          <w:szCs w:val="21"/>
          <w:color w:val="auto"/>
        </w:rPr>
      </w:pPr>
    </w:p>
    <w:p>
      <w:pPr>
        <w:jc w:val="both"/>
        <w:ind w:firstLine="1864"/>
        <w:spacing w:after="0" w:line="211" w:lineRule="auto"/>
        <w:tabs>
          <w:tab w:leader="none" w:pos="2391"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provisions of </w:t>
      </w:r>
      <w:r>
        <w:rPr>
          <w:rFonts w:ascii="Times New Roman" w:cs="Times New Roman" w:eastAsia="Times New Roman" w:hAnsi="Times New Roman"/>
          <w:sz w:val="21"/>
          <w:szCs w:val="21"/>
          <w:u w:val="single" w:color="auto"/>
          <w:color w:val="auto"/>
        </w:rPr>
        <w:t>subsection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each Borrower shall, and does hereby, indemnify each Recipient, and shall make payment in respect thereof within 30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Each Borrower shall, and does hereby, indemnify the Administrative Agent, and shall make payment in respect thereof within 30 days after demand therefor, for any amount which a Lender or the L/C Issuer for any reason fails to pay indefeasibly to the Administrative Agent as required pursuant to </w:t>
      </w:r>
      <w:r>
        <w:rPr>
          <w:rFonts w:ascii="Times New Roman" w:cs="Times New Roman" w:eastAsia="Times New Roman" w:hAnsi="Times New Roman"/>
          <w:sz w:val="21"/>
          <w:szCs w:val="21"/>
          <w:u w:val="single" w:color="auto"/>
          <w:color w:val="auto"/>
        </w:rPr>
        <w:t>Section 3.01(c)(ii)</w:t>
      </w:r>
      <w:r>
        <w:rPr>
          <w:rFonts w:ascii="Times New Roman" w:cs="Times New Roman" w:eastAsia="Times New Roman" w:hAnsi="Times New Roman"/>
          <w:sz w:val="21"/>
          <w:szCs w:val="21"/>
          <w:color w:val="auto"/>
        </w:rPr>
        <w:t xml:space="preserve"> below. A certificate as to the amount of such payment or liability delivered to a Borrower by a Lender or the L/C Issuer (with a copy to the Administrative Agent), or by the Administrative Agent on its own behalf or on behalf of a Lender or the L/C Issuer, shall be conclusive absent manifest error.</w:t>
      </w:r>
    </w:p>
    <w:p>
      <w:pPr>
        <w:spacing w:after="0" w:line="145" w:lineRule="exact"/>
        <w:rPr>
          <w:rFonts w:ascii="Times New Roman" w:cs="Times New Roman" w:eastAsia="Times New Roman" w:hAnsi="Times New Roman"/>
          <w:sz w:val="21"/>
          <w:szCs w:val="21"/>
          <w:color w:val="auto"/>
        </w:rPr>
      </w:pPr>
    </w:p>
    <w:p>
      <w:pPr>
        <w:jc w:val="both"/>
        <w:ind w:firstLine="1864"/>
        <w:spacing w:after="0" w:line="225" w:lineRule="auto"/>
        <w:tabs>
          <w:tab w:leader="none" w:pos="2374"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provisions of </w:t>
      </w:r>
      <w:r>
        <w:rPr>
          <w:rFonts w:ascii="Times New Roman" w:cs="Times New Roman" w:eastAsia="Times New Roman" w:hAnsi="Times New Roman"/>
          <w:sz w:val="21"/>
          <w:szCs w:val="21"/>
          <w:u w:val="single" w:color="auto"/>
          <w:color w:val="auto"/>
        </w:rPr>
        <w:t>subsection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each Lender and the L/C Issuer shall, and does hereby, severally indemnify, and shall make payment in respect thereof within 30 days after demand therefor, (x) the Administrative Agent against any Indemnified Taxes attributable to such Lender or the L/C Issuer (but only to the extent that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70</w:t>
      </w:r>
    </w:p>
    <w:p>
      <w:pPr>
        <w:sectPr>
          <w:pgSz w:w="11900" w:h="16838" w:orient="portrait"/>
          <w:cols w:equalWidth="0" w:num="1">
            <w:col w:w="11240"/>
          </w:cols>
          <w:pgMar w:left="320" w:top="1342" w:right="339" w:bottom="1440" w:gutter="0" w:footer="0" w:header="0"/>
        </w:sectPr>
      </w:pPr>
    </w:p>
    <w:bookmarkStart w:id="140" w:name="page141"/>
    <w:bookmarkEnd w:id="140"/>
    <w:p>
      <w:pPr>
        <w:jc w:val="both"/>
        <w:spacing w:after="0" w:line="211" w:lineRule="auto"/>
        <w:rPr>
          <w:sz w:val="20"/>
          <w:szCs w:val="20"/>
          <w:color w:val="auto"/>
        </w:rPr>
      </w:pPr>
      <w:r>
        <w:rPr>
          <w:rFonts w:ascii="Times New Roman" w:cs="Times New Roman" w:eastAsia="Times New Roman" w:hAnsi="Times New Roman"/>
          <w:sz w:val="21"/>
          <w:szCs w:val="21"/>
          <w:color w:val="auto"/>
        </w:rPr>
        <w:t xml:space="preserve">Borrower has not already indemnified the Administrative Agent for such Indemnified Taxes and without limiting the obligation of the Borrowers to do so), (y) the Administrative Agent and the Borrowers, as applicable, against any Taxes attributable to such Lender’s failure to comply with the provisions of </w:t>
      </w:r>
      <w:r>
        <w:rPr>
          <w:rFonts w:ascii="Times New Roman" w:cs="Times New Roman" w:eastAsia="Times New Roman" w:hAnsi="Times New Roman"/>
          <w:sz w:val="21"/>
          <w:szCs w:val="21"/>
          <w:u w:val="single" w:color="auto"/>
          <w:color w:val="auto"/>
        </w:rPr>
        <w:t>Section 11.06(d)</w:t>
      </w:r>
      <w:r>
        <w:rPr>
          <w:rFonts w:ascii="Times New Roman" w:cs="Times New Roman" w:eastAsia="Times New Roman" w:hAnsi="Times New Roman"/>
          <w:sz w:val="21"/>
          <w:szCs w:val="21"/>
          <w:color w:val="auto"/>
        </w:rPr>
        <w:t xml:space="preserve"> relating to the maintenance of a Participant Register and (z) the Administrative Agent and the Borrowers, as applicable, against any Excluded Taxes attributable to such Lender or the L/C Issuer, in each case, that are payable or paid by the Administrative Agent or a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jc w:val="both"/>
        <w:ind w:firstLine="1244"/>
        <w:spacing w:after="0" w:line="228" w:lineRule="auto"/>
        <w:tabs>
          <w:tab w:leader="none" w:pos="1882"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such Borrower or by the Administrative Agent to a Governmental Authority as provided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Borrower shall deliver to the Administrative Agent or the Administrative Agent shall deliver to such Borrower, as the case may be, the original or a certified copy of a receipt issued by such Governmental Authority evidencing such payment, a copy of any return required by Laws to report such payment or other evidence of such payment reasonably satisfactory to such Borrower or the Administrative Agent, as the case may be.</w:t>
      </w:r>
    </w:p>
    <w:p>
      <w:pPr>
        <w:spacing w:after="0" w:line="148" w:lineRule="exact"/>
        <w:rPr>
          <w:rFonts w:ascii="Times New Roman" w:cs="Times New Roman" w:eastAsia="Times New Roman" w:hAnsi="Times New Roman"/>
          <w:sz w:val="20"/>
          <w:szCs w:val="20"/>
          <w:color w:val="auto"/>
        </w:rPr>
      </w:pPr>
    </w:p>
    <w:p>
      <w:pPr>
        <w:ind w:left="1680" w:hanging="436"/>
        <w:spacing w:after="0"/>
        <w:tabs>
          <w:tab w:leader="none" w:pos="168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Status of Lenders; Tax Documentation.</w:t>
      </w:r>
    </w:p>
    <w:p>
      <w:pPr>
        <w:spacing w:after="0" w:line="171" w:lineRule="exact"/>
        <w:rPr>
          <w:rFonts w:ascii="Times New Roman" w:cs="Times New Roman" w:eastAsia="Times New Roman" w:hAnsi="Times New Roman"/>
          <w:sz w:val="21"/>
          <w:szCs w:val="21"/>
          <w:color w:val="auto"/>
        </w:rPr>
      </w:pPr>
    </w:p>
    <w:p>
      <w:pPr>
        <w:jc w:val="both"/>
        <w:ind w:firstLine="1864"/>
        <w:spacing w:after="0" w:line="211" w:lineRule="auto"/>
        <w:tabs>
          <w:tab w:leader="none" w:pos="2276"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that is entitled to an exemption from or reduction of withholding Tax with respect to payments made under any Loan Document shall deliver to Toro and to the Administrative Agent, at the time or times reasonably requested by Toro or the Administrative Agent, such properly completed and executed documentation reasonably requested by Toro or the Administrative Agent as will permit such payments to be made without withholding or at a reduced rate of withholding. In addition, any Lender, if reasonably requested by Toro or the Administrative Agent, shall deliver such other documentation prescribed by Applicable Law or reasonably requested by Toro or the Administrative Agent as will enable Toro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1"/>
          <w:szCs w:val="21"/>
          <w:u w:val="single" w:color="auto"/>
          <w:color w:val="auto"/>
        </w:rPr>
        <w:t>Section 3.01(e)(ii)(A), (ii)(B)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(ii)(D)</w:t>
      </w:r>
      <w:r>
        <w:rPr>
          <w:rFonts w:ascii="Times New Roman" w:cs="Times New Roman" w:eastAsia="Times New Roman" w:hAnsi="Times New Roman"/>
          <w:sz w:val="21"/>
          <w:szCs w:val="21"/>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45" w:lineRule="exact"/>
        <w:rPr>
          <w:rFonts w:ascii="Times New Roman" w:cs="Times New Roman" w:eastAsia="Times New Roman" w:hAnsi="Times New Roman"/>
          <w:sz w:val="21"/>
          <w:szCs w:val="21"/>
          <w:color w:val="auto"/>
        </w:rPr>
      </w:pPr>
    </w:p>
    <w:p>
      <w:pPr>
        <w:ind w:left="2320" w:hanging="456"/>
        <w:spacing w:after="0"/>
        <w:tabs>
          <w:tab w:leader="none" w:pos="2320"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the foregoing, in the event that a Borrower is a U.S. Person,</w:t>
      </w:r>
    </w:p>
    <w:p>
      <w:pPr>
        <w:spacing w:after="0" w:line="171" w:lineRule="exact"/>
        <w:rPr>
          <w:rFonts w:ascii="Times New Roman" w:cs="Times New Roman" w:eastAsia="Times New Roman" w:hAnsi="Times New Roman"/>
          <w:sz w:val="21"/>
          <w:szCs w:val="21"/>
          <w:color w:val="auto"/>
        </w:rPr>
      </w:pPr>
    </w:p>
    <w:p>
      <w:pPr>
        <w:jc w:val="both"/>
        <w:ind w:left="620" w:firstLine="1864"/>
        <w:spacing w:after="0" w:line="220" w:lineRule="auto"/>
        <w:tabs>
          <w:tab w:leader="none" w:pos="3014" w:val="left"/>
        </w:tabs>
        <w:numPr>
          <w:ilvl w:val="2"/>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that is a U.S. Person shall deliver to Toro and the Administrative Agent on or prior to the date on which such Lender becomes a Lender under this Agreement (and from time to time thereafter upon the reasonable request of Toro or the Administrative Agent), executed originals of IRS Form W-9 certifying that such Lender is exempt from U.S. federal backup withholding tax;</w:t>
      </w:r>
    </w:p>
    <w:p>
      <w:pPr>
        <w:spacing w:after="0" w:line="148" w:lineRule="exact"/>
        <w:rPr>
          <w:rFonts w:ascii="Times New Roman" w:cs="Times New Roman" w:eastAsia="Times New Roman" w:hAnsi="Times New Roman"/>
          <w:sz w:val="21"/>
          <w:szCs w:val="21"/>
          <w:color w:val="auto"/>
        </w:rPr>
      </w:pPr>
    </w:p>
    <w:p>
      <w:pPr>
        <w:jc w:val="both"/>
        <w:ind w:left="620" w:firstLine="1864"/>
        <w:spacing w:after="0" w:line="225" w:lineRule="auto"/>
        <w:tabs>
          <w:tab w:leader="none" w:pos="3097" w:val="left"/>
        </w:tabs>
        <w:numPr>
          <w:ilvl w:val="2"/>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Lender shall, to the extent it is legally entitled to do so, deliver to Toro and the Administrative Agent (in such number of copies as shall be requested by the recipient) on or prior to the date on which such Foreign Lender becomes a Lender under this Agreement (and from time to time thereafter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ectPr>
          <w:pgSz w:w="11900" w:h="16838" w:orient="portrait"/>
          <w:cols w:equalWidth="0" w:num="1">
            <w:col w:w="11240"/>
          </w:cols>
          <w:pgMar w:left="320" w:top="1342"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color w:val="auto"/>
        </w:rPr>
        <w:t>reasonable request of Toro on behalf of such Borrower or the Administrative Agent), whichever of the following is applicable:</w:t>
      </w:r>
    </w:p>
    <w:p>
      <w:pPr>
        <w:spacing w:after="0" w:line="183" w:lineRule="exact"/>
        <w:rPr>
          <w:sz w:val="20"/>
          <w:szCs w:val="20"/>
          <w:color w:val="auto"/>
        </w:rPr>
      </w:pPr>
    </w:p>
    <w:p>
      <w:pPr>
        <w:jc w:val="both"/>
        <w:ind w:left="620" w:firstLine="1864"/>
        <w:spacing w:after="0" w:line="226" w:lineRule="auto"/>
        <w:tabs>
          <w:tab w:leader="none" w:pos="2887"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originals of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48" w:lineRule="exact"/>
        <w:rPr>
          <w:sz w:val="20"/>
          <w:szCs w:val="20"/>
          <w:color w:val="auto"/>
        </w:rPr>
      </w:pPr>
    </w:p>
    <w:p>
      <w:pPr>
        <w:ind w:left="2880" w:hanging="396"/>
        <w:spacing w:after="0"/>
        <w:tabs>
          <w:tab w:leader="none" w:pos="2880"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executed originals of IRS Form W-8ECI,</w:t>
      </w:r>
    </w:p>
    <w:p>
      <w:pPr>
        <w:spacing w:after="0" w:line="172" w:lineRule="exact"/>
        <w:rPr>
          <w:sz w:val="20"/>
          <w:szCs w:val="20"/>
          <w:color w:val="auto"/>
        </w:rPr>
      </w:pPr>
    </w:p>
    <w:p>
      <w:pPr>
        <w:ind w:left="2940" w:hanging="456"/>
        <w:spacing w:after="0"/>
        <w:tabs>
          <w:tab w:leader="none" w:pos="294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executed originals of IRS Form W-8IMY and all required supporting documentation,</w:t>
      </w:r>
    </w:p>
    <w:p>
      <w:pPr>
        <w:spacing w:after="0" w:line="172" w:lineRule="exact"/>
        <w:rPr>
          <w:sz w:val="20"/>
          <w:szCs w:val="20"/>
          <w:color w:val="auto"/>
        </w:rPr>
      </w:pPr>
    </w:p>
    <w:p>
      <w:pPr>
        <w:jc w:val="both"/>
        <w:ind w:left="620" w:firstLine="1861"/>
        <w:spacing w:after="0" w:line="215" w:lineRule="auto"/>
        <w:rPr>
          <w:sz w:val="20"/>
          <w:szCs w:val="20"/>
          <w:color w:val="auto"/>
        </w:rPr>
      </w:pPr>
      <w:r>
        <w:rPr>
          <w:rFonts w:ascii="Times New Roman" w:cs="Times New Roman" w:eastAsia="Times New Roman" w:hAnsi="Times New Roman"/>
          <w:sz w:val="21"/>
          <w:szCs w:val="21"/>
          <w:color w:val="auto"/>
        </w:rPr>
        <w:t xml:space="preserve">IV. 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1"/>
          <w:szCs w:val="21"/>
          <w:u w:val="single" w:color="auto"/>
          <w:color w:val="auto"/>
        </w:rPr>
        <w:t>Exhibit I-1</w:t>
      </w:r>
      <w:r>
        <w:rPr>
          <w:rFonts w:ascii="Times New Roman" w:cs="Times New Roman" w:eastAsia="Times New Roman" w:hAnsi="Times New Roman"/>
          <w:sz w:val="21"/>
          <w:szCs w:val="21"/>
          <w:color w:val="auto"/>
        </w:rPr>
        <w:t xml:space="preserve"> 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Times New Roman" w:cs="Times New Roman" w:eastAsia="Times New Roman" w:hAnsi="Times New Roman"/>
          <w:sz w:val="21"/>
          <w:szCs w:val="21"/>
          <w:u w:val="single" w:color="auto"/>
          <w:color w:val="auto"/>
        </w:rPr>
        <w:t>U.S. Tax Compliance Certificate</w:t>
      </w:r>
      <w:r>
        <w:rPr>
          <w:rFonts w:ascii="Times New Roman" w:cs="Times New Roman" w:eastAsia="Times New Roman" w:hAnsi="Times New Roman"/>
          <w:sz w:val="21"/>
          <w:szCs w:val="21"/>
          <w:color w:val="auto"/>
        </w:rPr>
        <w:t>”) and (y) executed originals of IRS Form W-8BEN or W-8BEN-E, as applicable, or</w:t>
      </w:r>
    </w:p>
    <w:p>
      <w:pPr>
        <w:spacing w:after="0" w:line="149" w:lineRule="exact"/>
        <w:rPr>
          <w:sz w:val="20"/>
          <w:szCs w:val="20"/>
          <w:color w:val="auto"/>
        </w:rPr>
      </w:pPr>
    </w:p>
    <w:p>
      <w:pPr>
        <w:jc w:val="both"/>
        <w:ind w:left="620" w:firstLine="1864"/>
        <w:spacing w:after="0" w:line="214" w:lineRule="auto"/>
        <w:tabs>
          <w:tab w:leader="none" w:pos="2862"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a Foreign Lender is not the beneficial owner, executed originals of IRS Form W-8IMY, accompanied by IRS Form W-8ECI, IRS Form W-8BEN or W-8BEN-E, as applicable, a U.S. Tax Compliance Certificate substantially in the form of </w:t>
      </w:r>
      <w:r>
        <w:rPr>
          <w:rFonts w:ascii="Times New Roman" w:cs="Times New Roman" w:eastAsia="Times New Roman" w:hAnsi="Times New Roman"/>
          <w:sz w:val="21"/>
          <w:szCs w:val="21"/>
          <w:u w:val="single" w:color="auto"/>
          <w:color w:val="auto"/>
        </w:rPr>
        <w:t>Exhibit I-2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Exhibit I-3</w:t>
      </w:r>
      <w:r>
        <w:rPr>
          <w:rFonts w:ascii="Times New Roman" w:cs="Times New Roman" w:eastAsia="Times New Roman" w:hAnsi="Times New Roman"/>
          <w:sz w:val="21"/>
          <w:szCs w:val="21"/>
          <w:color w:val="auto"/>
        </w:rPr>
        <w:t xml:space="preserve">, IRS Form W-9, and/or other certification documents from each beneficial owner,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1"/>
          <w:szCs w:val="21"/>
          <w:u w:val="single" w:color="auto"/>
          <w:color w:val="auto"/>
        </w:rPr>
        <w:t>Exhibit I-4</w:t>
      </w:r>
      <w:r>
        <w:rPr>
          <w:rFonts w:ascii="Times New Roman" w:cs="Times New Roman" w:eastAsia="Times New Roman" w:hAnsi="Times New Roman"/>
          <w:sz w:val="21"/>
          <w:szCs w:val="21"/>
          <w:color w:val="auto"/>
        </w:rPr>
        <w:t xml:space="preserve"> on behalf of each such direct and indirect partner.</w:t>
      </w:r>
    </w:p>
    <w:p>
      <w:pPr>
        <w:spacing w:after="0" w:line="146" w:lineRule="exact"/>
        <w:rPr>
          <w:rFonts w:ascii="Times New Roman" w:cs="Times New Roman" w:eastAsia="Times New Roman" w:hAnsi="Times New Roman"/>
          <w:sz w:val="21"/>
          <w:szCs w:val="21"/>
          <w:color w:val="auto"/>
        </w:rPr>
      </w:pPr>
    </w:p>
    <w:p>
      <w:pPr>
        <w:jc w:val="both"/>
        <w:ind w:firstLine="1864"/>
        <w:spacing w:after="0" w:line="214" w:lineRule="auto"/>
        <w:tabs>
          <w:tab w:leader="none" w:pos="2477"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Foreign Lender shall, to the extent it is legally entitled to do so, deliver to Toro and the Administrative Agent (in such number of copies as shall be requested by the recipient) on or prior to the date on which such Foreign Lender becomes a Lender under this Agreement (and from time to time thereafter upon the reasonable request of Toro or the Administrative Agent), executed copies of any additional forms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46" w:lineRule="exact"/>
        <w:rPr>
          <w:rFonts w:ascii="Times New Roman" w:cs="Times New Roman" w:eastAsia="Times New Roman" w:hAnsi="Times New Roman"/>
          <w:sz w:val="21"/>
          <w:szCs w:val="21"/>
          <w:color w:val="auto"/>
        </w:rPr>
      </w:pPr>
    </w:p>
    <w:p>
      <w:pPr>
        <w:jc w:val="both"/>
        <w:ind w:firstLine="1864"/>
        <w:spacing w:after="0" w:line="220" w:lineRule="auto"/>
        <w:tabs>
          <w:tab w:leader="none" w:pos="2507"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Toro and the Administrative Agent at the time or times prescribed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72</w:t>
      </w:r>
    </w:p>
    <w:p>
      <w:pPr>
        <w:sectPr>
          <w:pgSz w:w="11900" w:h="16838" w:orient="portrait"/>
          <w:cols w:equalWidth="0" w:num="1">
            <w:col w:w="10620"/>
          </w:cols>
          <w:pgMar w:left="940" w:top="1342" w:right="339" w:bottom="1440" w:gutter="0" w:footer="0" w:header="0"/>
        </w:sectPr>
      </w:pPr>
    </w:p>
    <w:bookmarkStart w:id="142" w:name="page143"/>
    <w:bookmarkEnd w:id="142"/>
    <w:p>
      <w:pPr>
        <w:jc w:val="both"/>
        <w:ind w:left="620"/>
        <w:spacing w:after="0" w:line="215" w:lineRule="auto"/>
        <w:rPr>
          <w:sz w:val="20"/>
          <w:szCs w:val="20"/>
          <w:color w:val="auto"/>
        </w:rPr>
      </w:pPr>
      <w:r>
        <w:rPr>
          <w:rFonts w:ascii="Times New Roman" w:cs="Times New Roman" w:eastAsia="Times New Roman" w:hAnsi="Times New Roman"/>
          <w:sz w:val="21"/>
          <w:szCs w:val="21"/>
          <w:color w:val="auto"/>
        </w:rPr>
        <w:t xml:space="preserve">and at such time or times reasonably requested by Toro or the Administrative Agent such documentation prescribed by Applicable Law (including as prescribed by Section 1471(b)(3)(C)(i) of the Code) and such additional documentation reasonably requested by Toro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“FATCA” shall include any amendments made to FATCA after the date of this Agreement.</w:t>
      </w:r>
    </w:p>
    <w:p>
      <w:pPr>
        <w:spacing w:after="0" w:line="149" w:lineRule="exact"/>
        <w:rPr>
          <w:sz w:val="20"/>
          <w:szCs w:val="20"/>
          <w:color w:val="auto"/>
        </w:rPr>
      </w:pPr>
    </w:p>
    <w:p>
      <w:pPr>
        <w:jc w:val="both"/>
        <w:ind w:firstLine="1864"/>
        <w:spacing w:after="0" w:line="225" w:lineRule="auto"/>
        <w:tabs>
          <w:tab w:leader="none" w:pos="2434"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agrees that if any form or certification it previously delivered pursuant to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expires or becomes obsolete or inaccurate in any respect, it shall update such form or certification or promptly notify Toro and the Administrative Agent in writing of its legal inability to do so.</w:t>
      </w:r>
    </w:p>
    <w:p>
      <w:pPr>
        <w:spacing w:after="0" w:line="147" w:lineRule="exact"/>
        <w:rPr>
          <w:rFonts w:ascii="Times New Roman" w:cs="Times New Roman" w:eastAsia="Times New Roman" w:hAnsi="Times New Roman"/>
          <w:sz w:val="21"/>
          <w:szCs w:val="21"/>
          <w:color w:val="auto"/>
        </w:rPr>
      </w:pPr>
    </w:p>
    <w:p>
      <w:pPr>
        <w:jc w:val="both"/>
        <w:ind w:firstLine="1244"/>
        <w:spacing w:after="0" w:line="209" w:lineRule="auto"/>
        <w:tabs>
          <w:tab w:leader="none" w:pos="1658"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(including by the payment of additional amounts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3.01</w:t>
      </w:r>
      <w:r>
        <w:rPr>
          <w:rFonts w:ascii="Times New Roman" w:cs="Times New Roman" w:eastAsia="Times New Roman" w:hAnsi="Times New Roman"/>
          <w:sz w:val="21"/>
          <w:szCs w:val="21"/>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1"/>
          <w:szCs w:val="21"/>
          <w:u w:val="single" w:color="auto"/>
          <w:color w:val="auto"/>
        </w:rPr>
        <w:t>paragraph (f)</w:t>
      </w:r>
      <w:r>
        <w:rPr>
          <w:rFonts w:ascii="Times New Roman" w:cs="Times New Roman" w:eastAsia="Times New Roman" w:hAnsi="Times New Roman"/>
          <w:sz w:val="21"/>
          <w:szCs w:val="21"/>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1"/>
          <w:szCs w:val="21"/>
          <w:u w:val="single" w:color="auto"/>
          <w:color w:val="auto"/>
        </w:rPr>
        <w:t>paragraph (f)</w:t>
      </w:r>
      <w:r>
        <w:rPr>
          <w:rFonts w:ascii="Times New Roman" w:cs="Times New Roman" w:eastAsia="Times New Roman" w:hAnsi="Times New Roman"/>
          <w:sz w:val="21"/>
          <w:szCs w:val="21"/>
          <w:color w:val="auto"/>
        </w:rPr>
        <w:t xml:space="preserve">, in no event will the indemnified party be required to pay any amount to an indemnifying party pursuant to this </w:t>
      </w:r>
      <w:r>
        <w:rPr>
          <w:rFonts w:ascii="Times New Roman" w:cs="Times New Roman" w:eastAsia="Times New Roman" w:hAnsi="Times New Roman"/>
          <w:sz w:val="21"/>
          <w:szCs w:val="21"/>
          <w:u w:val="single" w:color="auto"/>
          <w:color w:val="auto"/>
        </w:rPr>
        <w:t>paragraph (f)</w:t>
      </w:r>
      <w:r>
        <w:rPr>
          <w:rFonts w:ascii="Times New Roman" w:cs="Times New Roman" w:eastAsia="Times New Roman" w:hAnsi="Times New Roman"/>
          <w:sz w:val="21"/>
          <w:szCs w:val="21"/>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56" w:lineRule="exact"/>
        <w:rPr>
          <w:rFonts w:ascii="Times New Roman" w:cs="Times New Roman" w:eastAsia="Times New Roman" w:hAnsi="Times New Roman"/>
          <w:sz w:val="21"/>
          <w:szCs w:val="21"/>
          <w:color w:val="auto"/>
        </w:rPr>
      </w:pPr>
    </w:p>
    <w:p>
      <w:pPr>
        <w:jc w:val="both"/>
        <w:ind w:firstLine="1244"/>
        <w:spacing w:after="0" w:line="225" w:lineRule="auto"/>
        <w:tabs>
          <w:tab w:leader="none" w:pos="1804"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Each party’s obligations under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shall survive the resignation or replacement of the Administrative Agent or any assignment of rights by, or the replacement of, a Lender or the L/C Issuer, the termination of the Commitments and the repayment, satisfaction or discharge of all other Obligations.</w:t>
      </w:r>
    </w:p>
    <w:p>
      <w:pPr>
        <w:spacing w:after="0" w:line="147" w:lineRule="exact"/>
        <w:rPr>
          <w:rFonts w:ascii="Times New Roman" w:cs="Times New Roman" w:eastAsia="Times New Roman" w:hAnsi="Times New Roman"/>
          <w:sz w:val="21"/>
          <w:szCs w:val="21"/>
          <w:color w:val="auto"/>
        </w:rPr>
      </w:pPr>
    </w:p>
    <w:p>
      <w:pPr>
        <w:ind w:left="1700" w:hanging="456"/>
        <w:spacing w:after="0"/>
        <w:tabs>
          <w:tab w:leader="none" w:pos="1700" w:val="left"/>
        </w:tabs>
        <w:numPr>
          <w:ilvl w:val="0"/>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xml:space="preserve">. For purposes of this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the term “Applicable Law” includes FATCA.</w:t>
      </w:r>
    </w:p>
    <w:p>
      <w:pPr>
        <w:spacing w:after="0" w:line="168"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0"/>
          <w:szCs w:val="20"/>
          <w:b w:val="1"/>
          <w:bCs w:val="1"/>
          <w:color w:val="auto"/>
        </w:rPr>
        <w:t>3.02 Illegality</w:t>
      </w:r>
      <w:r>
        <w:rPr>
          <w:rFonts w:ascii="Times New Roman" w:cs="Times New Roman" w:eastAsia="Times New Roman" w:hAnsi="Times New Roman"/>
          <w:sz w:val="20"/>
          <w:szCs w:val="20"/>
          <w:color w:val="auto"/>
        </w:rPr>
        <w:t>. If any Lender determines that any Law has made it unlawful, or that any Governmental Authority has asserted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it is unlawful, for any Lender or its applicable Lending Office to make, maintain or fund Loans whose interest is determined by reference to a Relevant Rate, SOFR or Term SOFR, or to determine or charge interest rates based upon a Relevant Rate, SOFR or Term SOFR (including in regards to the Base Rate), or any Governmental Authority has imposed material restrictions on the authority of such Lender to purchase or sell, or to take deposits of, Dollars or any Alternative Currency in the applicable interbank market, then, upon notice thereof by such Lender to Toro through the Administrative Agent, (i) any obligation of such Lender to make or maintain Alternative Currency Loans in the affected currency or currencies or, in the case of Loans denominated in Dollars, to make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ectPr>
          <w:pgSz w:w="11900" w:h="16838" w:orient="portrait"/>
          <w:cols w:equalWidth="0" w:num="1">
            <w:col w:w="11240"/>
          </w:cols>
          <w:pgMar w:left="320" w:top="1342" w:right="339" w:bottom="1440" w:gutter="0" w:footer="0" w:header="0"/>
        </w:sectPr>
      </w:pPr>
    </w:p>
    <w:bookmarkStart w:id="143" w:name="page144"/>
    <w:bookmarkEnd w:id="143"/>
    <w:p>
      <w:pPr>
        <w:jc w:val="both"/>
        <w:spacing w:after="0" w:line="219" w:lineRule="auto"/>
        <w:rPr>
          <w:sz w:val="20"/>
          <w:szCs w:val="20"/>
          <w:color w:val="auto"/>
        </w:rPr>
      </w:pPr>
      <w:r>
        <w:rPr>
          <w:rFonts w:ascii="Times New Roman" w:cs="Times New Roman" w:eastAsia="Times New Roman" w:hAnsi="Times New Roman"/>
          <w:sz w:val="20"/>
          <w:szCs w:val="20"/>
          <w:color w:val="auto"/>
        </w:rPr>
        <w:t>maintain Term SOFR Loans or convert Base Rate Loans to Term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Toro that the circumstances giving rise to such determination no longer exist. Upon receipt of such notice, (x) the Borrowers shall, upon demand from such Lender (with a copy to the Administrative Agent), prepay all Term SOFR Loans or Alternative Currency Loans, as applicable, in the affected currency or currencies or, if applicable and such Loans are denominated in Dollars, convert all such Term SOFR Loans of such Lender to Base Rate Loans (the interest rate on which Base Rate Loans of such Lender shall, if necessary to avoid such illegality, be determined by the Administrative Agent without reference to the Term SOFR component of the Base Rate), in each case, immediately, or, in the case of Alternative Currency Term Rate Loans, on the last day of the Interest Period therefor if such Lender may lawfully continue to maintain such Alternative Currency Term Rate Loans to such day and (y) if such notice asserts the illegality of such Lender determining or charging interest rates based upon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SOFR. Upon any such prepayment or conversion, the Borrowers shall also pay accrued interest on the amount so prepaid or converted.</w:t>
      </w:r>
    </w:p>
    <w:p>
      <w:pPr>
        <w:spacing w:after="0" w:line="153"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3.03</w:t>
      </w:r>
      <w:r>
        <w:rPr>
          <w:sz w:val="20"/>
          <w:szCs w:val="20"/>
          <w:color w:val="auto"/>
        </w:rPr>
        <w:tab/>
      </w:r>
      <w:r>
        <w:rPr>
          <w:rFonts w:ascii="Times New Roman" w:cs="Times New Roman" w:eastAsia="Times New Roman" w:hAnsi="Times New Roman"/>
          <w:sz w:val="20"/>
          <w:szCs w:val="20"/>
          <w:b w:val="1"/>
          <w:bCs w:val="1"/>
          <w:color w:val="auto"/>
        </w:rPr>
        <w:t>Inability to Determine Rates.</w:t>
      </w:r>
    </w:p>
    <w:p>
      <w:pPr>
        <w:spacing w:after="0" w:line="176" w:lineRule="exact"/>
        <w:rPr>
          <w:sz w:val="20"/>
          <w:szCs w:val="20"/>
          <w:color w:val="auto"/>
        </w:rPr>
      </w:pPr>
    </w:p>
    <w:p>
      <w:pPr>
        <w:jc w:val="both"/>
        <w:ind w:firstLine="1244"/>
        <w:spacing w:after="0" w:line="208" w:lineRule="auto"/>
        <w:tabs>
          <w:tab w:leader="none" w:pos="1685"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in connection with any request for a Term SOFR Loan or a conversion of Base Rate Loans to Term SOFR Loans or a continuation of Term SOFR Loans, as applicable, (i) the Administrative Agent determines (which determination shall be conclusive absent manifest error) that (A) no Successor Rate has been determined in accordance with </w:t>
      </w:r>
      <w:r>
        <w:rPr>
          <w:rFonts w:ascii="Times New Roman" w:cs="Times New Roman" w:eastAsia="Times New Roman" w:hAnsi="Times New Roman"/>
          <w:sz w:val="21"/>
          <w:szCs w:val="21"/>
          <w:u w:val="single" w:color="auto"/>
          <w:color w:val="auto"/>
        </w:rPr>
        <w:t>Section 3.03(b)</w:t>
      </w:r>
      <w:r>
        <w:rPr>
          <w:rFonts w:ascii="Times New Roman" w:cs="Times New Roman" w:eastAsia="Times New Roman" w:hAnsi="Times New Roman"/>
          <w:sz w:val="21"/>
          <w:szCs w:val="21"/>
          <w:color w:val="auto"/>
        </w:rPr>
        <w:t xml:space="preserve">, and the circumstances under clause (i) of </w:t>
      </w:r>
      <w:r>
        <w:rPr>
          <w:rFonts w:ascii="Times New Roman" w:cs="Times New Roman" w:eastAsia="Times New Roman" w:hAnsi="Times New Roman"/>
          <w:sz w:val="21"/>
          <w:szCs w:val="21"/>
          <w:u w:val="single" w:color="auto"/>
          <w:color w:val="auto"/>
        </w:rPr>
        <w:t>Section 3.03(b)</w:t>
      </w:r>
      <w:r>
        <w:rPr>
          <w:rFonts w:ascii="Times New Roman" w:cs="Times New Roman" w:eastAsia="Times New Roman" w:hAnsi="Times New Roman"/>
          <w:sz w:val="21"/>
          <w:szCs w:val="21"/>
          <w:color w:val="auto"/>
        </w:rPr>
        <w:t xml:space="preserve"> or the Scheduled Unavailability Date has occurred or (B) adequate and reasonable means do not otherwise exist for determining Term SOFR for any requested Interest Period with respect to a proposed Term SOFR Loan or in connection with an existing or proposed Base Rate Loan, or (ii) the Administrative Agent or the Required Lenders determine that for any reason Term SOFR for any requested Interest Period with respect to a proposed Term SOFR Loan does not adequately and fairly reflect the cost to such Lenders of funding such Term SOFR Loan, the Administrative Agent will promptly so notify Toro and each Lender. Thereafter, (x) the obligation of the Lenders to make or maintain Term SOFR Loans, or to convert Base Rate Loans to Term SOFR Loans, shall be suspended (to the extent of the affected Term SOFR Loans or Interest Periods),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21"/>
          <w:szCs w:val="21"/>
          <w:u w:val="single" w:color="auto"/>
          <w:color w:val="auto"/>
        </w:rPr>
        <w:t>Section 3.03(a)</w:t>
      </w:r>
      <w:r>
        <w:rPr>
          <w:rFonts w:ascii="Times New Roman" w:cs="Times New Roman" w:eastAsia="Times New Roman" w:hAnsi="Times New Roman"/>
          <w:sz w:val="21"/>
          <w:szCs w:val="21"/>
          <w:color w:val="auto"/>
        </w:rPr>
        <w:t>, until the Administrative Agent upon the instruction of the Required Lenders) revokes such notice. Upon receipt of such notice, (i) Toro may revoke any pending request for a Borrowing of, or conversion to, or continuation of Term SOFR Loans (to the extent of the affected Term SOFR Loans or Interest Periods) or, failing that, will be deemed to have converted such request into a request for a Borrowing of Base Rate Loans in the amount specified therein and (ii) any outstanding Term SOFR Loans shall be deemed to have been converted to Base Rate Loans immediately at the end of their respective applicable Interest Period.</w:t>
      </w:r>
    </w:p>
    <w:p>
      <w:pPr>
        <w:spacing w:after="0" w:line="160" w:lineRule="exact"/>
        <w:rPr>
          <w:rFonts w:ascii="Times New Roman" w:cs="Times New Roman" w:eastAsia="Times New Roman" w:hAnsi="Times New Roman"/>
          <w:sz w:val="21"/>
          <w:szCs w:val="21"/>
          <w:color w:val="auto"/>
        </w:rPr>
      </w:pPr>
    </w:p>
    <w:p>
      <w:pPr>
        <w:jc w:val="both"/>
        <w:ind w:firstLine="1244"/>
        <w:spacing w:after="0" w:line="225" w:lineRule="auto"/>
        <w:tabs>
          <w:tab w:leader="none" w:pos="1688"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Replacement of Term SOFR or Successor Rate</w:t>
      </w:r>
      <w:r>
        <w:rPr>
          <w:rFonts w:ascii="Times New Roman" w:cs="Times New Roman" w:eastAsia="Times New Roman" w:hAnsi="Times New Roman"/>
          <w:sz w:val="21"/>
          <w:szCs w:val="21"/>
          <w:color w:val="auto"/>
        </w:rPr>
        <w:t>. Notwithstanding anything to the contrary in this Agreement or any other Loan Documents, if the Administrative Agent determines (which determination shall be conclusive absent manifest error), or Toro or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ectPr>
          <w:pgSz w:w="11900" w:h="16838" w:orient="portrait"/>
          <w:cols w:equalWidth="0" w:num="1">
            <w:col w:w="11240"/>
          </w:cols>
          <w:pgMar w:left="320" w:top="1342" w:right="339" w:bottom="1440" w:gutter="0" w:footer="0" w:header="0"/>
        </w:sectPr>
      </w:pPr>
    </w:p>
    <w:bookmarkStart w:id="144" w:name="page145"/>
    <w:bookmarkEnd w:id="144"/>
    <w:p>
      <w:pPr>
        <w:spacing w:after="0" w:line="236" w:lineRule="auto"/>
        <w:rPr>
          <w:sz w:val="20"/>
          <w:szCs w:val="20"/>
          <w:color w:val="auto"/>
        </w:rPr>
      </w:pPr>
      <w:r>
        <w:rPr>
          <w:rFonts w:ascii="Times New Roman" w:cs="Times New Roman" w:eastAsia="Times New Roman" w:hAnsi="Times New Roman"/>
          <w:sz w:val="21"/>
          <w:szCs w:val="21"/>
          <w:color w:val="auto"/>
        </w:rPr>
        <w:t>Lenders notify the Administrative Agent (with, in the case of the Required Lenders, a copy to Toro) that Toro or Required Lenders (as applicable) have determined, that:</w:t>
      </w:r>
    </w:p>
    <w:p>
      <w:pPr>
        <w:spacing w:after="0" w:line="145" w:lineRule="exact"/>
        <w:rPr>
          <w:sz w:val="20"/>
          <w:szCs w:val="20"/>
          <w:color w:val="auto"/>
        </w:rPr>
      </w:pPr>
    </w:p>
    <w:p>
      <w:pPr>
        <w:jc w:val="both"/>
        <w:ind w:firstLine="1864"/>
        <w:spacing w:after="0" w:line="225" w:lineRule="auto"/>
        <w:tabs>
          <w:tab w:leader="none" w:pos="235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adequate and reasonable means do not exist for ascertaining one (1) month and three (3) month interest periods of Term SOFR, including, without limitation, because the Term SOFR Screen Rate is not available or published on a current basis and such circumstances are unlikely to be temporary; or</w:t>
      </w:r>
    </w:p>
    <w:p>
      <w:pPr>
        <w:spacing w:after="0" w:line="147" w:lineRule="exact"/>
        <w:rPr>
          <w:rFonts w:ascii="Times New Roman" w:cs="Times New Roman" w:eastAsia="Times New Roman" w:hAnsi="Times New Roman"/>
          <w:sz w:val="21"/>
          <w:szCs w:val="21"/>
          <w:color w:val="auto"/>
        </w:rPr>
      </w:pPr>
    </w:p>
    <w:p>
      <w:pPr>
        <w:jc w:val="both"/>
        <w:ind w:firstLine="1864"/>
        <w:spacing w:after="0" w:line="213" w:lineRule="auto"/>
        <w:tabs>
          <w:tab w:leader="none" w:pos="2361"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and three month interest periods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periods of Term SOFR after such specific date (the latest date on which one month and three month interest periods of Term SOFR or the Term SOFR Screen Rate are no longer available permanently or indefinitely, the “</w:t>
      </w:r>
      <w:r>
        <w:rPr>
          <w:rFonts w:ascii="Times New Roman" w:cs="Times New Roman" w:eastAsia="Times New Roman" w:hAnsi="Times New Roman"/>
          <w:sz w:val="21"/>
          <w:szCs w:val="21"/>
          <w:u w:val="single" w:color="auto"/>
          <w:color w:val="auto"/>
        </w:rPr>
        <w:t>Scheduled Unavailability Date</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ind w:firstLine="620"/>
        <w:spacing w:after="0" w:line="215" w:lineRule="auto"/>
        <w:rPr>
          <w:sz w:val="20"/>
          <w:szCs w:val="20"/>
          <w:color w:val="auto"/>
        </w:rPr>
      </w:pPr>
      <w:r>
        <w:rPr>
          <w:rFonts w:ascii="Times New Roman" w:cs="Times New Roman" w:eastAsia="Times New Roman" w:hAnsi="Times New Roman"/>
          <w:sz w:val="21"/>
          <w:szCs w:val="21"/>
          <w:color w:val="auto"/>
        </w:rPr>
        <w:t>then, on a date and time determined by the Administrative Agent (any such date, the “</w:t>
      </w:r>
      <w:r>
        <w:rPr>
          <w:rFonts w:ascii="Times New Roman" w:cs="Times New Roman" w:eastAsia="Times New Roman" w:hAnsi="Times New Roman"/>
          <w:sz w:val="21"/>
          <w:szCs w:val="21"/>
          <w:u w:val="single" w:color="auto"/>
          <w:color w:val="auto"/>
        </w:rPr>
        <w:t>Term SOFR Replacement Date</w:t>
      </w:r>
      <w:r>
        <w:rPr>
          <w:rFonts w:ascii="Times New Roman" w:cs="Times New Roman" w:eastAsia="Times New Roman" w:hAnsi="Times New Roman"/>
          <w:sz w:val="21"/>
          <w:szCs w:val="21"/>
          <w:color w:val="auto"/>
        </w:rPr>
        <w:t xml:space="preserve">”), which date shall be at the end of an Interest Period or on the relevant interest payment date, as applicable, for interest calculated and, solely with respect to clause (ii) above, no later than the Scheduled Unavailability Date, Term SOFR will be replaced hereunder and under any Loan Document with Daily Simple SOFR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SOFR Adjustment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21"/>
          <w:szCs w:val="21"/>
          <w:u w:val="single" w:color="auto"/>
          <w:color w:val="auto"/>
        </w:rPr>
        <w:t>Successor Rate</w:t>
      </w:r>
      <w:r>
        <w:rPr>
          <w:rFonts w:ascii="Times New Roman" w:cs="Times New Roman" w:eastAsia="Times New Roman" w:hAnsi="Times New Roman"/>
          <w:sz w:val="21"/>
          <w:szCs w:val="21"/>
          <w:color w:val="auto"/>
        </w:rPr>
        <w:t>”).</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If the Successor Rate is Daily Simple SOFR plus the SOFR Adjustment, all interest payments will be payable on a monthly</w:t>
      </w:r>
    </w:p>
    <w:p>
      <w:pPr>
        <w:spacing w:after="0"/>
        <w:rPr>
          <w:sz w:val="20"/>
          <w:szCs w:val="20"/>
          <w:color w:val="auto"/>
        </w:rPr>
      </w:pPr>
      <w:r>
        <w:rPr>
          <w:rFonts w:ascii="Times New Roman" w:cs="Times New Roman" w:eastAsia="Times New Roman" w:hAnsi="Times New Roman"/>
          <w:sz w:val="21"/>
          <w:szCs w:val="21"/>
          <w:color w:val="auto"/>
        </w:rPr>
        <w:t>basis.</w:t>
      </w:r>
    </w:p>
    <w:p>
      <w:pPr>
        <w:spacing w:after="0" w:line="150" w:lineRule="exact"/>
        <w:rPr>
          <w:sz w:val="20"/>
          <w:szCs w:val="20"/>
          <w:color w:val="auto"/>
        </w:rPr>
      </w:pPr>
    </w:p>
    <w:p>
      <w:pPr>
        <w:jc w:val="both"/>
        <w:ind w:firstLine="620"/>
        <w:spacing w:after="0" w:line="227" w:lineRule="auto"/>
        <w:rPr>
          <w:sz w:val="20"/>
          <w:szCs w:val="20"/>
          <w:color w:val="auto"/>
        </w:rPr>
      </w:pPr>
      <w:r>
        <w:rPr>
          <w:rFonts w:ascii="Times New Roman" w:cs="Times New Roman" w:eastAsia="Times New Roman" w:hAnsi="Times New Roman"/>
          <w:sz w:val="20"/>
          <w:szCs w:val="20"/>
          <w:color w:val="auto"/>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 w:cs="Times New Roman" w:eastAsia="Times New Roman" w:hAnsi="Times New Roman"/>
          <w:sz w:val="20"/>
          <w:szCs w:val="20"/>
          <w:u w:val="single" w:color="auto"/>
          <w:color w:val="auto"/>
        </w:rPr>
        <w:t>Section 3.03(b)</w:t>
      </w:r>
    </w:p>
    <w:p>
      <w:pPr>
        <w:jc w:val="both"/>
        <w:ind w:firstLine="3"/>
        <w:spacing w:after="0" w:line="208" w:lineRule="auto"/>
        <w:tabs>
          <w:tab w:leader="none" w:pos="260" w:val="left"/>
        </w:tabs>
        <w:numPr>
          <w:ilvl w:val="0"/>
          <w:numId w:val="127"/>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 xml:space="preserve">or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have occurred with respect to the Successor Rate then in effect, then in each case, the Administrative Agent and Toro may amend this Agreement solely for the purpose of replacing Term SOFR or any then current Successor Rate in accordance with this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w:t>
      </w:r>
      <w:r>
        <w:rPr>
          <w:rFonts w:ascii="Times New Roman" w:cs="Times New Roman" w:eastAsia="Times New Roman" w:hAnsi="Times New Roman"/>
          <w:sz w:val="21"/>
          <w:szCs w:val="21"/>
          <w:u w:val="single" w:color="auto"/>
          <w:color w:val="auto"/>
        </w:rPr>
        <w:t>Successor Rate</w:t>
      </w:r>
      <w:r>
        <w:rPr>
          <w:rFonts w:ascii="Times New Roman" w:cs="Times New Roman" w:eastAsia="Times New Roman" w:hAnsi="Times New Roman"/>
          <w:sz w:val="21"/>
          <w:szCs w:val="21"/>
          <w:color w:val="auto"/>
        </w:rPr>
        <w:t>”. Any such amendment shall become effective at 5:00 p.m. on the fifth Business Day after the Administrative Agent shall have posted such proposed amendment to all Lenders and Toro unless, prior to such time, Lenders comprising the Required Lenders have delivered to the Administrative Agent written notice that such Required Lenders object to such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ectPr>
          <w:pgSz w:w="11900" w:h="16838" w:orient="portrait"/>
          <w:cols w:equalWidth="0" w:num="1">
            <w:col w:w="11240"/>
          </w:cols>
          <w:pgMar w:left="320" w:top="1342" w:right="339" w:bottom="1440" w:gutter="0" w:footer="0" w:header="0"/>
        </w:sectPr>
      </w:pPr>
    </w:p>
    <w:bookmarkStart w:id="145" w:name="page146"/>
    <w:bookmarkEnd w:id="145"/>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The Administrative Agent will promptly (in one or more notices) notify Toro and each Lender of the implementation of any Successor Rate.</w:t>
      </w:r>
    </w:p>
    <w:p>
      <w:pPr>
        <w:spacing w:after="0" w:line="145"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 xml:space="preserve">Any Successor Rate shall be applied in a manner consistent with market practice;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48"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Notwithstanding anything else herein, if at any time any Successor Rate as so determined would otherwise be less than zero percent, the Successor Rate will be deemed to be zero percent for the purposes of this Agreement and the other Loan Documents.</w:t>
      </w:r>
    </w:p>
    <w:p>
      <w:pPr>
        <w:spacing w:after="0" w:line="145"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such amendment effected, the Administrative Agent shall post each such amendment implementing such Conforming Changes to Toro and the Lenders reasonably promptly after such amendment becomes effective.</w:t>
      </w:r>
    </w:p>
    <w:p>
      <w:pPr>
        <w:spacing w:after="0" w:line="149"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 xml:space="preserve">For purposes of this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those Lenders that either have not made, or do not have an obligation under this Agreement to make, the relevant Loans in Dollars shall be excluded from any determination of Required Lenders.</w:t>
      </w:r>
    </w:p>
    <w:p>
      <w:pPr>
        <w:spacing w:after="0" w:line="145" w:lineRule="exact"/>
        <w:rPr>
          <w:sz w:val="20"/>
          <w:szCs w:val="20"/>
          <w:color w:val="auto"/>
        </w:rPr>
      </w:pPr>
    </w:p>
    <w:p>
      <w:pPr>
        <w:jc w:val="both"/>
        <w:ind w:firstLine="1244"/>
        <w:spacing w:after="0" w:line="211" w:lineRule="auto"/>
        <w:tabs>
          <w:tab w:leader="none" w:pos="1764" w:val="left"/>
        </w:tabs>
        <w:numPr>
          <w:ilvl w:val="0"/>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in connection with any request for an Alternative Currency Loan or a continuation of any of such Loans, as applicable, (i) the Administrative Agent determines (which determination shall be conclusive absent manifest error) that (A) no Successor Rate for the Relevant Rate for the applicable Alternative Currency has been determined in accordance with </w:t>
      </w:r>
      <w:r>
        <w:rPr>
          <w:rFonts w:ascii="Times New Roman" w:cs="Times New Roman" w:eastAsia="Times New Roman" w:hAnsi="Times New Roman"/>
          <w:sz w:val="21"/>
          <w:szCs w:val="21"/>
          <w:u w:val="single" w:color="auto"/>
          <w:color w:val="auto"/>
        </w:rPr>
        <w:t>Section 3.03(d)</w:t>
      </w:r>
      <w:r>
        <w:rPr>
          <w:rFonts w:ascii="Times New Roman" w:cs="Times New Roman" w:eastAsia="Times New Roman" w:hAnsi="Times New Roman"/>
          <w:sz w:val="21"/>
          <w:szCs w:val="21"/>
          <w:color w:val="auto"/>
        </w:rPr>
        <w:t xml:space="preserve"> and the circumstances under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3.03(d)</w:t>
      </w:r>
      <w:r>
        <w:rPr>
          <w:rFonts w:ascii="Times New Roman" w:cs="Times New Roman" w:eastAsia="Times New Roman" w:hAnsi="Times New Roman"/>
          <w:sz w:val="21"/>
          <w:szCs w:val="21"/>
          <w:color w:val="auto"/>
        </w:rPr>
        <w:t xml:space="preserve"> or the Scheduled Unavailability Date has occurred with respect to such Relevant Rate (as applicable), or (B) adequate and reasonable means do not otherwise exist for determining the Relevant Rate for the applicable Alternative Currency for any determination date(s) or requested Interest Period, as applicable, with respect to an Alternative Currency Loan, or (ii) the Administrative Agent or the Required Lenders determine that for any reason the Relevant Rate with respect to a proposed Loan denominated in an Alternative Currency for any requested Interest Period or determination date(s) does not adequately and fairly reflect the cost to such Lenders of funding such Loan, the Administrative Agent will promptly so notify Toro and each Lender.</w:t>
      </w:r>
    </w:p>
    <w:p>
      <w:pPr>
        <w:spacing w:after="0" w:line="151"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 xml:space="preserve">Thereafter, the obligation of the Lenders to make or maintain Loans in the affected currencies, as applicable, shall be suspended in each case to the extent of the affected Alternative Currency Loans or Interest Period or determination date(s), as applicable, until the Administrative Agent (or, in the case of a determination by the Required Lenders described in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3.03(c)</w:t>
      </w:r>
      <w:r>
        <w:rPr>
          <w:rFonts w:ascii="Times New Roman" w:cs="Times New Roman" w:eastAsia="Times New Roman" w:hAnsi="Times New Roman"/>
          <w:sz w:val="21"/>
          <w:szCs w:val="21"/>
          <w:color w:val="auto"/>
        </w:rPr>
        <w:t>, until the Required Lenders) revokes such notice.</w:t>
      </w:r>
    </w:p>
    <w:p>
      <w:pPr>
        <w:spacing w:after="0" w:line="148" w:lineRule="exact"/>
        <w:rPr>
          <w:sz w:val="20"/>
          <w:szCs w:val="20"/>
          <w:color w:val="auto"/>
        </w:rPr>
      </w:pPr>
    </w:p>
    <w:p>
      <w:pPr>
        <w:jc w:val="both"/>
        <w:ind w:firstLine="620"/>
        <w:spacing w:after="0" w:line="213" w:lineRule="auto"/>
        <w:rPr>
          <w:sz w:val="20"/>
          <w:szCs w:val="20"/>
          <w:color w:val="auto"/>
        </w:rPr>
      </w:pPr>
      <w:r>
        <w:rPr>
          <w:rFonts w:ascii="Times New Roman" w:cs="Times New Roman" w:eastAsia="Times New Roman" w:hAnsi="Times New Roman"/>
          <w:sz w:val="21"/>
          <w:szCs w:val="21"/>
          <w:color w:val="auto"/>
        </w:rPr>
        <w:t>Upon receipt of such notice, (i) the Borrowers may revoke any pending request for a Borrowing of, or continuation of, Alternative Currency Loans to the extent of the affected Alternative Currency Loans or Interest Period or determination date(s), as applicable or, failing that, will be deemed to have converted such request into a request for a Borrowing of Base Rate Loans denominated in Dollars in the Dollar Equivalent of the amount specified therein and (ii) any outstanding affected Alternative Currency Loans, at Toro’s election, shall either (1) be converted into a Borrowing of Base Rate Loans denominated in Dollars in the Dollar Equivalent of the amount of such outstanding Alternative Currency Loan immediately upon such election (or deemed election pursuant to the proviso below), in the case of an Alternative Currency Daily Rate Loan, or at the end of the applicable Interest Period, in the case of an Alternative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ectPr>
          <w:pgSz w:w="11900" w:h="16838" w:orient="portrait"/>
          <w:cols w:equalWidth="0" w:num="1">
            <w:col w:w="11240"/>
          </w:cols>
          <w:pgMar w:left="320" w:top="1342" w:right="339" w:bottom="1440" w:gutter="0" w:footer="0" w:header="0"/>
        </w:sectPr>
      </w:pPr>
    </w:p>
    <w:bookmarkStart w:id="146" w:name="page147"/>
    <w:bookmarkEnd w:id="146"/>
    <w:p>
      <w:pPr>
        <w:jc w:val="both"/>
        <w:spacing w:after="0" w:line="220" w:lineRule="auto"/>
        <w:rPr>
          <w:sz w:val="20"/>
          <w:szCs w:val="20"/>
          <w:color w:val="auto"/>
        </w:rPr>
      </w:pPr>
      <w:r>
        <w:rPr>
          <w:rFonts w:ascii="Times New Roman" w:cs="Times New Roman" w:eastAsia="Times New Roman" w:hAnsi="Times New Roman"/>
          <w:sz w:val="20"/>
          <w:szCs w:val="20"/>
          <w:color w:val="auto"/>
        </w:rPr>
        <w:t xml:space="preserve">Term Rate Loan, or (2) be prepaid in full immediately upon such election (or deemed election pursuant to the proviso below), in the case of an Alternative Currency Daily Rate Loan, or at the end of the applicable Interest Period, in the case of an Alternative Currency Term Rate Loan; provided that if no election is made by Toro (x) in the case of an Alternative Currency Daily Rate Loan, by the date that is three Business Days after receipt by Toro of such notice or (y) in the case of an Alternative Currency Term Rate Loan, by the last day of the current Interest Period for the applicable Alternative Currency Term Rate Loan, Toro shall be deemed to have elected </w:t>
      </w:r>
      <w:r>
        <w:rPr>
          <w:rFonts w:ascii="Times New Roman" w:cs="Times New Roman" w:eastAsia="Times New Roman" w:hAnsi="Times New Roman"/>
          <w:sz w:val="20"/>
          <w:szCs w:val="20"/>
          <w:u w:val="single" w:color="auto"/>
          <w:color w:val="auto"/>
        </w:rPr>
        <w:t>clause</w:t>
      </w:r>
    </w:p>
    <w:p>
      <w:pPr>
        <w:spacing w:after="0" w:line="2" w:lineRule="exact"/>
        <w:rPr>
          <w:sz w:val="20"/>
          <w:szCs w:val="20"/>
          <w:color w:val="auto"/>
        </w:rPr>
      </w:pPr>
    </w:p>
    <w:p>
      <w:pPr>
        <w:ind w:left="300" w:hanging="297"/>
        <w:spacing w:after="0"/>
        <w:tabs>
          <w:tab w:leader="none" w:pos="300" w:val="left"/>
        </w:tabs>
        <w:numPr>
          <w:ilvl w:val="0"/>
          <w:numId w:val="12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above.</w:t>
      </w:r>
    </w:p>
    <w:p>
      <w:pPr>
        <w:spacing w:after="0" w:line="150" w:lineRule="exact"/>
        <w:rPr>
          <w:sz w:val="20"/>
          <w:szCs w:val="20"/>
          <w:color w:val="auto"/>
        </w:rPr>
      </w:pPr>
    </w:p>
    <w:p>
      <w:pPr>
        <w:jc w:val="both"/>
        <w:ind w:firstLine="1244"/>
        <w:spacing w:after="0" w:line="220" w:lineRule="auto"/>
        <w:tabs>
          <w:tab w:leader="none" w:pos="1706"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or any other Loan Documents, in connection with any Alternative Currency Loans, if the Administrative Agent determines (which determination shall be conclusive absent manifest error), or Toro or the Required Lenders notify the Administrative Agent (with, in the case of the Required Lenders, a copy to Toro) that Toro or the Required Lenders (as applicable) have determined, that:</w:t>
      </w:r>
    </w:p>
    <w:p>
      <w:pPr>
        <w:spacing w:after="0" w:line="148" w:lineRule="exact"/>
        <w:rPr>
          <w:rFonts w:ascii="Times New Roman" w:cs="Times New Roman" w:eastAsia="Times New Roman" w:hAnsi="Times New Roman"/>
          <w:sz w:val="21"/>
          <w:szCs w:val="21"/>
          <w:color w:val="auto"/>
        </w:rPr>
      </w:pPr>
    </w:p>
    <w:p>
      <w:pPr>
        <w:jc w:val="both"/>
        <w:ind w:firstLine="1864"/>
        <w:spacing w:after="0" w:line="225" w:lineRule="auto"/>
        <w:tabs>
          <w:tab w:leader="none" w:pos="2295"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adequate and reasonable means do not exist for ascertaining the Relevant Rate for an Alternative Currency because none of the tenors of such Relevant Rate (including any daily or forward-looking term rate thereof) is available or published on a current basis and such circumstances are unlikely to be temporary; or</w:t>
      </w:r>
    </w:p>
    <w:p>
      <w:pPr>
        <w:spacing w:after="0" w:line="147" w:lineRule="exact"/>
        <w:rPr>
          <w:rFonts w:ascii="Times New Roman" w:cs="Times New Roman" w:eastAsia="Times New Roman" w:hAnsi="Times New Roman"/>
          <w:sz w:val="21"/>
          <w:szCs w:val="21"/>
          <w:color w:val="auto"/>
        </w:rPr>
      </w:pPr>
    </w:p>
    <w:p>
      <w:pPr>
        <w:jc w:val="both"/>
        <w:ind w:firstLine="1864"/>
        <w:spacing w:after="0" w:line="213" w:lineRule="auto"/>
        <w:tabs>
          <w:tab w:leader="none" w:pos="2369"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Applicable Authority has made a public statement identifying a specific date after which all tenors of the Relevant Rate for an Alternative Currency (including any daily or forward-looking term rate thereof) shall or will no longer be representative or made available, or used for determining the interest rate of loans denominated in such Alternative Currency, or shall or will otherwise cease,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case, at the time of such statement, there is no successor administrator that is satisfactory to the Administrative Agent that will continue to provide such representative tenor(s) of the Relevant Rate for such Alternative Currency (the latest date on which all tenors of the Relevant Rate for such Alternative Currency (including any daily or forward-looking term rate thereof) are no longer representative or available permanently or indefinitely, the “</w:t>
      </w:r>
      <w:r>
        <w:rPr>
          <w:rFonts w:ascii="Times New Roman" w:cs="Times New Roman" w:eastAsia="Times New Roman" w:hAnsi="Times New Roman"/>
          <w:sz w:val="21"/>
          <w:szCs w:val="21"/>
          <w:u w:val="single" w:color="auto"/>
          <w:color w:val="auto"/>
        </w:rPr>
        <w:t>Scheduled Unavailability Date</w:t>
      </w:r>
      <w:r>
        <w:rPr>
          <w:rFonts w:ascii="Times New Roman" w:cs="Times New Roman" w:eastAsia="Times New Roman" w:hAnsi="Times New Roman"/>
          <w:sz w:val="21"/>
          <w:szCs w:val="21"/>
          <w:color w:val="auto"/>
        </w:rPr>
        <w:t>”); or</w:t>
      </w:r>
    </w:p>
    <w:p>
      <w:pPr>
        <w:spacing w:after="0" w:line="146" w:lineRule="exact"/>
        <w:rPr>
          <w:rFonts w:ascii="Times New Roman" w:cs="Times New Roman" w:eastAsia="Times New Roman" w:hAnsi="Times New Roman"/>
          <w:sz w:val="21"/>
          <w:szCs w:val="21"/>
          <w:color w:val="auto"/>
        </w:rPr>
      </w:pPr>
    </w:p>
    <w:p>
      <w:pPr>
        <w:ind w:firstLine="1864"/>
        <w:spacing w:after="0" w:line="236" w:lineRule="auto"/>
        <w:tabs>
          <w:tab w:leader="none" w:pos="2470" w:val="left"/>
        </w:tabs>
        <w:numPr>
          <w:ilvl w:val="1"/>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syndicated loans currently being executed and agented in the U.S., are being executed or amended (as applicable) to incorporate or adopt a new benchmark interest rate to replace the Relevant Rate for an Alternative Currency;</w:t>
      </w:r>
    </w:p>
    <w:p>
      <w:pPr>
        <w:spacing w:after="0" w:line="145" w:lineRule="exact"/>
        <w:rPr>
          <w:sz w:val="20"/>
          <w:szCs w:val="20"/>
          <w:color w:val="auto"/>
        </w:rPr>
      </w:pPr>
    </w:p>
    <w:p>
      <w:pPr>
        <w:jc w:val="both"/>
        <w:ind w:firstLine="620"/>
        <w:spacing w:after="0" w:line="210" w:lineRule="auto"/>
        <w:rPr>
          <w:sz w:val="20"/>
          <w:szCs w:val="20"/>
          <w:color w:val="auto"/>
        </w:rPr>
      </w:pPr>
      <w:r>
        <w:rPr>
          <w:rFonts w:ascii="Times New Roman" w:cs="Times New Roman" w:eastAsia="Times New Roman" w:hAnsi="Times New Roman"/>
          <w:sz w:val="21"/>
          <w:szCs w:val="21"/>
          <w:color w:val="auto"/>
        </w:rPr>
        <w:t xml:space="preserve">or if the events or circumstances of the type described in </w:t>
      </w:r>
      <w:r>
        <w:rPr>
          <w:rFonts w:ascii="Times New Roman" w:cs="Times New Roman" w:eastAsia="Times New Roman" w:hAnsi="Times New Roman"/>
          <w:sz w:val="21"/>
          <w:szCs w:val="21"/>
          <w:u w:val="single" w:color="auto"/>
          <w:color w:val="auto"/>
        </w:rPr>
        <w:t>Section 3.03(d)(i)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have occurred with respect to the Successor Rate then in effect, then, the Administrative Agent and Toro may amend this Agreement solely for the purpose of replacing the Relevant Rate for an Alternative Currency or any then- current Successor Rate for an Alternative Currency in accordance with this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xml:space="preserve"> with an alternative benchmark rate giving due consideration to any evolving or then existing convention for similar credit facilities syndicated and agented in the U.S. and denominated in such Alternative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Alternative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 w:cs="Times New Roman" w:eastAsia="Times New Roman" w:hAnsi="Times New Roman"/>
          <w:sz w:val="21"/>
          <w:szCs w:val="21"/>
          <w:u w:val="single" w:color="auto"/>
          <w:color w:val="auto"/>
        </w:rPr>
        <w:t>Successor Rate</w:t>
      </w:r>
      <w:r>
        <w:rPr>
          <w:rFonts w:ascii="Times New Roman" w:cs="Times New Roman" w:eastAsia="Times New Roman" w:hAnsi="Times New Roman"/>
          <w:sz w:val="21"/>
          <w:szCs w:val="21"/>
          <w:color w:val="auto"/>
        </w:rPr>
        <w:t>”), and any such amendment shall become effective at 5:00 p.m. on the fifth Business Day after the Administrative Agent shall have posted such proposed amendment to all Lenders and Toro unless, prior to such time, Lenders comprising the Required Lenders have delivered to the Administrative Agent written notice that such Required Lenders object to such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ectPr>
          <w:pgSz w:w="11900" w:h="16838" w:orient="portrait"/>
          <w:cols w:equalWidth="0" w:num="1">
            <w:col w:w="11240"/>
          </w:cols>
          <w:pgMar w:left="320" w:top="1342" w:right="339" w:bottom="1440" w:gutter="0" w:footer="0" w:header="0"/>
        </w:sectPr>
      </w:pPr>
    </w:p>
    <w:bookmarkStart w:id="147" w:name="page148"/>
    <w:bookmarkEnd w:id="147"/>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The Administrative Agent will promptly (in one or more notices) notify Toro and each Lender of the implementation of any Successor Rate.</w:t>
      </w:r>
    </w:p>
    <w:p>
      <w:pPr>
        <w:spacing w:after="0" w:line="145"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 xml:space="preserve">Any Successor Rate shall be applied in a manner consistent with market practice;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such market practice is not administratively feasible for the Administrative Agent, such Successor Rate shall be applied in a manner as otherwise reasonably determined by the Administrative Agent.</w:t>
      </w:r>
    </w:p>
    <w:p>
      <w:pPr>
        <w:spacing w:after="0" w:line="148"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Notwithstanding anything else herein, if at any time any Successor Rate as so determined would otherwise be less than zero percent, the Successor Rate will be deemed to be zero percent for the purposes of this Agreement and the other Loan Documents.</w:t>
      </w:r>
    </w:p>
    <w:p>
      <w:pPr>
        <w:spacing w:after="0" w:line="145"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such amendment effected, the Administrative Agent shall post each such amendment implementing such Conforming Changes to Toro and the Lenders reasonably promptly after such amendment becomes effective.</w:t>
      </w:r>
    </w:p>
    <w:p>
      <w:pPr>
        <w:spacing w:after="0" w:line="145"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3.04</w:t>
      </w:r>
      <w:r>
        <w:rPr>
          <w:sz w:val="20"/>
          <w:szCs w:val="20"/>
          <w:color w:val="auto"/>
        </w:rPr>
        <w:tab/>
      </w:r>
      <w:r>
        <w:rPr>
          <w:rFonts w:ascii="Times New Roman" w:cs="Times New Roman" w:eastAsia="Times New Roman" w:hAnsi="Times New Roman"/>
          <w:sz w:val="20"/>
          <w:szCs w:val="20"/>
          <w:b w:val="1"/>
          <w:bCs w:val="1"/>
          <w:color w:val="auto"/>
        </w:rPr>
        <w:t>Increased Costs.</w:t>
      </w:r>
    </w:p>
    <w:p>
      <w:pPr>
        <w:spacing w:after="0" w:line="176" w:lineRule="exact"/>
        <w:rPr>
          <w:sz w:val="20"/>
          <w:szCs w:val="20"/>
          <w:color w:val="auto"/>
        </w:rPr>
      </w:pPr>
    </w:p>
    <w:p>
      <w:pPr>
        <w:ind w:left="1680" w:hanging="436"/>
        <w:spacing w:after="0"/>
        <w:tabs>
          <w:tab w:leader="none" w:pos="1680"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Increased Costs Generally</w:t>
      </w:r>
      <w:r>
        <w:rPr>
          <w:rFonts w:ascii="Times New Roman" w:cs="Times New Roman" w:eastAsia="Times New Roman" w:hAnsi="Times New Roman"/>
          <w:sz w:val="21"/>
          <w:szCs w:val="21"/>
          <w:color w:val="auto"/>
        </w:rPr>
        <w:t>. If any Change in Law shall:</w:t>
      </w:r>
    </w:p>
    <w:p>
      <w:pPr>
        <w:spacing w:after="0" w:line="171" w:lineRule="exact"/>
        <w:rPr>
          <w:rFonts w:ascii="Times New Roman" w:cs="Times New Roman" w:eastAsia="Times New Roman" w:hAnsi="Times New Roman"/>
          <w:sz w:val="21"/>
          <w:szCs w:val="21"/>
          <w:color w:val="auto"/>
        </w:rPr>
      </w:pPr>
    </w:p>
    <w:p>
      <w:pPr>
        <w:jc w:val="both"/>
        <w:ind w:firstLine="1864"/>
        <w:spacing w:after="0" w:line="225" w:lineRule="auto"/>
        <w:tabs>
          <w:tab w:leader="none" w:pos="2384"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modify or deem applicable any reserve, special deposit, compulsory loan, insurance charge or similar requirement against assets of, deposits with or for the account of, or credit extended or participated in by, any Lender or the L/C Issuer;</w:t>
      </w:r>
    </w:p>
    <w:p>
      <w:pPr>
        <w:spacing w:after="0" w:line="147" w:lineRule="exact"/>
        <w:rPr>
          <w:rFonts w:ascii="Times New Roman" w:cs="Times New Roman" w:eastAsia="Times New Roman" w:hAnsi="Times New Roman"/>
          <w:sz w:val="21"/>
          <w:szCs w:val="21"/>
          <w:color w:val="auto"/>
        </w:rPr>
      </w:pPr>
    </w:p>
    <w:p>
      <w:pPr>
        <w:jc w:val="both"/>
        <w:ind w:firstLine="1864"/>
        <w:spacing w:after="0" w:line="225" w:lineRule="auto"/>
        <w:tabs>
          <w:tab w:leader="none" w:pos="2369"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any Recipient to any Taxes (other than (A) Indemnified Taxes, (B) Taxes described in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47" w:lineRule="exact"/>
        <w:rPr>
          <w:rFonts w:ascii="Times New Roman" w:cs="Times New Roman" w:eastAsia="Times New Roman" w:hAnsi="Times New Roman"/>
          <w:sz w:val="21"/>
          <w:szCs w:val="21"/>
          <w:color w:val="auto"/>
        </w:rPr>
      </w:pPr>
    </w:p>
    <w:p>
      <w:pPr>
        <w:jc w:val="both"/>
        <w:ind w:firstLine="1864"/>
        <w:spacing w:after="0" w:line="225" w:lineRule="auto"/>
        <w:tabs>
          <w:tab w:leader="none" w:pos="2486"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on any Lender or the L/C Issuer or the London interbank market any other condition, cost or expense affecting this Agreement or Term SOFR Loans or Alternative Currency Term Rate Loans made by such Lender or any Letter of Credit or participation therein;</w:t>
      </w:r>
    </w:p>
    <w:p>
      <w:pPr>
        <w:spacing w:after="0" w:line="148"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1"/>
          <w:szCs w:val="21"/>
          <w:color w:val="auto"/>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Toro will pay (or cause the applicable Subsidiary Borrower to pay) to such Lender or the L/C Issuer, as the case may be, such additional amount or amounts as will compensate such Lender or the L/C Issuer, as the case may be, for such additional costs incurred or reduction suffered.</w:t>
      </w:r>
    </w:p>
    <w:p>
      <w:pPr>
        <w:spacing w:after="0" w:line="147" w:lineRule="exact"/>
        <w:rPr>
          <w:sz w:val="20"/>
          <w:szCs w:val="20"/>
          <w:color w:val="auto"/>
        </w:rPr>
      </w:pPr>
    </w:p>
    <w:p>
      <w:pPr>
        <w:jc w:val="both"/>
        <w:ind w:firstLine="1244"/>
        <w:spacing w:after="0" w:line="220" w:lineRule="auto"/>
        <w:tabs>
          <w:tab w:leader="none" w:pos="1688"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 Requirements</w:t>
      </w:r>
      <w:r>
        <w:rPr>
          <w:rFonts w:ascii="Times New Roman" w:cs="Times New Roman" w:eastAsia="Times New Roman" w:hAnsi="Times New Roman"/>
          <w:sz w:val="21"/>
          <w:szCs w:val="21"/>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w:t>
      </w:r>
    </w:p>
    <w:p>
      <w:pPr>
        <w:sectPr>
          <w:pgSz w:w="11900" w:h="16838" w:orient="portrait"/>
          <w:cols w:equalWidth="0" w:num="1">
            <w:col w:w="11240"/>
          </w:cols>
          <w:pgMar w:left="320" w:top="1342" w:right="339" w:bottom="1440" w:gutter="0" w:footer="0" w:header="0"/>
        </w:sectPr>
      </w:pPr>
    </w:p>
    <w:bookmarkStart w:id="148" w:name="page149"/>
    <w:bookmarkEnd w:id="148"/>
    <w:p>
      <w:pPr>
        <w:jc w:val="both"/>
        <w:spacing w:after="0" w:line="214" w:lineRule="auto"/>
        <w:rPr>
          <w:sz w:val="20"/>
          <w:szCs w:val="20"/>
          <w:color w:val="auto"/>
        </w:rPr>
      </w:pPr>
      <w:r>
        <w:rPr>
          <w:rFonts w:ascii="Times New Roman" w:cs="Times New Roman" w:eastAsia="Times New Roman" w:hAnsi="Times New Roman"/>
          <w:sz w:val="21"/>
          <w:szCs w:val="21"/>
          <w:color w:val="auto"/>
        </w:rPr>
        <w:t>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Toro will pay (or cause the applicable Subsidiary Borrower to pay) to such Lender or the L/C Issuer, as the case may be, such additional amount or amounts as will compensate such Lender or the L/C Issuer or such Lender’s or the L/C Issuer’s holding company for any such reduction suffered.</w:t>
      </w:r>
    </w:p>
    <w:p>
      <w:pPr>
        <w:spacing w:after="0" w:line="147" w:lineRule="exact"/>
        <w:rPr>
          <w:sz w:val="20"/>
          <w:szCs w:val="20"/>
          <w:color w:val="auto"/>
        </w:rPr>
      </w:pPr>
    </w:p>
    <w:p>
      <w:pPr>
        <w:jc w:val="both"/>
        <w:ind w:firstLine="1244"/>
        <w:spacing w:after="0" w:line="217" w:lineRule="auto"/>
        <w:tabs>
          <w:tab w:leader="none" w:pos="1741"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Certificates for Reimbursement</w:t>
      </w:r>
      <w:r>
        <w:rPr>
          <w:rFonts w:ascii="Times New Roman" w:cs="Times New Roman" w:eastAsia="Times New Roman" w:hAnsi="Times New Roman"/>
          <w:sz w:val="21"/>
          <w:szCs w:val="21"/>
          <w:color w:val="auto"/>
        </w:rPr>
        <w:t xml:space="preserve">. A certificate of a Lender or the L/C Issuer setting forth the amount or amounts necessary to compensate such Lender or the L/C Issuer or its holding company as the case may be, and setting forth the basis for the determination thereof, as specified in </w:t>
      </w:r>
      <w:r>
        <w:rPr>
          <w:rFonts w:ascii="Times New Roman" w:cs="Times New Roman" w:eastAsia="Times New Roman" w:hAnsi="Times New Roman"/>
          <w:sz w:val="21"/>
          <w:szCs w:val="21"/>
          <w:u w:val="single" w:color="auto"/>
          <w:color w:val="auto"/>
        </w:rPr>
        <w:t>subsection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this Section and delivered to Toro shall be conclusive absent manifest error. Toro shall pay (or cause the applicable Subsidiary Borrower to pay) such Lender or the L/C Issuer, as the case may be, the amount shown as due on any such certificate within 30 days after receipt thereof.</w:t>
      </w:r>
    </w:p>
    <w:p>
      <w:pPr>
        <w:spacing w:after="0" w:line="148" w:lineRule="exact"/>
        <w:rPr>
          <w:rFonts w:ascii="Times New Roman" w:cs="Times New Roman" w:eastAsia="Times New Roman" w:hAnsi="Times New Roman"/>
          <w:sz w:val="21"/>
          <w:szCs w:val="21"/>
          <w:color w:val="auto"/>
        </w:rPr>
      </w:pPr>
    </w:p>
    <w:p>
      <w:pPr>
        <w:jc w:val="both"/>
        <w:ind w:firstLine="1244"/>
        <w:spacing w:after="0" w:line="213" w:lineRule="auto"/>
        <w:tabs>
          <w:tab w:leader="none" w:pos="1714"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Delay in Requests</w:t>
      </w:r>
      <w:r>
        <w:rPr>
          <w:rFonts w:ascii="Times New Roman" w:cs="Times New Roman" w:eastAsia="Times New Roman" w:hAnsi="Times New Roman"/>
          <w:sz w:val="21"/>
          <w:szCs w:val="21"/>
          <w:color w:val="auto"/>
        </w:rPr>
        <w:t xml:space="preserve">. Failure or delay on the part of any Lender or the L/C Issuer to demand compensation pursuant to the foregoing provisions of this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shall not constitute a waiver of such Lender’s or the L/C Issuer’s right to demand such compensation, provided that no Borrower shall be required to compensate a Lender or the L/C Issuer pursuant to the foregoing provisions of this Section for any increased costs incurred or reductions suffered more than nine months prior to the date that such Lender or the L/C Issuer, as the case may be, notifies Toro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46" w:lineRule="exact"/>
        <w:rPr>
          <w:rFonts w:ascii="Times New Roman" w:cs="Times New Roman" w:eastAsia="Times New Roman" w:hAnsi="Times New Roman"/>
          <w:sz w:val="21"/>
          <w:szCs w:val="21"/>
          <w:color w:val="auto"/>
        </w:rPr>
      </w:pPr>
    </w:p>
    <w:p>
      <w:pPr>
        <w:jc w:val="both"/>
        <w:ind w:firstLine="1244"/>
        <w:spacing w:after="0" w:line="220" w:lineRule="auto"/>
        <w:tabs>
          <w:tab w:leader="none" w:pos="1806"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Consistent Treatment</w:t>
      </w:r>
      <w:r>
        <w:rPr>
          <w:rFonts w:ascii="Times New Roman" w:cs="Times New Roman" w:eastAsia="Times New Roman" w:hAnsi="Times New Roman"/>
          <w:sz w:val="21"/>
          <w:szCs w:val="21"/>
          <w:color w:val="auto"/>
        </w:rPr>
        <w:t xml:space="preserve">. Notwithstanding anything in this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to the contrary, no Lender shall receive compensation pursuant to this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unless such Lender certifies that it is generally seeking compensation from other borrowers in the United States loan market with respect to similarly affected loans under agreements with such borrowers having provisions similar to this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w:t>
      </w:r>
    </w:p>
    <w:p>
      <w:pPr>
        <w:spacing w:after="0" w:line="144" w:lineRule="exact"/>
        <w:rPr>
          <w:sz w:val="20"/>
          <w:szCs w:val="20"/>
          <w:color w:val="auto"/>
        </w:rPr>
      </w:pPr>
    </w:p>
    <w:p>
      <w:pPr>
        <w:jc w:val="both"/>
        <w:ind w:firstLine="620"/>
        <w:spacing w:after="0" w:line="227" w:lineRule="auto"/>
        <w:rPr>
          <w:sz w:val="20"/>
          <w:szCs w:val="20"/>
          <w:color w:val="auto"/>
        </w:rPr>
      </w:pPr>
      <w:r>
        <w:rPr>
          <w:rFonts w:ascii="Times New Roman" w:cs="Times New Roman" w:eastAsia="Times New Roman" w:hAnsi="Times New Roman"/>
          <w:sz w:val="21"/>
          <w:szCs w:val="21"/>
          <w:b w:val="1"/>
          <w:bCs w:val="1"/>
          <w:color w:val="auto"/>
        </w:rPr>
        <w:t>3.05 Compensation for Losses</w:t>
      </w:r>
      <w:r>
        <w:rPr>
          <w:rFonts w:ascii="Times New Roman" w:cs="Times New Roman" w:eastAsia="Times New Roman" w:hAnsi="Times New Roman"/>
          <w:sz w:val="21"/>
          <w:szCs w:val="21"/>
          <w:color w:val="auto"/>
        </w:rPr>
        <w:t>. Upon demand of any Lender (with a copy to the Administrative Agent) from time to time,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Toro shall promptly compensate (or cause the applicable Subsidiary Borrower to compensate) such Lender for and hold such Lender harmless from any loss, cost or expense incurred by it as a result of:</w:t>
      </w:r>
    </w:p>
    <w:p>
      <w:pPr>
        <w:spacing w:after="0" w:line="146" w:lineRule="exact"/>
        <w:rPr>
          <w:sz w:val="20"/>
          <w:szCs w:val="20"/>
          <w:color w:val="auto"/>
        </w:rPr>
      </w:pPr>
    </w:p>
    <w:p>
      <w:pPr>
        <w:ind w:firstLine="1244"/>
        <w:spacing w:after="0" w:line="255" w:lineRule="auto"/>
        <w:tabs>
          <w:tab w:leader="none" w:pos="1681"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131" w:lineRule="exact"/>
        <w:rPr>
          <w:rFonts w:ascii="Times New Roman" w:cs="Times New Roman" w:eastAsia="Times New Roman" w:hAnsi="Times New Roman"/>
          <w:sz w:val="20"/>
          <w:szCs w:val="20"/>
          <w:color w:val="auto"/>
        </w:rPr>
      </w:pPr>
    </w:p>
    <w:p>
      <w:pPr>
        <w:ind w:firstLine="1244"/>
        <w:spacing w:after="0" w:line="236" w:lineRule="auto"/>
        <w:tabs>
          <w:tab w:leader="none" w:pos="1703"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by any Borrower (for a reason other than the failure of such Lender to make a Loan) to prepay, borrow, continue or convert any Loan other than a Base Rate Loan on the date or in the amount notified by Toro;</w:t>
      </w:r>
    </w:p>
    <w:p>
      <w:pPr>
        <w:spacing w:after="0" w:line="145" w:lineRule="exact"/>
        <w:rPr>
          <w:rFonts w:ascii="Times New Roman" w:cs="Times New Roman" w:eastAsia="Times New Roman" w:hAnsi="Times New Roman"/>
          <w:sz w:val="21"/>
          <w:szCs w:val="21"/>
          <w:color w:val="auto"/>
        </w:rPr>
      </w:pPr>
    </w:p>
    <w:p>
      <w:pPr>
        <w:ind w:firstLine="1244"/>
        <w:spacing w:after="0" w:line="236" w:lineRule="auto"/>
        <w:tabs>
          <w:tab w:leader="none" w:pos="1713"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by any Borrower to make payment of any Loan or drawing under any Letter of Credit (or interest due thereon) denominated in an Alternative Currency on its scheduled due date or any payment thereof in a different currency;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ectPr>
          <w:pgSz w:w="11900" w:h="16838" w:orient="portrait"/>
          <w:cols w:equalWidth="0" w:num="1">
            <w:col w:w="11240"/>
          </w:cols>
          <w:pgMar w:left="320" w:top="1342" w:right="339" w:bottom="1440" w:gutter="0" w:footer="0" w:header="0"/>
        </w:sectPr>
      </w:pPr>
    </w:p>
    <w:bookmarkStart w:id="149" w:name="page150"/>
    <w:bookmarkEnd w:id="149"/>
    <w:p>
      <w:pPr>
        <w:ind w:firstLine="1244"/>
        <w:spacing w:after="0" w:line="236" w:lineRule="auto"/>
        <w:tabs>
          <w:tab w:leader="none" w:pos="169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assignment of a Term SOFR Loan or Alternative Currency Term Rate Loans on a day other than the last day of the Interest Period therefor as a result of a request by Toro pursuant to </w:t>
      </w:r>
      <w:r>
        <w:rPr>
          <w:rFonts w:ascii="Times New Roman" w:cs="Times New Roman" w:eastAsia="Times New Roman" w:hAnsi="Times New Roman"/>
          <w:sz w:val="21"/>
          <w:szCs w:val="21"/>
          <w:u w:val="single" w:color="auto"/>
          <w:color w:val="auto"/>
        </w:rPr>
        <w:t>Section 11.13</w:t>
      </w:r>
      <w:r>
        <w:rPr>
          <w:rFonts w:ascii="Times New Roman" w:cs="Times New Roman" w:eastAsia="Times New Roman" w:hAnsi="Times New Roman"/>
          <w:sz w:val="21"/>
          <w:szCs w:val="21"/>
          <w:color w:val="auto"/>
        </w:rPr>
        <w:t>;</w:t>
      </w:r>
    </w:p>
    <w:p>
      <w:pPr>
        <w:spacing w:after="0" w:line="14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including any loss of anticipated profits,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Toro shall also pay (or cause the applicable Subsidiary Borrower to pay) any customary administrative fees charged by such Lender in connection with the foregoing.</w:t>
      </w:r>
    </w:p>
    <w:p>
      <w:pPr>
        <w:spacing w:after="0" w:line="148"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 xml:space="preserve">For purposes of calculating amounts payable by the Borrowers to the Lenders under this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each Lender shall be deemed to have funded each Alternative Currency Term Rate Loan made by it at the Relevant Rate for such Loan by a matching deposit or other borrowing in the offshore interbank market for such currency for a comparable amount and for a comparable period, whether or not such Alternative Currency Term Rate Loan was in fact so funded.</w:t>
      </w:r>
    </w:p>
    <w:p>
      <w:pPr>
        <w:spacing w:after="0" w:line="144"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3.06</w:t>
      </w:r>
      <w:r>
        <w:rPr>
          <w:sz w:val="20"/>
          <w:szCs w:val="20"/>
          <w:color w:val="auto"/>
        </w:rPr>
        <w:tab/>
      </w:r>
      <w:r>
        <w:rPr>
          <w:rFonts w:ascii="Times New Roman" w:cs="Times New Roman" w:eastAsia="Times New Roman" w:hAnsi="Times New Roman"/>
          <w:sz w:val="20"/>
          <w:szCs w:val="20"/>
          <w:b w:val="1"/>
          <w:bCs w:val="1"/>
          <w:color w:val="auto"/>
        </w:rPr>
        <w:t>Mitigation Obligations; Replacement of Lenders.</w:t>
      </w:r>
    </w:p>
    <w:p>
      <w:pPr>
        <w:spacing w:after="0" w:line="176" w:lineRule="exact"/>
        <w:rPr>
          <w:sz w:val="20"/>
          <w:szCs w:val="20"/>
          <w:color w:val="auto"/>
        </w:rPr>
      </w:pPr>
    </w:p>
    <w:p>
      <w:pPr>
        <w:jc w:val="both"/>
        <w:ind w:firstLine="1244"/>
        <w:spacing w:after="0" w:line="210" w:lineRule="auto"/>
        <w:tabs>
          <w:tab w:leader="none" w:pos="1741"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Designation of a Different Lending Office</w:t>
      </w:r>
      <w:r>
        <w:rPr>
          <w:rFonts w:ascii="Times New Roman" w:cs="Times New Roman" w:eastAsia="Times New Roman" w:hAnsi="Times New Roman"/>
          <w:sz w:val="21"/>
          <w:szCs w:val="21"/>
          <w:color w:val="auto"/>
        </w:rPr>
        <w:t xml:space="preserve">. Each Lender may make any Credit Extension to a Borrower through any Lending Office, provided that the exercise of this option shall not affect the obligation of such Borrower to repay the Credit Extension in accordance with the terms of this Agreement. If any Lender requests compensation under Section 3.04, or any Borrower is required to pay any Indemnified Taxes or additional amount to any Lender, the L/C Issuer or any Governmental Authority for the account of any Lender or the L/C Issuer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if any Lender gives a notice pursuant to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then at the request of Toro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as the case may be, in the future, or eliminate the need for the notice pursuant to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as applicable, and (ii) in each case, would not subject such Lender or the L/C Issuer, as the case may be, to any unreimbursed cost or expense and would not otherwise be disadvantageous to such Lender or the L/C Issuer, as the case may be. Toro hereby agrees to pay (or cause the applicable Borrower to pay) all reasonable costs and expenses incurred by any Lender or the L/C Issuer in connection with any such designation or assignment.</w:t>
      </w:r>
    </w:p>
    <w:p>
      <w:pPr>
        <w:spacing w:after="0" w:line="147" w:lineRule="exact"/>
        <w:rPr>
          <w:rFonts w:ascii="Times New Roman" w:cs="Times New Roman" w:eastAsia="Times New Roman" w:hAnsi="Times New Roman"/>
          <w:sz w:val="21"/>
          <w:szCs w:val="21"/>
          <w:color w:val="auto"/>
        </w:rPr>
      </w:pPr>
    </w:p>
    <w:p>
      <w:pPr>
        <w:jc w:val="both"/>
        <w:ind w:firstLine="1244"/>
        <w:spacing w:after="0" w:line="220" w:lineRule="auto"/>
        <w:tabs>
          <w:tab w:leader="none" w:pos="1714"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Replacement of Lenders</w:t>
      </w:r>
      <w:r>
        <w:rPr>
          <w:rFonts w:ascii="Times New Roman" w:cs="Times New Roman" w:eastAsia="Times New Roman" w:hAnsi="Times New Roman"/>
          <w:sz w:val="21"/>
          <w:szCs w:val="21"/>
          <w:color w:val="auto"/>
        </w:rPr>
        <w:t xml:space="preserve">. If any Lender requests compensation under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or if any Borrower is required to pay any Indemnified Taxes or additional amount to any Lender or any Governmental Authority for the account of any Lender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and, in each case, such Lender has declined or is unable to designate a different lending office in accordance with </w:t>
      </w:r>
      <w:r>
        <w:rPr>
          <w:rFonts w:ascii="Times New Roman" w:cs="Times New Roman" w:eastAsia="Times New Roman" w:hAnsi="Times New Roman"/>
          <w:sz w:val="21"/>
          <w:szCs w:val="21"/>
          <w:u w:val="single" w:color="auto"/>
          <w:color w:val="auto"/>
        </w:rPr>
        <w:t>Section 3.06(a),</w:t>
      </w:r>
      <w:r>
        <w:rPr>
          <w:rFonts w:ascii="Times New Roman" w:cs="Times New Roman" w:eastAsia="Times New Roman" w:hAnsi="Times New Roman"/>
          <w:sz w:val="21"/>
          <w:szCs w:val="21"/>
          <w:color w:val="auto"/>
        </w:rPr>
        <w:t xml:space="preserve"> Toro may replace such Lender in accordance with </w:t>
      </w:r>
      <w:r>
        <w:rPr>
          <w:rFonts w:ascii="Times New Roman" w:cs="Times New Roman" w:eastAsia="Times New Roman" w:hAnsi="Times New Roman"/>
          <w:sz w:val="21"/>
          <w:szCs w:val="21"/>
          <w:u w:val="single" w:color="auto"/>
          <w:color w:val="auto"/>
        </w:rPr>
        <w:t>Section 11.13</w:t>
      </w:r>
      <w:r>
        <w:rPr>
          <w:rFonts w:ascii="Times New Roman" w:cs="Times New Roman" w:eastAsia="Times New Roman" w:hAnsi="Times New Roman"/>
          <w:sz w:val="21"/>
          <w:szCs w:val="21"/>
          <w:color w:val="auto"/>
        </w:rPr>
        <w:t>.</w:t>
      </w:r>
    </w:p>
    <w:p>
      <w:pPr>
        <w:spacing w:after="0" w:line="144" w:lineRule="exact"/>
        <w:rPr>
          <w:sz w:val="20"/>
          <w:szCs w:val="20"/>
          <w:color w:val="auto"/>
        </w:rPr>
      </w:pPr>
    </w:p>
    <w:p>
      <w:pPr>
        <w:ind w:firstLine="620"/>
        <w:spacing w:after="0" w:line="237" w:lineRule="auto"/>
        <w:rPr>
          <w:sz w:val="20"/>
          <w:szCs w:val="20"/>
          <w:color w:val="auto"/>
        </w:rPr>
      </w:pPr>
      <w:r>
        <w:rPr>
          <w:rFonts w:ascii="Times New Roman" w:cs="Times New Roman" w:eastAsia="Times New Roman" w:hAnsi="Times New Roman"/>
          <w:sz w:val="21"/>
          <w:szCs w:val="21"/>
          <w:b w:val="1"/>
          <w:bCs w:val="1"/>
          <w:color w:val="auto"/>
        </w:rPr>
        <w:t>3.07 Survival</w:t>
      </w:r>
      <w:r>
        <w:rPr>
          <w:rFonts w:ascii="Times New Roman" w:cs="Times New Roman" w:eastAsia="Times New Roman" w:hAnsi="Times New Roman"/>
          <w:sz w:val="21"/>
          <w:szCs w:val="21"/>
          <w:color w:val="auto"/>
        </w:rPr>
        <w:t>. All of the Borrowers’ obligations under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survive termination of the Aggregate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Commitments, repayment of all other Obligations hereunder and resignation of the Administrative Agent.</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ARTICLE IV.</w:t>
      </w:r>
    </w:p>
    <w:p>
      <w:pPr>
        <w:jc w:val="center"/>
        <w:spacing w:after="0"/>
        <w:rPr>
          <w:sz w:val="20"/>
          <w:szCs w:val="20"/>
          <w:color w:val="auto"/>
        </w:rPr>
      </w:pPr>
      <w:r>
        <w:rPr>
          <w:rFonts w:ascii="Times New Roman" w:cs="Times New Roman" w:eastAsia="Times New Roman" w:hAnsi="Times New Roman"/>
          <w:sz w:val="21"/>
          <w:szCs w:val="21"/>
          <w:b w:val="1"/>
          <w:bCs w:val="1"/>
          <w:color w:val="auto"/>
        </w:rPr>
        <w:t>CONDITIONS PRECEDENT TO CREDIT EXTENSIONS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ectPr>
          <w:pgSz w:w="11900" w:h="16838" w:orient="portrait"/>
          <w:cols w:equalWidth="0" w:num="1">
            <w:col w:w="11240"/>
          </w:cols>
          <w:pgMar w:left="320" w:top="1342" w:right="339" w:bottom="1440" w:gutter="0" w:footer="0" w:header="0"/>
        </w:sectPr>
      </w:pPr>
    </w:p>
    <w:bookmarkStart w:id="150" w:name="page151"/>
    <w:bookmarkEnd w:id="150"/>
    <w:p>
      <w:pPr>
        <w:ind w:firstLine="620"/>
        <w:spacing w:after="0" w:line="237" w:lineRule="auto"/>
        <w:rPr>
          <w:sz w:val="20"/>
          <w:szCs w:val="20"/>
          <w:color w:val="auto"/>
        </w:rPr>
      </w:pPr>
      <w:r>
        <w:rPr>
          <w:rFonts w:ascii="Times New Roman" w:cs="Times New Roman" w:eastAsia="Times New Roman" w:hAnsi="Times New Roman"/>
          <w:sz w:val="21"/>
          <w:szCs w:val="21"/>
          <w:b w:val="1"/>
          <w:bCs w:val="1"/>
          <w:color w:val="auto"/>
        </w:rPr>
        <w:t>4.01 Conditions of Initial Credit Extension</w:t>
      </w:r>
      <w:r>
        <w:rPr>
          <w:rFonts w:ascii="Times New Roman" w:cs="Times New Roman" w:eastAsia="Times New Roman" w:hAnsi="Times New Roman"/>
          <w:sz w:val="21"/>
          <w:szCs w:val="21"/>
          <w:color w:val="auto"/>
        </w:rPr>
        <w:t>. The obligation of the L/C Issuer and each Lender to make its initial Credit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Extension hereunder is subject to satisfaction of the following conditions precedent:</w:t>
      </w:r>
    </w:p>
    <w:p>
      <w:pPr>
        <w:spacing w:after="0" w:line="147" w:lineRule="exact"/>
        <w:rPr>
          <w:sz w:val="20"/>
          <w:szCs w:val="20"/>
          <w:color w:val="auto"/>
        </w:rPr>
      </w:pPr>
    </w:p>
    <w:p>
      <w:pPr>
        <w:jc w:val="both"/>
        <w:ind w:firstLine="1244"/>
        <w:spacing w:after="0" w:line="220" w:lineRule="auto"/>
        <w:tabs>
          <w:tab w:leader="none" w:pos="1702"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Agent’s receipt of the following, each of which shall be originals, telecopies or copies sent by electronic transmission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spacing w:after="0" w:line="148" w:lineRule="exact"/>
        <w:rPr>
          <w:rFonts w:ascii="Times New Roman" w:cs="Times New Roman" w:eastAsia="Times New Roman" w:hAnsi="Times New Roman"/>
          <w:sz w:val="21"/>
          <w:szCs w:val="21"/>
          <w:color w:val="auto"/>
        </w:rPr>
      </w:pPr>
    </w:p>
    <w:p>
      <w:pPr>
        <w:ind w:left="2260" w:hanging="396"/>
        <w:spacing w:after="0"/>
        <w:tabs>
          <w:tab w:leader="none" w:pos="2260"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executed counterparts of this Agreement;</w:t>
      </w:r>
    </w:p>
    <w:p>
      <w:pPr>
        <w:spacing w:after="0" w:line="171" w:lineRule="exact"/>
        <w:rPr>
          <w:rFonts w:ascii="Times New Roman" w:cs="Times New Roman" w:eastAsia="Times New Roman" w:hAnsi="Times New Roman"/>
          <w:sz w:val="21"/>
          <w:szCs w:val="21"/>
          <w:color w:val="auto"/>
        </w:rPr>
      </w:pPr>
    </w:p>
    <w:p>
      <w:pPr>
        <w:ind w:left="2320" w:hanging="456"/>
        <w:spacing w:after="0"/>
        <w:tabs>
          <w:tab w:leader="none" w:pos="2320"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Notes executed by the Borrowers in favor of each Lender requesting Notes;</w:t>
      </w:r>
    </w:p>
    <w:p>
      <w:pPr>
        <w:spacing w:after="0" w:line="171" w:lineRule="exact"/>
        <w:rPr>
          <w:rFonts w:ascii="Times New Roman" w:cs="Times New Roman" w:eastAsia="Times New Roman" w:hAnsi="Times New Roman"/>
          <w:sz w:val="21"/>
          <w:szCs w:val="21"/>
          <w:color w:val="auto"/>
        </w:rPr>
      </w:pPr>
    </w:p>
    <w:p>
      <w:pPr>
        <w:jc w:val="both"/>
        <w:ind w:firstLine="1864"/>
        <w:spacing w:after="0" w:line="220" w:lineRule="auto"/>
        <w:tabs>
          <w:tab w:leader="none" w:pos="2571"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spacing w:after="0" w:line="148" w:lineRule="exact"/>
        <w:rPr>
          <w:rFonts w:ascii="Times New Roman" w:cs="Times New Roman" w:eastAsia="Times New Roman" w:hAnsi="Times New Roman"/>
          <w:sz w:val="21"/>
          <w:szCs w:val="21"/>
          <w:color w:val="auto"/>
        </w:rPr>
      </w:pPr>
    </w:p>
    <w:p>
      <w:pPr>
        <w:jc w:val="both"/>
        <w:ind w:firstLine="1864"/>
        <w:spacing w:after="0" w:line="220" w:lineRule="auto"/>
        <w:tabs>
          <w:tab w:leader="none" w:pos="2445"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documents and certifications as the Administrative Agent may reasonably require to evidence that each Loan Party is duly organized or formed, and that each of the Borrowers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spacing w:after="0" w:line="135" w:lineRule="exact"/>
        <w:rPr>
          <w:rFonts w:ascii="Times New Roman" w:cs="Times New Roman" w:eastAsia="Times New Roman" w:hAnsi="Times New Roman"/>
          <w:sz w:val="21"/>
          <w:szCs w:val="21"/>
          <w:color w:val="auto"/>
        </w:rPr>
      </w:pPr>
    </w:p>
    <w:p>
      <w:pPr>
        <w:ind w:left="2400" w:hanging="536"/>
        <w:spacing w:after="0"/>
        <w:tabs>
          <w:tab w:leader="none" w:pos="2400"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financial information relating to the Borrowers and their Subsidiaries as the Administrative Agent</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may request;</w:t>
      </w:r>
    </w:p>
    <w:p>
      <w:pPr>
        <w:spacing w:after="0" w:line="149" w:lineRule="exact"/>
        <w:rPr>
          <w:rFonts w:ascii="Times New Roman" w:cs="Times New Roman" w:eastAsia="Times New Roman" w:hAnsi="Times New Roman"/>
          <w:sz w:val="21"/>
          <w:szCs w:val="21"/>
          <w:color w:val="auto"/>
        </w:rPr>
      </w:pPr>
    </w:p>
    <w:p>
      <w:pPr>
        <w:jc w:val="both"/>
        <w:ind w:firstLine="1864"/>
        <w:spacing w:after="0" w:line="225" w:lineRule="auto"/>
        <w:tabs>
          <w:tab w:leader="none" w:pos="2544"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favorable opinion of Latham &amp; Watkins, LLP, counsel to the Loan Parties, and counsel to Toro Luxembourg, addressed to the Administrative Agent and each Lender, substantially in the form attached at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 xml:space="preserve"> or as otherwise reasonably satisfactory to the Administrative Agent;</w:t>
      </w:r>
    </w:p>
    <w:p>
      <w:pPr>
        <w:spacing w:after="0" w:line="147" w:lineRule="exact"/>
        <w:rPr>
          <w:rFonts w:ascii="Times New Roman" w:cs="Times New Roman" w:eastAsia="Times New Roman" w:hAnsi="Times New Roman"/>
          <w:sz w:val="21"/>
          <w:szCs w:val="21"/>
          <w:color w:val="auto"/>
        </w:rPr>
      </w:pPr>
    </w:p>
    <w:p>
      <w:pPr>
        <w:jc w:val="both"/>
        <w:ind w:firstLine="1864"/>
        <w:spacing w:after="0" w:line="220" w:lineRule="auto"/>
        <w:tabs>
          <w:tab w:leader="none" w:pos="2545"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spacing w:after="0" w:line="148" w:lineRule="exact"/>
        <w:rPr>
          <w:rFonts w:ascii="Times New Roman" w:cs="Times New Roman" w:eastAsia="Times New Roman" w:hAnsi="Times New Roman"/>
          <w:sz w:val="21"/>
          <w:szCs w:val="21"/>
          <w:color w:val="auto"/>
        </w:rPr>
      </w:pPr>
    </w:p>
    <w:p>
      <w:pPr>
        <w:jc w:val="both"/>
        <w:ind w:firstLine="1864"/>
        <w:spacing w:after="0" w:line="213" w:lineRule="auto"/>
        <w:tabs>
          <w:tab w:leader="none" w:pos="2614" w:val="left"/>
        </w:tabs>
        <w:numPr>
          <w:ilvl w:val="1"/>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certificate signed by a Responsible Officer of Toro certifying (A) that the conditions specified in </w:t>
      </w:r>
      <w:r>
        <w:rPr>
          <w:rFonts w:ascii="Times New Roman" w:cs="Times New Roman" w:eastAsia="Times New Roman" w:hAnsi="Times New Roman"/>
          <w:sz w:val="21"/>
          <w:szCs w:val="21"/>
          <w:u w:val="single" w:color="auto"/>
          <w:color w:val="auto"/>
        </w:rPr>
        <w:t>Sections 4.02(a)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have been satisfied; (B) that there has been no event or circumstance since the date of the Audited Financial Statements that has resulted or could reasonably be expected to result in, either individually or in the aggregate, a Material Adverse Effect; (C) there does not exist any pending or threatened action, suit, investigation or proceeding in any court or before any arbitrator or Governmental Authority that (x) would, if determined adversely to Toro or any Subsidiary, materially and adversely affect Toro or Toro and its Subsidiaries, taken as a whole, or (y) purports to affect any transaction contemplated under this Agreement or any Loan Document or the ability of any Borrower to perform its respective obligations under this Agreement or any Loan Document; and (D) the current Debt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ectPr>
          <w:pgSz w:w="11900" w:h="16838" w:orient="portrait"/>
          <w:cols w:equalWidth="0" w:num="1">
            <w:col w:w="11240"/>
          </w:cols>
          <w:pgMar w:left="320" w:top="1338" w:right="339" w:bottom="1440" w:gutter="0" w:footer="0" w:header="0"/>
        </w:sectPr>
      </w:pPr>
    </w:p>
    <w:bookmarkStart w:id="151" w:name="page152"/>
    <w:bookmarkEnd w:id="151"/>
    <w:p>
      <w:pPr>
        <w:ind w:left="2360" w:hanging="496"/>
        <w:spacing w:after="0"/>
        <w:tabs>
          <w:tab w:leader="none" w:pos="2360"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duly completed Compliance Certificate as of June 30, 2021, signed by a Responsible Officer of Toro;</w:t>
      </w:r>
    </w:p>
    <w:p>
      <w:pPr>
        <w:spacing w:after="0" w:line="171" w:lineRule="exact"/>
        <w:rPr>
          <w:rFonts w:ascii="Times New Roman" w:cs="Times New Roman" w:eastAsia="Times New Roman" w:hAnsi="Times New Roman"/>
          <w:sz w:val="21"/>
          <w:szCs w:val="21"/>
          <w:color w:val="auto"/>
        </w:rPr>
      </w:pPr>
    </w:p>
    <w:p>
      <w:pPr>
        <w:jc w:val="both"/>
        <w:ind w:firstLine="1864"/>
        <w:spacing w:after="0" w:line="225" w:lineRule="auto"/>
        <w:tabs>
          <w:tab w:leader="none" w:pos="2337"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evidence that the Existing Term Loan Credit Agreement has been or concurrently with the Closing Date is being terminated, all indebtedness thereunder has been paid and satisfied in full and all Liens if any securing obligations under the Existing Term Loan Credit Agreement have been or concurrently with the Closing Date are being released;</w:t>
      </w:r>
    </w:p>
    <w:p>
      <w:pPr>
        <w:spacing w:after="0" w:line="147" w:lineRule="exact"/>
        <w:rPr>
          <w:rFonts w:ascii="Times New Roman" w:cs="Times New Roman" w:eastAsia="Times New Roman" w:hAnsi="Times New Roman"/>
          <w:sz w:val="21"/>
          <w:szCs w:val="21"/>
          <w:color w:val="auto"/>
        </w:rPr>
      </w:pPr>
    </w:p>
    <w:p>
      <w:pPr>
        <w:jc w:val="both"/>
        <w:ind w:left="620" w:firstLine="1864"/>
        <w:spacing w:after="0" w:line="220" w:lineRule="auto"/>
        <w:tabs>
          <w:tab w:leader="none" w:pos="3053" w:val="left"/>
        </w:tabs>
        <w:numPr>
          <w:ilvl w:val="1"/>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reasonable request of any Lender made at least ten days prior to the Closing Date, the Borrowers shall have provided to such Lender the documentation and other information so requested in connection with applicable “know your customer” and anti-money-laundering rules and regulations, including the Act, in each case at least two days prior to the Closing Date; and</w:t>
      </w:r>
    </w:p>
    <w:p>
      <w:pPr>
        <w:spacing w:after="0" w:line="148" w:lineRule="exact"/>
        <w:rPr>
          <w:rFonts w:ascii="Times New Roman" w:cs="Times New Roman" w:eastAsia="Times New Roman" w:hAnsi="Times New Roman"/>
          <w:sz w:val="21"/>
          <w:szCs w:val="21"/>
          <w:color w:val="auto"/>
        </w:rPr>
      </w:pPr>
    </w:p>
    <w:p>
      <w:pPr>
        <w:jc w:val="both"/>
        <w:ind w:left="620" w:firstLine="1864"/>
        <w:spacing w:after="0" w:line="255" w:lineRule="auto"/>
        <w:tabs>
          <w:tab w:leader="none" w:pos="2978"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five days prior to the Closing Date, any Borrower that qualifies as a “legal entity customer” under the Beneficial Ownership Regulation shall deliver a Beneficial Ownership Certification in relation to such Borrower; and</w:t>
      </w:r>
    </w:p>
    <w:p>
      <w:pPr>
        <w:spacing w:after="0" w:line="131" w:lineRule="exact"/>
        <w:rPr>
          <w:rFonts w:ascii="Times New Roman" w:cs="Times New Roman" w:eastAsia="Times New Roman" w:hAnsi="Times New Roman"/>
          <w:sz w:val="20"/>
          <w:szCs w:val="20"/>
          <w:color w:val="auto"/>
        </w:rPr>
      </w:pPr>
    </w:p>
    <w:p>
      <w:pPr>
        <w:ind w:firstLine="1864"/>
        <w:spacing w:after="0" w:line="236" w:lineRule="auto"/>
        <w:tabs>
          <w:tab w:leader="none" w:pos="2402"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assurances, certificates, documents, consents or opinions as the Administrative Agent, the L/C Issuer, the Swing Line Lender or the Required Lenders reasonably may require.</w:t>
      </w:r>
    </w:p>
    <w:p>
      <w:pPr>
        <w:spacing w:after="0" w:line="14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Notwithstanding the foregoing, with respect to Toro Luxembourg, the receipt of such items referred to above in </w:t>
      </w:r>
      <w:r>
        <w:rPr>
          <w:rFonts w:ascii="Times New Roman" w:cs="Times New Roman" w:eastAsia="Times New Roman" w:hAnsi="Times New Roman"/>
          <w:sz w:val="21"/>
          <w:szCs w:val="21"/>
          <w:u w:val="single" w:color="auto"/>
          <w:color w:val="auto"/>
        </w:rPr>
        <w:t>clauses (iii)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(vi)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(vii)</w:t>
      </w:r>
      <w:r>
        <w:rPr>
          <w:rFonts w:ascii="Times New Roman" w:cs="Times New Roman" w:eastAsia="Times New Roman" w:hAnsi="Times New Roman"/>
          <w:sz w:val="21"/>
          <w:szCs w:val="21"/>
          <w:color w:val="auto"/>
        </w:rPr>
        <w:t xml:space="preserve"> are not required to be delivered on the Closing Date, but instead need only be delivered in advance of a request for a Borrowing by Toro Luxembourg under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(and, for the avoidance of doubt, Toro Luxembourg may not request a Borrowing until such items have been received by the Administrative Agent).</w:t>
      </w:r>
    </w:p>
    <w:p>
      <w:pPr>
        <w:spacing w:after="0" w:line="148" w:lineRule="exact"/>
        <w:rPr>
          <w:sz w:val="20"/>
          <w:szCs w:val="20"/>
          <w:color w:val="auto"/>
        </w:rPr>
      </w:pPr>
    </w:p>
    <w:p>
      <w:pPr>
        <w:ind w:left="1680" w:hanging="436"/>
        <w:spacing w:after="0"/>
        <w:tabs>
          <w:tab w:leader="none" w:pos="168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fees required to be paid on or before the Closing Date shall have been paid.</w:t>
      </w:r>
    </w:p>
    <w:p>
      <w:pPr>
        <w:spacing w:after="0" w:line="171" w:lineRule="exact"/>
        <w:rPr>
          <w:rFonts w:ascii="Times New Roman" w:cs="Times New Roman" w:eastAsia="Times New Roman" w:hAnsi="Times New Roman"/>
          <w:sz w:val="21"/>
          <w:szCs w:val="21"/>
          <w:color w:val="auto"/>
        </w:rPr>
      </w:pPr>
    </w:p>
    <w:p>
      <w:pPr>
        <w:jc w:val="both"/>
        <w:ind w:firstLine="1244"/>
        <w:spacing w:after="0" w:line="217" w:lineRule="auto"/>
        <w:tabs>
          <w:tab w:leader="none" w:pos="1733"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waived by the Administrative Agent, Toro shall have paid all fees, charges and disbursements of counsel (directly to such counsel if requested by the Administrative Agent) to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Toro and the Administrative Agent).</w:t>
      </w:r>
    </w:p>
    <w:p>
      <w:pPr>
        <w:spacing w:after="0" w:line="14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Without limiting the generality of the provisions of </w:t>
      </w:r>
      <w:r>
        <w:rPr>
          <w:rFonts w:ascii="Times New Roman" w:cs="Times New Roman" w:eastAsia="Times New Roman" w:hAnsi="Times New Roman"/>
          <w:sz w:val="21"/>
          <w:szCs w:val="21"/>
          <w:u w:val="single" w:color="auto"/>
          <w:color w:val="auto"/>
        </w:rPr>
        <w:t>Section 9.03</w:t>
      </w:r>
      <w:r>
        <w:rPr>
          <w:rFonts w:ascii="Times New Roman" w:cs="Times New Roman" w:eastAsia="Times New Roman" w:hAnsi="Times New Roman"/>
          <w:sz w:val="21"/>
          <w:szCs w:val="21"/>
          <w:color w:val="auto"/>
        </w:rPr>
        <w:t xml:space="preserve">, for purposes of determining compliance with the conditions specified in this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45" w:lineRule="exact"/>
        <w:rPr>
          <w:sz w:val="20"/>
          <w:szCs w:val="20"/>
          <w:color w:val="auto"/>
        </w:rPr>
      </w:pPr>
    </w:p>
    <w:p>
      <w:pPr>
        <w:jc w:val="both"/>
        <w:ind w:firstLine="620"/>
        <w:spacing w:after="0" w:line="227" w:lineRule="auto"/>
        <w:rPr>
          <w:sz w:val="20"/>
          <w:szCs w:val="20"/>
          <w:color w:val="auto"/>
        </w:rPr>
      </w:pPr>
      <w:r>
        <w:rPr>
          <w:rFonts w:ascii="Times New Roman" w:cs="Times New Roman" w:eastAsia="Times New Roman" w:hAnsi="Times New Roman"/>
          <w:sz w:val="21"/>
          <w:szCs w:val="21"/>
          <w:b w:val="1"/>
          <w:bCs w:val="1"/>
          <w:color w:val="auto"/>
        </w:rPr>
        <w:t>4.02 Conditions to all Credit Extensions</w:t>
      </w:r>
      <w:r>
        <w:rPr>
          <w:rFonts w:ascii="Times New Roman" w:cs="Times New Roman" w:eastAsia="Times New Roman" w:hAnsi="Times New Roman"/>
          <w:sz w:val="21"/>
          <w:szCs w:val="21"/>
          <w:color w:val="auto"/>
        </w:rPr>
        <w:t>. The obligation of each Lender to honor any Request for Credit Extension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than a Loan Notice requesting only a conversion of Loans to the other Type, or a continuation of Term SOFR Loans or Alternative Currency Term Rate Loans) is subject to the following conditions precedent:</w:t>
      </w:r>
    </w:p>
    <w:p>
      <w:pPr>
        <w:spacing w:after="0" w:line="146" w:lineRule="exact"/>
        <w:rPr>
          <w:sz w:val="20"/>
          <w:szCs w:val="20"/>
          <w:color w:val="auto"/>
        </w:rPr>
      </w:pPr>
    </w:p>
    <w:p>
      <w:pPr>
        <w:jc w:val="both"/>
        <w:ind w:firstLine="1244"/>
        <w:spacing w:after="0" w:line="225" w:lineRule="auto"/>
        <w:tabs>
          <w:tab w:leader="none" w:pos="1706"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and warranties of (i) the Borrowers contained in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and (ii) each Loan Party contained in each other Loan Document or in any document furnished at any time under or in connection herewith or therewith, shall be true and correct in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w:t>
      </w:r>
    </w:p>
    <w:p>
      <w:pPr>
        <w:sectPr>
          <w:pgSz w:w="11900" w:h="16838" w:orient="portrait"/>
          <w:cols w:equalWidth="0" w:num="1">
            <w:col w:w="11240"/>
          </w:cols>
          <w:pgMar w:left="320" w:top="1342" w:right="339" w:bottom="1440" w:gutter="0" w:footer="0" w:header="0"/>
        </w:sectPr>
      </w:pPr>
    </w:p>
    <w:bookmarkStart w:id="152" w:name="page153"/>
    <w:bookmarkEnd w:id="152"/>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material respects on and as of the date of such Credit Extension, except (w) if a qualifier relating to materiality, Material Adverse Effect or other similar concept applies, such representation or warranty is true and correct in all respects, (x) to the extent that such representations and warranties specifically refer to an earlier date, in which case they shall be true and correct as of such earlier date, and (y) for purposes of this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the representations and warranties contained in </w:t>
      </w:r>
      <w:r>
        <w:rPr>
          <w:rFonts w:ascii="Times New Roman" w:cs="Times New Roman" w:eastAsia="Times New Roman" w:hAnsi="Times New Roman"/>
          <w:sz w:val="21"/>
          <w:szCs w:val="21"/>
          <w:u w:val="single" w:color="auto"/>
          <w:color w:val="auto"/>
        </w:rPr>
        <w:t>subsections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5.05</w:t>
      </w:r>
      <w:r>
        <w:rPr>
          <w:rFonts w:ascii="Times New Roman" w:cs="Times New Roman" w:eastAsia="Times New Roman" w:hAnsi="Times New Roman"/>
          <w:sz w:val="21"/>
          <w:szCs w:val="21"/>
          <w:color w:val="auto"/>
        </w:rPr>
        <w:t xml:space="preserve"> shall be deemed to refer to the most recent statements furnished pursuant to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respectively, of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and excluding, after the Closing Date, the representation and warranty set forth in </w:t>
      </w:r>
      <w:r>
        <w:rPr>
          <w:rFonts w:ascii="Times New Roman" w:cs="Times New Roman" w:eastAsia="Times New Roman" w:hAnsi="Times New Roman"/>
          <w:sz w:val="21"/>
          <w:szCs w:val="21"/>
          <w:u w:val="single" w:color="auto"/>
          <w:color w:val="auto"/>
        </w:rPr>
        <w:t>Section 5.22</w:t>
      </w:r>
      <w:r>
        <w:rPr>
          <w:rFonts w:ascii="Times New Roman" w:cs="Times New Roman" w:eastAsia="Times New Roman" w:hAnsi="Times New Roman"/>
          <w:sz w:val="21"/>
          <w:szCs w:val="21"/>
          <w:color w:val="auto"/>
        </w:rPr>
        <w:t>.</w:t>
      </w:r>
    </w:p>
    <w:p>
      <w:pPr>
        <w:spacing w:after="0" w:line="136" w:lineRule="exact"/>
        <w:rPr>
          <w:sz w:val="20"/>
          <w:szCs w:val="20"/>
          <w:color w:val="auto"/>
        </w:rPr>
      </w:pPr>
    </w:p>
    <w:p>
      <w:pPr>
        <w:ind w:left="1780" w:hanging="536"/>
        <w:spacing w:after="0"/>
        <w:tabs>
          <w:tab w:leader="none" w:pos="1780"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shall exist, or would result from such proposed Credit Extension or the application of the proceeds</w:t>
      </w:r>
    </w:p>
    <w:p>
      <w:pPr>
        <w:spacing w:after="0"/>
        <w:rPr>
          <w:sz w:val="20"/>
          <w:szCs w:val="20"/>
          <w:color w:val="auto"/>
        </w:rPr>
      </w:pPr>
      <w:r>
        <w:rPr>
          <w:rFonts w:ascii="Times New Roman" w:cs="Times New Roman" w:eastAsia="Times New Roman" w:hAnsi="Times New Roman"/>
          <w:sz w:val="21"/>
          <w:szCs w:val="21"/>
          <w:color w:val="auto"/>
        </w:rPr>
        <w:t>thereof.</w:t>
      </w:r>
    </w:p>
    <w:p>
      <w:pPr>
        <w:spacing w:after="0" w:line="150" w:lineRule="exact"/>
        <w:rPr>
          <w:sz w:val="20"/>
          <w:szCs w:val="20"/>
          <w:color w:val="auto"/>
        </w:rPr>
      </w:pPr>
    </w:p>
    <w:p>
      <w:pPr>
        <w:ind w:firstLine="1244"/>
        <w:spacing w:after="0" w:line="236" w:lineRule="auto"/>
        <w:tabs>
          <w:tab w:leader="none" w:pos="1803"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and, if applicable, the L/C Issuer or the Swing Line Lender shall have received a Request for Credit Extension in accordance with the requirements hereof.</w:t>
      </w:r>
    </w:p>
    <w:p>
      <w:pPr>
        <w:spacing w:after="0" w:line="145" w:lineRule="exact"/>
        <w:rPr>
          <w:rFonts w:ascii="Times New Roman" w:cs="Times New Roman" w:eastAsia="Times New Roman" w:hAnsi="Times New Roman"/>
          <w:sz w:val="21"/>
          <w:szCs w:val="21"/>
          <w:color w:val="auto"/>
        </w:rPr>
      </w:pPr>
    </w:p>
    <w:p>
      <w:pPr>
        <w:jc w:val="both"/>
        <w:ind w:firstLine="1244"/>
        <w:spacing w:after="0" w:line="217" w:lineRule="auto"/>
        <w:tabs>
          <w:tab w:leader="none" w:pos="1720"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Lenders (in the case of any Loans to be denominated in an Alternative Currency) or the L/C Issuer (in the case of any Letter of Credit to be denominated in an Alternative Currency) would make it impracticable for such Credit Extension to be denominated in the relevant Alternative Currency.</w:t>
      </w:r>
    </w:p>
    <w:p>
      <w:pPr>
        <w:spacing w:after="0" w:line="149"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 xml:space="preserve">Each Request for Credit Extension (other than a Loan Notice requesting only a conversion of Loans to the other Type or a continuation of Term SOFR Loans or Alternative Currency Term Rate Loans) submitted by Toro shall be deemed to be a representation and warranty that the conditions specified in </w:t>
      </w:r>
      <w:r>
        <w:rPr>
          <w:rFonts w:ascii="Times New Roman" w:cs="Times New Roman" w:eastAsia="Times New Roman" w:hAnsi="Times New Roman"/>
          <w:sz w:val="21"/>
          <w:szCs w:val="21"/>
          <w:u w:val="single" w:color="auto"/>
          <w:color w:val="auto"/>
        </w:rPr>
        <w:t>Sections 4.02(a)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have been satisfied on and as of the date of the applicable Credit Extension.</w:t>
      </w:r>
    </w:p>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ARTICLE V.</w:t>
      </w:r>
    </w:p>
    <w:p>
      <w:pPr>
        <w:jc w:val="center"/>
        <w:spacing w:after="0"/>
        <w:rPr>
          <w:sz w:val="20"/>
          <w:szCs w:val="20"/>
          <w:color w:val="auto"/>
        </w:rPr>
      </w:pPr>
      <w:r>
        <w:rPr>
          <w:rFonts w:ascii="Times New Roman" w:cs="Times New Roman" w:eastAsia="Times New Roman" w:hAnsi="Times New Roman"/>
          <w:sz w:val="21"/>
          <w:szCs w:val="21"/>
          <w:b w:val="1"/>
          <w:bCs w:val="1"/>
          <w:color w:val="auto"/>
        </w:rPr>
        <w:t>REPRESENTATIONS AND WARRANTIES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 xml:space="preserve">Except as otherwise provided in </w:t>
      </w:r>
      <w:r>
        <w:rPr>
          <w:rFonts w:ascii="Times New Roman" w:cs="Times New Roman" w:eastAsia="Times New Roman" w:hAnsi="Times New Roman"/>
          <w:sz w:val="21"/>
          <w:szCs w:val="21"/>
          <w:u w:val="single" w:color="auto"/>
          <w:color w:val="auto"/>
        </w:rPr>
        <w:t>Section 5.18</w:t>
      </w:r>
      <w:r>
        <w:rPr>
          <w:rFonts w:ascii="Times New Roman" w:cs="Times New Roman" w:eastAsia="Times New Roman" w:hAnsi="Times New Roman"/>
          <w:sz w:val="21"/>
          <w:szCs w:val="21"/>
          <w:color w:val="auto"/>
        </w:rPr>
        <w:t>, each Borrower represents and warrants to the Administrative Agent and the</w:t>
      </w:r>
    </w:p>
    <w:p>
      <w:pPr>
        <w:spacing w:after="0"/>
        <w:rPr>
          <w:sz w:val="20"/>
          <w:szCs w:val="20"/>
          <w:color w:val="auto"/>
        </w:rPr>
      </w:pPr>
      <w:r>
        <w:rPr>
          <w:rFonts w:ascii="Times New Roman" w:cs="Times New Roman" w:eastAsia="Times New Roman" w:hAnsi="Times New Roman"/>
          <w:sz w:val="21"/>
          <w:szCs w:val="21"/>
          <w:color w:val="auto"/>
        </w:rPr>
        <w:t>Lenders that:</w:t>
      </w:r>
    </w:p>
    <w:p>
      <w:pPr>
        <w:spacing w:after="0" w:line="146" w:lineRule="exact"/>
        <w:rPr>
          <w:sz w:val="20"/>
          <w:szCs w:val="20"/>
          <w:color w:val="auto"/>
        </w:rPr>
      </w:pPr>
    </w:p>
    <w:p>
      <w:pPr>
        <w:jc w:val="both"/>
        <w:ind w:firstLine="620"/>
        <w:spacing w:after="0" w:line="213" w:lineRule="auto"/>
        <w:rPr>
          <w:sz w:val="20"/>
          <w:szCs w:val="20"/>
          <w:color w:val="auto"/>
        </w:rPr>
      </w:pPr>
      <w:r>
        <w:rPr>
          <w:rFonts w:ascii="Times New Roman" w:cs="Times New Roman" w:eastAsia="Times New Roman" w:hAnsi="Times New Roman"/>
          <w:sz w:val="21"/>
          <w:szCs w:val="21"/>
          <w:b w:val="1"/>
          <w:bCs w:val="1"/>
          <w:color w:val="auto"/>
        </w:rPr>
        <w:t>5.01 Existence, Qualification and Power</w:t>
      </w:r>
      <w:r>
        <w:rPr>
          <w:rFonts w:ascii="Times New Roman" w:cs="Times New Roman" w:eastAsia="Times New Roman" w:hAnsi="Times New Roman"/>
          <w:sz w:val="21"/>
          <w:szCs w:val="21"/>
          <w:color w:val="auto"/>
        </w:rPr>
        <w:t>. Each Loan Party and each Subsidiary thereof (a) is duly organized or formed,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validly existing and in good standing under the Laws of the jurisdiction of its incorporation or organization, (b) has all requisite power and authority and all requisite governmental licenses, authorizations, consents and approvals to (i) own its assets and carry on its business and (ii) execute, deliver and perform its obligations under the Loan Documents to which it is a party, and (c) is duly qualified and is licensed and in good standing under the Laws of each jurisdiction where its ownership, lease or operation of properties or the conduct of its business requires such qualification or license; except in each case referred to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with respect to Subsidiaries other than a Loan Party or a Material Subsidiary, and </w:t>
      </w:r>
      <w:r>
        <w:rPr>
          <w:rFonts w:ascii="Times New Roman" w:cs="Times New Roman" w:eastAsia="Times New Roman" w:hAnsi="Times New Roman"/>
          <w:sz w:val="21"/>
          <w:szCs w:val="21"/>
          <w:u w:val="single" w:color="auto"/>
          <w:color w:val="auto"/>
        </w:rPr>
        <w:t>clause (b)(i)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to the extent that failure to do so could not reasonably be expected to have a Material Adverse Effect. No Borrower is an Affected Financial Institution.</w:t>
      </w:r>
    </w:p>
    <w:p>
      <w:pPr>
        <w:spacing w:after="0" w:line="146"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21"/>
          <w:szCs w:val="21"/>
          <w:b w:val="1"/>
          <w:bCs w:val="1"/>
          <w:color w:val="auto"/>
        </w:rPr>
        <w:t>5.02 Authorization; No Contravention</w:t>
      </w:r>
      <w:r>
        <w:rPr>
          <w:rFonts w:ascii="Times New Roman" w:cs="Times New Roman" w:eastAsia="Times New Roman" w:hAnsi="Times New Roman"/>
          <w:sz w:val="21"/>
          <w:szCs w:val="21"/>
          <w:color w:val="auto"/>
        </w:rPr>
        <w:t>. The execution, delivery and performance by each Loan Party of each Loan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affecting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w:t>
      </w:r>
    </w:p>
    <w:p>
      <w:pPr>
        <w:sectPr>
          <w:pgSz w:w="11900" w:h="16838" w:orient="portrait"/>
          <w:cols w:equalWidth="0" w:num="1">
            <w:col w:w="11240"/>
          </w:cols>
          <w:pgMar w:left="320" w:top="1342" w:right="339" w:bottom="1440" w:gutter="0" w:footer="0" w:header="0"/>
        </w:sectPr>
      </w:pPr>
    </w:p>
    <w:bookmarkStart w:id="153" w:name="page154"/>
    <w:bookmarkEnd w:id="153"/>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Person or the properties of such Person or any of its Subsidiaries or (ii) any order, injunction, writ or decree of any Governmental Authority or any arbitral award to which such Person or its property is subject; or (c) violate any Law. Each Loan Party and each Subsidiary thereof is in compliance with all Contractual Obligations referred to in </w:t>
      </w:r>
      <w:r>
        <w:rPr>
          <w:rFonts w:ascii="Times New Roman" w:cs="Times New Roman" w:eastAsia="Times New Roman" w:hAnsi="Times New Roman"/>
          <w:sz w:val="21"/>
          <w:szCs w:val="21"/>
          <w:u w:val="single" w:color="auto"/>
          <w:color w:val="auto"/>
        </w:rPr>
        <w:t>clause (b)(i)</w:t>
      </w:r>
      <w:r>
        <w:rPr>
          <w:rFonts w:ascii="Times New Roman" w:cs="Times New Roman" w:eastAsia="Times New Roman" w:hAnsi="Times New Roman"/>
          <w:sz w:val="21"/>
          <w:szCs w:val="21"/>
          <w:color w:val="auto"/>
        </w:rPr>
        <w:t>, except to the extent that failure to do so could not reasonably be expected to have a Material Adverse Effect.</w:t>
      </w:r>
    </w:p>
    <w:p>
      <w:pPr>
        <w:spacing w:after="0" w:line="144" w:lineRule="exact"/>
        <w:rPr>
          <w:sz w:val="20"/>
          <w:szCs w:val="20"/>
          <w:color w:val="auto"/>
        </w:rPr>
      </w:pPr>
    </w:p>
    <w:p>
      <w:pPr>
        <w:jc w:val="both"/>
        <w:ind w:firstLine="620"/>
        <w:spacing w:after="0" w:line="227" w:lineRule="auto"/>
        <w:rPr>
          <w:sz w:val="20"/>
          <w:szCs w:val="20"/>
          <w:color w:val="auto"/>
        </w:rPr>
      </w:pPr>
      <w:r>
        <w:rPr>
          <w:rFonts w:ascii="Times New Roman" w:cs="Times New Roman" w:eastAsia="Times New Roman" w:hAnsi="Times New Roman"/>
          <w:sz w:val="21"/>
          <w:szCs w:val="21"/>
          <w:b w:val="1"/>
          <w:bCs w:val="1"/>
          <w:color w:val="auto"/>
        </w:rPr>
        <w:t>5.03 Governmental Authorization; Other Consents</w:t>
      </w:r>
      <w:r>
        <w:rPr>
          <w:rFonts w:ascii="Times New Roman" w:cs="Times New Roman" w:eastAsia="Times New Roman" w:hAnsi="Times New Roman"/>
          <w:sz w:val="21"/>
          <w:szCs w:val="21"/>
          <w:color w:val="auto"/>
        </w:rPr>
        <w:t>. No approval, consent, exemption, authorization, or other action by,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notice to, or filing with, any Governmental Authority or any other Person is necessary or required in connection with the execution, delivery or performance by, or enforcement against, any Loan Party of this Agreement or any other Loan Document.</w:t>
      </w:r>
    </w:p>
    <w:p>
      <w:pPr>
        <w:spacing w:after="0" w:line="142" w:lineRule="exact"/>
        <w:rPr>
          <w:sz w:val="20"/>
          <w:szCs w:val="20"/>
          <w:color w:val="auto"/>
        </w:rPr>
      </w:pPr>
    </w:p>
    <w:p>
      <w:pPr>
        <w:jc w:val="both"/>
        <w:ind w:firstLine="620"/>
        <w:spacing w:after="0" w:line="221" w:lineRule="auto"/>
        <w:rPr>
          <w:sz w:val="20"/>
          <w:szCs w:val="20"/>
          <w:color w:val="auto"/>
        </w:rPr>
      </w:pPr>
      <w:r>
        <w:rPr>
          <w:rFonts w:ascii="Times New Roman" w:cs="Times New Roman" w:eastAsia="Times New Roman" w:hAnsi="Times New Roman"/>
          <w:sz w:val="21"/>
          <w:szCs w:val="21"/>
          <w:b w:val="1"/>
          <w:bCs w:val="1"/>
          <w:color w:val="auto"/>
        </w:rPr>
        <w:t>5.04 Binding Effect</w:t>
      </w:r>
      <w:r>
        <w:rPr>
          <w:rFonts w:ascii="Times New Roman" w:cs="Times New Roman" w:eastAsia="Times New Roman" w:hAnsi="Times New Roman"/>
          <w:sz w:val="21"/>
          <w:szCs w:val="21"/>
          <w:color w:val="auto"/>
        </w:rPr>
        <w:t>. This Agreement has been, and each other Loan Document, when delivered hereunder, will have been,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w:t>
      </w:r>
    </w:p>
    <w:p>
      <w:pPr>
        <w:spacing w:after="0" w:line="144"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5.05</w:t>
      </w:r>
      <w:r>
        <w:rPr>
          <w:sz w:val="20"/>
          <w:szCs w:val="20"/>
          <w:color w:val="auto"/>
        </w:rPr>
        <w:tab/>
      </w:r>
      <w:r>
        <w:rPr>
          <w:rFonts w:ascii="Times New Roman" w:cs="Times New Roman" w:eastAsia="Times New Roman" w:hAnsi="Times New Roman"/>
          <w:sz w:val="20"/>
          <w:szCs w:val="20"/>
          <w:b w:val="1"/>
          <w:bCs w:val="1"/>
          <w:color w:val="auto"/>
        </w:rPr>
        <w:t>Financial Statements; No Material Adverse Effect</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firstLine="1244"/>
        <w:spacing w:after="0" w:line="217" w:lineRule="auto"/>
        <w:tabs>
          <w:tab w:leader="none" w:pos="169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Audited Financial Statements (i) were prepared in accordance with GAAP consistently applied throughout the period covered thereby, except as otherwise expressly noted therein; (ii) fairly present the financial condition of Toro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Toro and its Subsidiaries as of the date thereof.</w:t>
      </w:r>
    </w:p>
    <w:p>
      <w:pPr>
        <w:spacing w:after="0" w:line="148" w:lineRule="exact"/>
        <w:rPr>
          <w:rFonts w:ascii="Times New Roman" w:cs="Times New Roman" w:eastAsia="Times New Roman" w:hAnsi="Times New Roman"/>
          <w:sz w:val="21"/>
          <w:szCs w:val="21"/>
          <w:color w:val="auto"/>
        </w:rPr>
      </w:pPr>
    </w:p>
    <w:p>
      <w:pPr>
        <w:jc w:val="both"/>
        <w:ind w:firstLine="1244"/>
        <w:spacing w:after="0" w:line="217" w:lineRule="auto"/>
        <w:tabs>
          <w:tab w:leader="none" w:pos="1703"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unaudited consolidated balance sheet of Toro and its Subsidiaries dated July 30, 2021 (including the footnotes thereto),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Toro and its Subsidiaries as of the date thereof and their results of operations for the period covered thereby.</w:t>
      </w:r>
    </w:p>
    <w:p>
      <w:pPr>
        <w:spacing w:after="0" w:line="148" w:lineRule="exact"/>
        <w:rPr>
          <w:rFonts w:ascii="Times New Roman" w:cs="Times New Roman" w:eastAsia="Times New Roman" w:hAnsi="Times New Roman"/>
          <w:sz w:val="21"/>
          <w:szCs w:val="21"/>
          <w:color w:val="auto"/>
        </w:rPr>
      </w:pPr>
    </w:p>
    <w:p>
      <w:pPr>
        <w:ind w:firstLine="1244"/>
        <w:spacing w:after="0" w:line="236" w:lineRule="auto"/>
        <w:tabs>
          <w:tab w:leader="none" w:pos="1699"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the date of the Audited Financial Statements, there has been no event or circumstance, either individually or in the aggregate, that has had or could reasonably be expected to have a Material Adverse Effect.</w:t>
      </w:r>
    </w:p>
    <w:p>
      <w:pPr>
        <w:spacing w:after="0" w:line="141" w:lineRule="exact"/>
        <w:rPr>
          <w:sz w:val="20"/>
          <w:szCs w:val="20"/>
          <w:color w:val="auto"/>
        </w:rPr>
      </w:pPr>
    </w:p>
    <w:p>
      <w:pPr>
        <w:jc w:val="both"/>
        <w:ind w:firstLine="620"/>
        <w:spacing w:after="0" w:line="211" w:lineRule="auto"/>
        <w:rPr>
          <w:sz w:val="20"/>
          <w:szCs w:val="20"/>
          <w:color w:val="auto"/>
        </w:rPr>
      </w:pPr>
      <w:r>
        <w:rPr>
          <w:rFonts w:ascii="Times New Roman" w:cs="Times New Roman" w:eastAsia="Times New Roman" w:hAnsi="Times New Roman"/>
          <w:sz w:val="21"/>
          <w:szCs w:val="21"/>
          <w:b w:val="1"/>
          <w:bCs w:val="1"/>
          <w:color w:val="auto"/>
        </w:rPr>
        <w:t>5.06 Litigation</w:t>
      </w:r>
      <w:r>
        <w:rPr>
          <w:rFonts w:ascii="Times New Roman" w:cs="Times New Roman" w:eastAsia="Times New Roman" w:hAnsi="Times New Roman"/>
          <w:sz w:val="21"/>
          <w:szCs w:val="21"/>
          <w:color w:val="auto"/>
        </w:rPr>
        <w:t>. There are no actions, suits, proceedings, claims or disputes pending or, to the best knowledge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Borrowers after due and diligent investigation, threatened or contemplated, at law, in equity, in arbitration or before any Governmental Authority, by or against the Borrowers or any of its Subsidiaries or against any of their properties or revenues that (a) purport to affect or pertain to this Agreement or any other Loan Document, or any of the transactions contemplated hereby, or (b) except as specifically disclosed in </w:t>
      </w:r>
      <w:r>
        <w:rPr>
          <w:rFonts w:ascii="Times New Roman" w:cs="Times New Roman" w:eastAsia="Times New Roman" w:hAnsi="Times New Roman"/>
          <w:sz w:val="21"/>
          <w:szCs w:val="21"/>
          <w:u w:val="single" w:color="auto"/>
          <w:color w:val="auto"/>
        </w:rPr>
        <w:t>Schedule 5.06</w:t>
      </w:r>
      <w:r>
        <w:rPr>
          <w:rFonts w:ascii="Times New Roman" w:cs="Times New Roman" w:eastAsia="Times New Roman" w:hAnsi="Times New Roman"/>
          <w:sz w:val="21"/>
          <w:szCs w:val="21"/>
          <w:color w:val="auto"/>
        </w:rPr>
        <w:t xml:space="preserve">, either individually or in the aggregate, if determined adversely, could reasonably be expected to have a Material Adverse Effect, and there has been no adverse change in the status, or financial effect on any Loan Party or any Subsidiary thereof, of the matters described on </w:t>
      </w:r>
      <w:r>
        <w:rPr>
          <w:rFonts w:ascii="Times New Roman" w:cs="Times New Roman" w:eastAsia="Times New Roman" w:hAnsi="Times New Roman"/>
          <w:sz w:val="21"/>
          <w:szCs w:val="21"/>
          <w:u w:val="single" w:color="auto"/>
          <w:color w:val="auto"/>
        </w:rPr>
        <w:t>Schedule 5.06</w:t>
      </w:r>
      <w:r>
        <w:rPr>
          <w:rFonts w:ascii="Times New Roman" w:cs="Times New Roman" w:eastAsia="Times New Roman" w:hAnsi="Times New Roman"/>
          <w:sz w:val="21"/>
          <w:szCs w:val="21"/>
          <w:color w:val="auto"/>
        </w:rPr>
        <w:t>. 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ectPr>
          <w:pgSz w:w="11900" w:h="16838" w:orient="portrait"/>
          <w:cols w:equalWidth="0" w:num="1">
            <w:col w:w="11240"/>
          </w:cols>
          <w:pgMar w:left="320" w:top="1342" w:right="339" w:bottom="1440" w:gutter="0" w:footer="0" w:header="0"/>
        </w:sectPr>
      </w:pPr>
    </w:p>
    <w:bookmarkStart w:id="154" w:name="page155"/>
    <w:bookmarkEnd w:id="154"/>
    <w:p>
      <w:pPr>
        <w:jc w:val="both"/>
        <w:ind w:firstLine="620"/>
        <w:spacing w:after="0" w:line="221" w:lineRule="auto"/>
        <w:rPr>
          <w:sz w:val="20"/>
          <w:szCs w:val="20"/>
          <w:color w:val="auto"/>
        </w:rPr>
      </w:pPr>
      <w:r>
        <w:rPr>
          <w:rFonts w:ascii="Times New Roman" w:cs="Times New Roman" w:eastAsia="Times New Roman" w:hAnsi="Times New Roman"/>
          <w:sz w:val="21"/>
          <w:szCs w:val="21"/>
          <w:b w:val="1"/>
          <w:bCs w:val="1"/>
          <w:color w:val="auto"/>
        </w:rPr>
        <w:t>5.07 No Default</w:t>
      </w:r>
      <w:r>
        <w:rPr>
          <w:rFonts w:ascii="Times New Roman" w:cs="Times New Roman" w:eastAsia="Times New Roman" w:hAnsi="Times New Roman"/>
          <w:sz w:val="21"/>
          <w:szCs w:val="21"/>
          <w:color w:val="auto"/>
        </w:rPr>
        <w:t>. Neither any Borrower nor any Subsidiary thereof is in default under or with respect to any Contractual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44" w:lineRule="exact"/>
        <w:rPr>
          <w:sz w:val="20"/>
          <w:szCs w:val="20"/>
          <w:color w:val="auto"/>
        </w:rPr>
      </w:pPr>
    </w:p>
    <w:p>
      <w:pPr>
        <w:jc w:val="both"/>
        <w:ind w:firstLine="620"/>
        <w:spacing w:after="0" w:line="221" w:lineRule="auto"/>
        <w:rPr>
          <w:sz w:val="20"/>
          <w:szCs w:val="20"/>
          <w:color w:val="auto"/>
        </w:rPr>
      </w:pPr>
      <w:r>
        <w:rPr>
          <w:rFonts w:ascii="Times New Roman" w:cs="Times New Roman" w:eastAsia="Times New Roman" w:hAnsi="Times New Roman"/>
          <w:sz w:val="21"/>
          <w:szCs w:val="21"/>
          <w:b w:val="1"/>
          <w:bCs w:val="1"/>
          <w:color w:val="auto"/>
        </w:rPr>
        <w:t>5.08 Ownership of Property; Liens</w:t>
      </w:r>
      <w:r>
        <w:rPr>
          <w:rFonts w:ascii="Times New Roman" w:cs="Times New Roman" w:eastAsia="Times New Roman" w:hAnsi="Times New Roman"/>
          <w:sz w:val="21"/>
          <w:szCs w:val="21"/>
          <w:color w:val="auto"/>
        </w:rPr>
        <w:t>. Each Borrower and each Subsidiary has good record and marketable title in fee simple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to, or valid leasehold interests in, all real property necessary or used in the ordinary conduct of its business, except for such defects in title as could not, individually or in the aggregate, reasonably be expected to have a Material Adverse Effect. The property of the Borrowers and their Subsidiaries is subject to no Liens, other than Liens permitted by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w:t>
      </w:r>
    </w:p>
    <w:p>
      <w:pPr>
        <w:spacing w:after="0" w:line="144"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21"/>
          <w:szCs w:val="21"/>
          <w:b w:val="1"/>
          <w:bCs w:val="1"/>
          <w:color w:val="auto"/>
        </w:rPr>
        <w:t>5.09 Environmental Compliance</w:t>
      </w:r>
      <w:r>
        <w:rPr>
          <w:rFonts w:ascii="Times New Roman" w:cs="Times New Roman" w:eastAsia="Times New Roman" w:hAnsi="Times New Roman"/>
          <w:sz w:val="21"/>
          <w:szCs w:val="21"/>
          <w:color w:val="auto"/>
        </w:rPr>
        <w:t>. Each Borrower and its Subsidiaries conduct in the ordinary course of business a review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effect of existing Environmental Laws and claims alleging potential liability or responsibility for violation of any Environmental Law on their respective businesses, operations and properties, and as a result thereof the Borrowers have reasonably concluded that, except as specifically disclosed in Schedule 5.09, such Environmental Laws and claims could not, individually or in the aggregate, reasonably be expected to have a Material Adverse Effect.</w:t>
      </w:r>
    </w:p>
    <w:p>
      <w:pPr>
        <w:spacing w:after="0" w:line="144" w:lineRule="exact"/>
        <w:rPr>
          <w:sz w:val="20"/>
          <w:szCs w:val="20"/>
          <w:color w:val="auto"/>
        </w:rPr>
      </w:pPr>
    </w:p>
    <w:p>
      <w:pPr>
        <w:jc w:val="both"/>
        <w:ind w:firstLine="620"/>
        <w:spacing w:after="0" w:line="221" w:lineRule="auto"/>
        <w:rPr>
          <w:sz w:val="20"/>
          <w:szCs w:val="20"/>
          <w:color w:val="auto"/>
        </w:rPr>
      </w:pPr>
      <w:r>
        <w:rPr>
          <w:rFonts w:ascii="Times New Roman" w:cs="Times New Roman" w:eastAsia="Times New Roman" w:hAnsi="Times New Roman"/>
          <w:sz w:val="21"/>
          <w:szCs w:val="21"/>
          <w:b w:val="1"/>
          <w:bCs w:val="1"/>
          <w:color w:val="auto"/>
        </w:rPr>
        <w:t>5.10 Insurance</w:t>
      </w:r>
      <w:r>
        <w:rPr>
          <w:rFonts w:ascii="Times New Roman" w:cs="Times New Roman" w:eastAsia="Times New Roman" w:hAnsi="Times New Roman"/>
          <w:sz w:val="21"/>
          <w:szCs w:val="21"/>
          <w:color w:val="auto"/>
        </w:rPr>
        <w:t>. Except as specifically disclosed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Schedule 5.10</w:t>
      </w:r>
      <w:r>
        <w:rPr>
          <w:rFonts w:ascii="Times New Roman" w:cs="Times New Roman" w:eastAsia="Times New Roman" w:hAnsi="Times New Roman"/>
          <w:sz w:val="21"/>
          <w:szCs w:val="21"/>
          <w:color w:val="auto"/>
        </w:rPr>
        <w:t>, the properties of each Borrower and its Subsidiaries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insured with financially sound and reputable insurance companies not Affiliates of Toro, in such amounts, with such deductibles and covering such risks as are customarily carried by companies engaged in similar businesses and owning similar properties in localities where such Borrower or the applicable Subsidiary operates.</w:t>
      </w:r>
    </w:p>
    <w:p>
      <w:pPr>
        <w:spacing w:after="0" w:line="144" w:lineRule="exact"/>
        <w:rPr>
          <w:sz w:val="20"/>
          <w:szCs w:val="20"/>
          <w:color w:val="auto"/>
        </w:rPr>
      </w:pPr>
    </w:p>
    <w:p>
      <w:pPr>
        <w:jc w:val="both"/>
        <w:ind w:firstLine="620"/>
        <w:spacing w:after="0" w:line="216" w:lineRule="auto"/>
        <w:rPr>
          <w:sz w:val="20"/>
          <w:szCs w:val="20"/>
          <w:color w:val="auto"/>
        </w:rPr>
      </w:pPr>
      <w:r>
        <w:rPr>
          <w:rFonts w:ascii="Times New Roman" w:cs="Times New Roman" w:eastAsia="Times New Roman" w:hAnsi="Times New Roman"/>
          <w:sz w:val="21"/>
          <w:szCs w:val="21"/>
          <w:b w:val="1"/>
          <w:bCs w:val="1"/>
          <w:color w:val="auto"/>
        </w:rPr>
        <w:t>5.11 Taxes</w:t>
      </w:r>
      <w:r>
        <w:rPr>
          <w:rFonts w:ascii="Times New Roman" w:cs="Times New Roman" w:eastAsia="Times New Roman" w:hAnsi="Times New Roman"/>
          <w:sz w:val="21"/>
          <w:szCs w:val="21"/>
          <w:color w:val="auto"/>
        </w:rPr>
        <w:t>. Toro and its Subsidiaries have filed all Federal, state and other material tax returns and reports required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Borrower or any Subsidiary that would, if made, have a Material Adverse Effect. Neither any Borrower nor any Subsidiary thereof is party to any tax sharing agreement.</w:t>
      </w:r>
    </w:p>
    <w:p>
      <w:pPr>
        <w:spacing w:after="0" w:line="143"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5.12</w:t>
      </w:r>
      <w:r>
        <w:rPr>
          <w:sz w:val="20"/>
          <w:szCs w:val="20"/>
          <w:color w:val="auto"/>
        </w:rPr>
        <w:tab/>
      </w:r>
      <w:r>
        <w:rPr>
          <w:rFonts w:ascii="Times New Roman" w:cs="Times New Roman" w:eastAsia="Times New Roman" w:hAnsi="Times New Roman"/>
          <w:sz w:val="20"/>
          <w:szCs w:val="20"/>
          <w:b w:val="1"/>
          <w:bCs w:val="1"/>
          <w:color w:val="auto"/>
        </w:rPr>
        <w:t>ERISA Compliance.</w:t>
      </w:r>
    </w:p>
    <w:p>
      <w:pPr>
        <w:spacing w:after="0" w:line="176" w:lineRule="exact"/>
        <w:rPr>
          <w:sz w:val="20"/>
          <w:szCs w:val="20"/>
          <w:color w:val="auto"/>
        </w:rPr>
      </w:pPr>
    </w:p>
    <w:p>
      <w:pPr>
        <w:jc w:val="both"/>
        <w:ind w:firstLine="1244"/>
        <w:spacing w:after="0" w:line="215" w:lineRule="auto"/>
        <w:tabs>
          <w:tab w:leader="none" w:pos="1735"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best knowledge of the Borrowers, nothing has occurred that would prevent or cause the loss of such tax-qualified status.</w:t>
      </w:r>
    </w:p>
    <w:p>
      <w:pPr>
        <w:spacing w:after="0" w:line="149" w:lineRule="exact"/>
        <w:rPr>
          <w:rFonts w:ascii="Times New Roman" w:cs="Times New Roman" w:eastAsia="Times New Roman" w:hAnsi="Times New Roman"/>
          <w:sz w:val="21"/>
          <w:szCs w:val="21"/>
          <w:color w:val="auto"/>
        </w:rPr>
      </w:pPr>
    </w:p>
    <w:p>
      <w:pPr>
        <w:jc w:val="both"/>
        <w:ind w:firstLine="1244"/>
        <w:spacing w:after="0" w:line="220" w:lineRule="auto"/>
        <w:tabs>
          <w:tab w:leader="none" w:pos="1710"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pending or, to the best knowledge of each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ectPr>
          <w:pgSz w:w="11900" w:h="16838" w:orient="portrait"/>
          <w:cols w:equalWidth="0" w:num="1">
            <w:col w:w="11240"/>
          </w:cols>
          <w:pgMar w:left="320" w:top="1338" w:right="339" w:bottom="1440" w:gutter="0" w:footer="0" w:header="0"/>
        </w:sectPr>
      </w:pPr>
    </w:p>
    <w:bookmarkStart w:id="155" w:name="page156"/>
    <w:bookmarkEnd w:id="155"/>
    <w:p>
      <w:pPr>
        <w:jc w:val="both"/>
        <w:ind w:firstLine="1244"/>
        <w:spacing w:after="0" w:line="219" w:lineRule="auto"/>
        <w:tabs>
          <w:tab w:leader="none" w:pos="1683" w:val="left"/>
        </w:tabs>
        <w:numPr>
          <w:ilvl w:val="1"/>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No ERISA Event has occurred, and neither any Borrower nor any ERISA Affiliate is aware of any fact, event or circumstance that could reasonably be expected to constitute or result in an ERISA Event with respect to any Pension Plan; (ii) each Borrower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any Borrower nor any ERISA Affiliate knows of any facts or circumstances that could reasonably be expected to cause the funding target attainment percentage for any such plan to drop below 60% as of the most recent valuation date;</w:t>
      </w:r>
    </w:p>
    <w:p>
      <w:pPr>
        <w:jc w:val="both"/>
        <w:ind w:firstLine="3"/>
        <w:spacing w:after="0" w:line="218" w:lineRule="auto"/>
        <w:tabs>
          <w:tab w:leader="none" w:pos="354"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any Borrower nor any ERISA Affiliate has incurred any liability to the PBGC other than for the payment of premiums, and there are no premium payments which have become due that are unpaid; and (v) neither any Borrower nor any ERISA Affiliate has engaged in a transaction that could be subject to Section 4069 or Section 4212(c) of ERISA.</w:t>
      </w:r>
    </w:p>
    <w:p>
      <w:pPr>
        <w:spacing w:after="0" w:line="146" w:lineRule="exact"/>
        <w:rPr>
          <w:rFonts w:ascii="Times New Roman" w:cs="Times New Roman" w:eastAsia="Times New Roman" w:hAnsi="Times New Roman"/>
          <w:sz w:val="21"/>
          <w:szCs w:val="21"/>
          <w:color w:val="auto"/>
        </w:rPr>
      </w:pPr>
    </w:p>
    <w:p>
      <w:pPr>
        <w:jc w:val="both"/>
        <w:ind w:firstLine="1244"/>
        <w:spacing w:after="0" w:line="215" w:lineRule="auto"/>
        <w:tabs>
          <w:tab w:leader="none" w:pos="1723" w:val="left"/>
        </w:tabs>
        <w:numPr>
          <w:ilvl w:val="1"/>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Toro Luxembourg represents and warrants as of the Closing Date that it is not nor will not be using “plan assets” (within the meaning of 29 CFR § 2510.3-101, as modified by Section 3(42) of ERISA) of one or more Benefit Plans in connection with the Loans, the Letters of Credit or the Commitments. “</w:t>
      </w:r>
      <w:r>
        <w:rPr>
          <w:rFonts w:ascii="Times New Roman" w:cs="Times New Roman" w:eastAsia="Times New Roman" w:hAnsi="Times New Roman"/>
          <w:sz w:val="21"/>
          <w:szCs w:val="21"/>
          <w:u w:val="single" w:color="auto"/>
          <w:color w:val="auto"/>
        </w:rPr>
        <w:t>Benefit Plan</w:t>
      </w:r>
      <w:r>
        <w:rPr>
          <w:rFonts w:ascii="Times New Roman" w:cs="Times New Roman" w:eastAsia="Times New Roman" w:hAnsi="Times New Roman"/>
          <w:sz w:val="21"/>
          <w:szCs w:val="21"/>
          <w:color w:val="auto"/>
        </w:rPr>
        <w:t>” means any of (i) an “employee benefit plan” (as defined in ERISA) that is subject to Title I of ERISA, (ii) a “plan” as defined in Section 4975 of the Code or (iii) any Person whose assets include (for purposes of ERISA Section 3(42) or otherwise for purposes of Title I of ERISA or Section 4975 of the Code) the assets of any such “employee benefit plan” or “plan”.</w:t>
      </w:r>
    </w:p>
    <w:p>
      <w:pPr>
        <w:spacing w:after="0" w:line="145"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21"/>
          <w:szCs w:val="21"/>
          <w:b w:val="1"/>
          <w:bCs w:val="1"/>
          <w:color w:val="auto"/>
        </w:rPr>
        <w:t>5.13 Subsidiaries; Equity Interests</w:t>
      </w:r>
      <w:r>
        <w:rPr>
          <w:rFonts w:ascii="Times New Roman" w:cs="Times New Roman" w:eastAsia="Times New Roman" w:hAnsi="Times New Roman"/>
          <w:sz w:val="21"/>
          <w:szCs w:val="21"/>
          <w:color w:val="auto"/>
        </w:rPr>
        <w:t>. As of the Closing Date, the Borrowers have no Subsidiaries other than those specifically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disclosed in </w:t>
      </w:r>
      <w:r>
        <w:rPr>
          <w:rFonts w:ascii="Times New Roman" w:cs="Times New Roman" w:eastAsia="Times New Roman" w:hAnsi="Times New Roman"/>
          <w:sz w:val="21"/>
          <w:szCs w:val="21"/>
          <w:u w:val="single" w:color="auto"/>
          <w:color w:val="auto"/>
        </w:rPr>
        <w:t>Part (a)</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Schedule 5.13</w:t>
      </w:r>
      <w:r>
        <w:rPr>
          <w:rFonts w:ascii="Times New Roman" w:cs="Times New Roman" w:eastAsia="Times New Roman" w:hAnsi="Times New Roman"/>
          <w:sz w:val="21"/>
          <w:szCs w:val="21"/>
          <w:color w:val="auto"/>
        </w:rPr>
        <w:t xml:space="preserve">, and all of the outstanding Equity Interests in such Material Subsidiaries have been validly issued, are fully paid and nonassessable and are owned directly or indirectly by a Loan Party (other than directors’ qualifying shares required by law) in the amounts specified on Part (a) of </w:t>
      </w:r>
      <w:r>
        <w:rPr>
          <w:rFonts w:ascii="Times New Roman" w:cs="Times New Roman" w:eastAsia="Times New Roman" w:hAnsi="Times New Roman"/>
          <w:sz w:val="21"/>
          <w:szCs w:val="21"/>
          <w:u w:val="single" w:color="auto"/>
          <w:color w:val="auto"/>
        </w:rPr>
        <w:t>Schedule 5.13</w:t>
      </w:r>
      <w:r>
        <w:rPr>
          <w:rFonts w:ascii="Times New Roman" w:cs="Times New Roman" w:eastAsia="Times New Roman" w:hAnsi="Times New Roman"/>
          <w:sz w:val="21"/>
          <w:szCs w:val="21"/>
          <w:color w:val="auto"/>
        </w:rPr>
        <w:t xml:space="preserve"> free and clear of all Liens. As of the Closing Date, Toro has no equity investments in any other corporation or entity other than those specifically disclosed in Part (b) of </w:t>
      </w:r>
      <w:r>
        <w:rPr>
          <w:rFonts w:ascii="Times New Roman" w:cs="Times New Roman" w:eastAsia="Times New Roman" w:hAnsi="Times New Roman"/>
          <w:sz w:val="21"/>
          <w:szCs w:val="21"/>
          <w:u w:val="single" w:color="auto"/>
          <w:color w:val="auto"/>
        </w:rPr>
        <w:t>Schedule 5.13</w:t>
      </w:r>
      <w:r>
        <w:rPr>
          <w:rFonts w:ascii="Times New Roman" w:cs="Times New Roman" w:eastAsia="Times New Roman" w:hAnsi="Times New Roman"/>
          <w:sz w:val="21"/>
          <w:szCs w:val="21"/>
          <w:color w:val="auto"/>
        </w:rPr>
        <w:t>.</w:t>
      </w:r>
    </w:p>
    <w:p>
      <w:pPr>
        <w:spacing w:after="0" w:line="144"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5.14</w:t>
      </w:r>
      <w:r>
        <w:rPr>
          <w:sz w:val="20"/>
          <w:szCs w:val="20"/>
          <w:color w:val="auto"/>
        </w:rPr>
        <w:tab/>
      </w:r>
      <w:r>
        <w:rPr>
          <w:rFonts w:ascii="Times New Roman" w:cs="Times New Roman" w:eastAsia="Times New Roman" w:hAnsi="Times New Roman"/>
          <w:sz w:val="20"/>
          <w:szCs w:val="20"/>
          <w:b w:val="1"/>
          <w:bCs w:val="1"/>
          <w:color w:val="auto"/>
        </w:rPr>
        <w:t>Margin Regulations; Investment Company Act.</w:t>
      </w:r>
    </w:p>
    <w:p>
      <w:pPr>
        <w:spacing w:after="0" w:line="176" w:lineRule="exact"/>
        <w:rPr>
          <w:sz w:val="20"/>
          <w:szCs w:val="20"/>
          <w:color w:val="auto"/>
        </w:rPr>
      </w:pPr>
    </w:p>
    <w:p>
      <w:pPr>
        <w:jc w:val="both"/>
        <w:ind w:firstLine="1244"/>
        <w:spacing w:after="0" w:line="215" w:lineRule="auto"/>
        <w:tabs>
          <w:tab w:leader="none" w:pos="1827"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Borrower is engaged or will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applicable Borrower only or of Toro and its Subsidiaries on a consolidated basis) subject to the provisions of </w:t>
      </w:r>
      <w:r>
        <w:rPr>
          <w:rFonts w:ascii="Times New Roman" w:cs="Times New Roman" w:eastAsia="Times New Roman" w:hAnsi="Times New Roman"/>
          <w:sz w:val="21"/>
          <w:szCs w:val="21"/>
          <w:u w:val="single" w:color="auto"/>
          <w:color w:val="auto"/>
        </w:rPr>
        <w:t>Section 7.01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or subject to any restriction contained in any agreement or instrument between any Borrower and any Lender or any Affiliate of any Lender relating to Indebtedness will be margin stock.</w:t>
      </w:r>
    </w:p>
    <w:p>
      <w:pPr>
        <w:spacing w:after="0" w:line="149" w:lineRule="exact"/>
        <w:rPr>
          <w:rFonts w:ascii="Times New Roman" w:cs="Times New Roman" w:eastAsia="Times New Roman" w:hAnsi="Times New Roman"/>
          <w:sz w:val="21"/>
          <w:szCs w:val="21"/>
          <w:color w:val="auto"/>
        </w:rPr>
      </w:pPr>
    </w:p>
    <w:p>
      <w:pPr>
        <w:ind w:firstLine="1244"/>
        <w:spacing w:after="0" w:line="236" w:lineRule="auto"/>
        <w:tabs>
          <w:tab w:leader="none" w:pos="1726"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Borrowers, any Person Controlling any Borrower, or any Subsidiary is or is required to be registered as an “investment company” under the Investment Company Act of 1940.</w:t>
      </w:r>
    </w:p>
    <w:p>
      <w:pPr>
        <w:spacing w:after="0" w:line="141"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21"/>
          <w:szCs w:val="21"/>
          <w:b w:val="1"/>
          <w:bCs w:val="1"/>
          <w:color w:val="auto"/>
        </w:rPr>
        <w:t>5.15 Copyrights, Patents, Trademarks and Licenses, Etc</w:t>
      </w:r>
      <w:r>
        <w:rPr>
          <w:rFonts w:ascii="Times New Roman" w:cs="Times New Roman" w:eastAsia="Times New Roman" w:hAnsi="Times New Roman"/>
          <w:sz w:val="21"/>
          <w:szCs w:val="21"/>
          <w:color w:val="auto"/>
        </w:rPr>
        <w:t>. Each of the Borrowers and their Subsidiaries own or are licensed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otherwise have the right to use all of the patents, trademarks, service marks, trade names, copyrights, contractual franchises, authorizations and other rights that are reasonably necessary in the best business judgment of the Borrowers for the operation of their respective businesses, without conflict with the rights of any other Person which could reasonably be expected to have a Material Adverse Effect. To the best knowledge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86</w:t>
      </w:r>
    </w:p>
    <w:p>
      <w:pPr>
        <w:sectPr>
          <w:pgSz w:w="11900" w:h="16838" w:orient="portrait"/>
          <w:cols w:equalWidth="0" w:num="1">
            <w:col w:w="11240"/>
          </w:cols>
          <w:pgMar w:left="320" w:top="1342" w:right="339" w:bottom="1440" w:gutter="0" w:footer="0" w:header="0"/>
        </w:sectPr>
      </w:pPr>
    </w:p>
    <w:bookmarkStart w:id="156" w:name="page157"/>
    <w:bookmarkEnd w:id="156"/>
    <w:p>
      <w:pPr>
        <w:jc w:val="both"/>
        <w:spacing w:after="0" w:line="217" w:lineRule="auto"/>
        <w:rPr>
          <w:sz w:val="20"/>
          <w:szCs w:val="20"/>
          <w:color w:val="auto"/>
        </w:rPr>
      </w:pPr>
      <w:r>
        <w:rPr>
          <w:rFonts w:ascii="Times New Roman" w:cs="Times New Roman" w:eastAsia="Times New Roman" w:hAnsi="Times New Roman"/>
          <w:sz w:val="21"/>
          <w:szCs w:val="21"/>
          <w:color w:val="auto"/>
        </w:rPr>
        <w:t>the Borrowers, as of the date hereof, no slogan or other advertising device, product, process, method, substance, part or other material now employed, or now contemplated to be employed, by the Borrowers or any Subsidiary infringes upon any rights held by any other Person and no claim or litigation regarding any of the foregoing is pending or threatened, and no patent, invention, device, application, principle or any statute, law, rule, regulation, standard or code is pending or, to the knowledge of the Borrowers, proposed, which, in any case, could reasonably be expected to have a Material Adverse Effect.</w:t>
      </w:r>
    </w:p>
    <w:p>
      <w:pPr>
        <w:spacing w:after="0" w:line="145" w:lineRule="exact"/>
        <w:rPr>
          <w:sz w:val="20"/>
          <w:szCs w:val="20"/>
          <w:color w:val="auto"/>
        </w:rPr>
      </w:pPr>
    </w:p>
    <w:p>
      <w:pPr>
        <w:jc w:val="both"/>
        <w:ind w:firstLine="620"/>
        <w:spacing w:after="0" w:line="212" w:lineRule="auto"/>
        <w:rPr>
          <w:sz w:val="20"/>
          <w:szCs w:val="20"/>
          <w:color w:val="auto"/>
        </w:rPr>
      </w:pPr>
      <w:r>
        <w:rPr>
          <w:rFonts w:ascii="Times New Roman" w:cs="Times New Roman" w:eastAsia="Times New Roman" w:hAnsi="Times New Roman"/>
          <w:sz w:val="21"/>
          <w:szCs w:val="21"/>
          <w:b w:val="1"/>
          <w:bCs w:val="1"/>
          <w:color w:val="auto"/>
        </w:rPr>
        <w:t>5.16 Disclosure</w:t>
      </w:r>
      <w:r>
        <w:rPr>
          <w:rFonts w:ascii="Times New Roman" w:cs="Times New Roman" w:eastAsia="Times New Roman" w:hAnsi="Times New Roman"/>
          <w:sz w:val="21"/>
          <w:szCs w:val="21"/>
          <w:color w:val="auto"/>
        </w:rPr>
        <w:t>. Each Borrower has disclosed to the Administrative Agent and the Lenders all agreements, instruments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(in writing)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projected financial information, Toro represents only that such information was prepared in good faith based upon assumptions believed to be reasonable at the time.</w:t>
      </w:r>
    </w:p>
    <w:p>
      <w:pPr>
        <w:spacing w:after="0" w:line="148"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21"/>
          <w:szCs w:val="21"/>
          <w:b w:val="1"/>
          <w:bCs w:val="1"/>
          <w:color w:val="auto"/>
        </w:rPr>
        <w:t>5.17 Compliance with Laws</w:t>
      </w:r>
      <w:r>
        <w:rPr>
          <w:rFonts w:ascii="Times New Roman" w:cs="Times New Roman" w:eastAsia="Times New Roman" w:hAnsi="Times New Roman"/>
          <w:sz w:val="21"/>
          <w:szCs w:val="21"/>
          <w:color w:val="auto"/>
        </w:rPr>
        <w:t>. Each of the Borrowers and each Subsidiary thereof is in compliance in all material respects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35" w:lineRule="exact"/>
        <w:rPr>
          <w:sz w:val="20"/>
          <w:szCs w:val="20"/>
          <w:color w:val="auto"/>
        </w:rPr>
      </w:pPr>
    </w:p>
    <w:p>
      <w:pPr>
        <w:ind w:left="620"/>
        <w:spacing w:after="0"/>
        <w:tabs>
          <w:tab w:leader="none" w:pos="1320" w:val="left"/>
        </w:tabs>
        <w:rPr>
          <w:sz w:val="20"/>
          <w:szCs w:val="20"/>
          <w:color w:val="auto"/>
        </w:rPr>
      </w:pPr>
      <w:r>
        <w:rPr>
          <w:rFonts w:ascii="Times New Roman" w:cs="Times New Roman" w:eastAsia="Times New Roman" w:hAnsi="Times New Roman"/>
          <w:sz w:val="21"/>
          <w:szCs w:val="21"/>
          <w:b w:val="1"/>
          <w:bCs w:val="1"/>
          <w:color w:val="auto"/>
        </w:rPr>
        <w:t>5.18</w:t>
      </w:r>
      <w:r>
        <w:rPr>
          <w:sz w:val="20"/>
          <w:szCs w:val="20"/>
          <w:color w:val="auto"/>
        </w:rPr>
        <w:tab/>
      </w:r>
      <w:r>
        <w:rPr>
          <w:rFonts w:ascii="Times New Roman" w:cs="Times New Roman" w:eastAsia="Times New Roman" w:hAnsi="Times New Roman"/>
          <w:sz w:val="21"/>
          <w:szCs w:val="21"/>
          <w:b w:val="1"/>
          <w:bCs w:val="1"/>
          <w:color w:val="auto"/>
        </w:rPr>
        <w:t>Representations as to Foreign Obligors</w:t>
      </w:r>
      <w:r>
        <w:rPr>
          <w:rFonts w:ascii="Times New Roman" w:cs="Times New Roman" w:eastAsia="Times New Roman" w:hAnsi="Times New Roman"/>
          <w:sz w:val="21"/>
          <w:szCs w:val="21"/>
          <w:color w:val="auto"/>
        </w:rPr>
        <w:t>. Each of Toro and each Foreign Obligor represents and warrants to the</w:t>
      </w:r>
    </w:p>
    <w:p>
      <w:pPr>
        <w:spacing w:after="0"/>
        <w:rPr>
          <w:sz w:val="20"/>
          <w:szCs w:val="20"/>
          <w:color w:val="auto"/>
        </w:rPr>
      </w:pPr>
      <w:r>
        <w:rPr>
          <w:rFonts w:ascii="Times New Roman" w:cs="Times New Roman" w:eastAsia="Times New Roman" w:hAnsi="Times New Roman"/>
          <w:sz w:val="21"/>
          <w:szCs w:val="21"/>
          <w:color w:val="auto"/>
        </w:rPr>
        <w:t>Administrative Agent and the Lenders that:</w:t>
      </w:r>
    </w:p>
    <w:p>
      <w:pPr>
        <w:spacing w:after="0" w:line="150" w:lineRule="exact"/>
        <w:rPr>
          <w:sz w:val="20"/>
          <w:szCs w:val="20"/>
          <w:color w:val="auto"/>
        </w:rPr>
      </w:pPr>
    </w:p>
    <w:p>
      <w:pPr>
        <w:jc w:val="both"/>
        <w:ind w:firstLine="1244"/>
        <w:spacing w:after="0" w:line="214" w:lineRule="auto"/>
        <w:tabs>
          <w:tab w:leader="none" w:pos="1694"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Foreign Obligor is subject to civil and commercial Laws with respect to its obligations under this Agreement and the other Loan Documents to which it is a party (collectively as to such Foreign Obligor, the “</w:t>
      </w:r>
      <w:r>
        <w:rPr>
          <w:rFonts w:ascii="Times New Roman" w:cs="Times New Roman" w:eastAsia="Times New Roman" w:hAnsi="Times New Roman"/>
          <w:sz w:val="21"/>
          <w:szCs w:val="21"/>
          <w:u w:val="single" w:color="auto"/>
          <w:color w:val="auto"/>
        </w:rPr>
        <w:t>Applicable Foreign Obligor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Documents</w:t>
      </w:r>
      <w:r>
        <w:rPr>
          <w:rFonts w:ascii="Times New Roman" w:cs="Times New Roman" w:eastAsia="Times New Roman" w:hAnsi="Times New Roman"/>
          <w:sz w:val="21"/>
          <w:szCs w:val="21"/>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146" w:lineRule="exact"/>
        <w:rPr>
          <w:rFonts w:ascii="Times New Roman" w:cs="Times New Roman" w:eastAsia="Times New Roman" w:hAnsi="Times New Roman"/>
          <w:sz w:val="21"/>
          <w:szCs w:val="21"/>
          <w:color w:val="auto"/>
        </w:rPr>
      </w:pPr>
    </w:p>
    <w:p>
      <w:pPr>
        <w:jc w:val="both"/>
        <w:ind w:firstLine="1244"/>
        <w:spacing w:after="0" w:line="213" w:lineRule="auto"/>
        <w:tabs>
          <w:tab w:leader="none" w:pos="1734"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87</w:t>
      </w:r>
    </w:p>
    <w:p>
      <w:pPr>
        <w:sectPr>
          <w:pgSz w:w="11900" w:h="16838" w:orient="portrait"/>
          <w:cols w:equalWidth="0" w:num="1">
            <w:col w:w="11240"/>
          </w:cols>
          <w:pgMar w:left="320" w:top="1342" w:right="339" w:bottom="1440" w:gutter="0" w:footer="0" w:header="0"/>
        </w:sectPr>
      </w:pPr>
    </w:p>
    <w:bookmarkStart w:id="157" w:name="page158"/>
    <w:bookmarkEnd w:id="157"/>
    <w:p>
      <w:pPr>
        <w:jc w:val="both"/>
        <w:spacing w:after="0" w:line="215" w:lineRule="auto"/>
        <w:rPr>
          <w:sz w:val="20"/>
          <w:szCs w:val="20"/>
          <w:color w:val="auto"/>
        </w:rPr>
      </w:pPr>
      <w:r>
        <w:rPr>
          <w:rFonts w:ascii="Times New Roman" w:cs="Times New Roman" w:eastAsia="Times New Roman" w:hAnsi="Times New Roman"/>
          <w:sz w:val="21"/>
          <w:szCs w:val="21"/>
          <w:color w:val="auto"/>
        </w:rPr>
        <w:t xml:space="preserve">such filing, registration, recording, execution or notarization as has been made or is not required to be made until the Applicable Foreign Obligor Document or any other document is sought to be enforced, (ii) any charge or tax as has been timely paid and (iii) with respect to the admissibility of documents in evidence in the Grand Duchy of Luxembourg, the registration of the Agreement with the </w:t>
      </w:r>
      <w:r>
        <w:rPr>
          <w:rFonts w:ascii="Times New Roman" w:cs="Times New Roman" w:eastAsia="Times New Roman" w:hAnsi="Times New Roman"/>
          <w:sz w:val="21"/>
          <w:szCs w:val="21"/>
          <w:i w:val="1"/>
          <w:iCs w:val="1"/>
          <w:color w:val="auto"/>
        </w:rPr>
        <w:t xml:space="preserve">Administration de l'Enregistrement et des Domaines </w:t>
      </w:r>
      <w:r>
        <w:rPr>
          <w:rFonts w:ascii="Times New Roman" w:cs="Times New Roman" w:eastAsia="Times New Roman" w:hAnsi="Times New Roman"/>
          <w:sz w:val="21"/>
          <w:szCs w:val="21"/>
          <w:color w:val="auto"/>
        </w:rPr>
        <w:t>in the Grand Duchy of Luxembourg which might be required in the case of legal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proceedings being brought before the Luxembourg courts in order for the Applicable Foreign Obligor Documents to be admissible in evidence in the Grand Duchy of Luxembourg.</w:t>
      </w:r>
    </w:p>
    <w:p>
      <w:pPr>
        <w:spacing w:after="0" w:line="149" w:lineRule="exact"/>
        <w:rPr>
          <w:sz w:val="20"/>
          <w:szCs w:val="20"/>
          <w:color w:val="auto"/>
        </w:rPr>
      </w:pPr>
    </w:p>
    <w:p>
      <w:pPr>
        <w:jc w:val="both"/>
        <w:ind w:firstLine="1244"/>
        <w:spacing w:after="0" w:line="212" w:lineRule="auto"/>
        <w:tabs>
          <w:tab w:leader="none" w:pos="1688"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(x) with respect to Toro Luxembourg, the registration of the Agreement with the </w:t>
      </w:r>
      <w:r>
        <w:rPr>
          <w:rFonts w:ascii="Times New Roman" w:cs="Times New Roman" w:eastAsia="Times New Roman" w:hAnsi="Times New Roman"/>
          <w:sz w:val="21"/>
          <w:szCs w:val="21"/>
          <w:i w:val="1"/>
          <w:iCs w:val="1"/>
          <w:color w:val="auto"/>
        </w:rPr>
        <w:t>Administration de l'Enregistrement et des Domaines</w:t>
      </w:r>
      <w:r>
        <w:rPr>
          <w:rFonts w:ascii="Times New Roman" w:cs="Times New Roman" w:eastAsia="Times New Roman" w:hAnsi="Times New Roman"/>
          <w:sz w:val="21"/>
          <w:szCs w:val="21"/>
          <w:color w:val="auto"/>
        </w:rPr>
        <w:t xml:space="preserve"> in the Grand Duchy of Luxembourg as may be required in the case of legal proceedings being brought before the Luxembourg courts or, in the case that the Agreement must be produced before an official Luxembourg authority or, in the case that the Agreement is referred to in a public deed, in which case either a nominal registration duty or an ad valorem duty will be payable depending on the nature of the document to be registered, or (y) as has been disclosed to the Administrative Agent.</w:t>
      </w:r>
    </w:p>
    <w:p>
      <w:pPr>
        <w:spacing w:after="0" w:line="147" w:lineRule="exact"/>
        <w:rPr>
          <w:rFonts w:ascii="Times New Roman" w:cs="Times New Roman" w:eastAsia="Times New Roman" w:hAnsi="Times New Roman"/>
          <w:sz w:val="21"/>
          <w:szCs w:val="21"/>
          <w:color w:val="auto"/>
        </w:rPr>
      </w:pPr>
    </w:p>
    <w:p>
      <w:pPr>
        <w:jc w:val="both"/>
        <w:ind w:firstLine="1244"/>
        <w:spacing w:after="0" w:line="217" w:lineRule="auto"/>
        <w:tabs>
          <w:tab w:leader="none" w:pos="1707"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(provided that any notification or authorization described in clause (ii) shall be made or obtained as soon as is reasonably practicable).</w:t>
      </w:r>
    </w:p>
    <w:p>
      <w:pPr>
        <w:spacing w:after="0" w:line="145" w:lineRule="exact"/>
        <w:rPr>
          <w:sz w:val="20"/>
          <w:szCs w:val="20"/>
          <w:color w:val="auto"/>
        </w:rPr>
      </w:pPr>
    </w:p>
    <w:p>
      <w:pPr>
        <w:jc w:val="both"/>
        <w:ind w:firstLine="620"/>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5.19 Taxpayer Identification Number; Other Identifying Information </w:t>
      </w:r>
      <w:r>
        <w:rPr>
          <w:rFonts w:ascii="Times New Roman" w:cs="Times New Roman" w:eastAsia="Times New Roman" w:hAnsi="Times New Roman"/>
          <w:sz w:val="21"/>
          <w:szCs w:val="21"/>
          <w:color w:val="auto"/>
        </w:rPr>
        <w:t>. The true and correct U.S. taxpayer identification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number of each Borrower that is not a Foreign Obligor is set forth on Schedule 11.02. The true and correct unique identification number of each Foreign Obligor that is a party hereto on the Closing Date that has been issued by its jurisdiction of organization and the name of such jurisdiction are set forth on </w:t>
      </w:r>
      <w:r>
        <w:rPr>
          <w:rFonts w:ascii="Times New Roman" w:cs="Times New Roman" w:eastAsia="Times New Roman" w:hAnsi="Times New Roman"/>
          <w:sz w:val="21"/>
          <w:szCs w:val="21"/>
          <w:u w:val="single" w:color="auto"/>
          <w:color w:val="auto"/>
        </w:rPr>
        <w:t>Schedule 5.19</w:t>
      </w:r>
      <w:r>
        <w:rPr>
          <w:rFonts w:ascii="Times New Roman" w:cs="Times New Roman" w:eastAsia="Times New Roman" w:hAnsi="Times New Roman"/>
          <w:sz w:val="21"/>
          <w:szCs w:val="21"/>
          <w:color w:val="auto"/>
        </w:rPr>
        <w:t>.</w:t>
      </w:r>
    </w:p>
    <w:p>
      <w:pPr>
        <w:spacing w:after="0" w:line="144" w:lineRule="exact"/>
        <w:rPr>
          <w:sz w:val="20"/>
          <w:szCs w:val="20"/>
          <w:color w:val="auto"/>
        </w:rPr>
      </w:pPr>
    </w:p>
    <w:p>
      <w:pPr>
        <w:jc w:val="both"/>
        <w:ind w:firstLine="620"/>
        <w:spacing w:after="0" w:line="227" w:lineRule="auto"/>
        <w:rPr>
          <w:sz w:val="20"/>
          <w:szCs w:val="20"/>
          <w:color w:val="auto"/>
        </w:rPr>
      </w:pPr>
      <w:r>
        <w:rPr>
          <w:rFonts w:ascii="Times New Roman" w:cs="Times New Roman" w:eastAsia="Times New Roman" w:hAnsi="Times New Roman"/>
          <w:sz w:val="21"/>
          <w:szCs w:val="21"/>
          <w:b w:val="1"/>
          <w:bCs w:val="1"/>
          <w:color w:val="auto"/>
        </w:rPr>
        <w:t>5.20 OFAC</w:t>
      </w:r>
      <w:r>
        <w:rPr>
          <w:rFonts w:ascii="Times New Roman" w:cs="Times New Roman" w:eastAsia="Times New Roman" w:hAnsi="Times New Roman"/>
          <w:sz w:val="21"/>
          <w:szCs w:val="21"/>
          <w:color w:val="auto"/>
        </w:rPr>
        <w:t>. Neither any Borrower, nor any of its Subsidiaries, nor, to the knowledge of any Borrower and its Subsidiaries,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director, officer, employee, agent, affiliate or representative thereof, is an individual or entity currently the subject of any Sanctions, nor is any Borrower or any Subsidiary located, organized or resident in a Designated Jurisdiction.</w:t>
      </w:r>
    </w:p>
    <w:p>
      <w:pPr>
        <w:spacing w:after="0" w:line="142" w:lineRule="exact"/>
        <w:rPr>
          <w:sz w:val="20"/>
          <w:szCs w:val="20"/>
          <w:color w:val="auto"/>
        </w:rPr>
      </w:pPr>
    </w:p>
    <w:p>
      <w:pPr>
        <w:jc w:val="both"/>
        <w:ind w:firstLine="620"/>
        <w:spacing w:after="0" w:line="227" w:lineRule="auto"/>
        <w:rPr>
          <w:sz w:val="20"/>
          <w:szCs w:val="20"/>
          <w:color w:val="auto"/>
        </w:rPr>
      </w:pPr>
      <w:r>
        <w:rPr>
          <w:rFonts w:ascii="Times New Roman" w:cs="Times New Roman" w:eastAsia="Times New Roman" w:hAnsi="Times New Roman"/>
          <w:sz w:val="21"/>
          <w:szCs w:val="21"/>
          <w:b w:val="1"/>
          <w:bCs w:val="1"/>
          <w:color w:val="auto"/>
        </w:rPr>
        <w:t>5.21 Anti-Corruption Laws</w:t>
      </w:r>
      <w:r>
        <w:rPr>
          <w:rFonts w:ascii="Times New Roman" w:cs="Times New Roman" w:eastAsia="Times New Roman" w:hAnsi="Times New Roman"/>
          <w:sz w:val="21"/>
          <w:szCs w:val="21"/>
          <w:color w:val="auto"/>
        </w:rPr>
        <w:t>. Each of the Borrowers and each Subsidiary, to the knowledge of any Borrower and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Subsidiaries, have used reasonable efforts to conduct their businesses in compliance with applicable anti-corruption laws, and have instituted and maintained policies and procedures designed to promote and achieve compliance with such laws.</w:t>
      </w:r>
    </w:p>
    <w:p>
      <w:pPr>
        <w:spacing w:after="0" w:line="142" w:lineRule="exact"/>
        <w:rPr>
          <w:sz w:val="20"/>
          <w:szCs w:val="20"/>
          <w:color w:val="auto"/>
        </w:rPr>
      </w:pPr>
    </w:p>
    <w:p>
      <w:pPr>
        <w:jc w:val="both"/>
        <w:ind w:firstLine="620"/>
        <w:spacing w:after="0" w:line="227" w:lineRule="auto"/>
        <w:rPr>
          <w:sz w:val="20"/>
          <w:szCs w:val="20"/>
          <w:color w:val="auto"/>
        </w:rPr>
      </w:pPr>
      <w:r>
        <w:rPr>
          <w:rFonts w:ascii="Times New Roman" w:cs="Times New Roman" w:eastAsia="Times New Roman" w:hAnsi="Times New Roman"/>
          <w:sz w:val="21"/>
          <w:szCs w:val="21"/>
          <w:b w:val="1"/>
          <w:bCs w:val="1"/>
          <w:color w:val="auto"/>
        </w:rPr>
        <w:t>5.22 Beneficial Ownership</w:t>
      </w:r>
      <w:r>
        <w:rPr>
          <w:rFonts w:ascii="Times New Roman" w:cs="Times New Roman" w:eastAsia="Times New Roman" w:hAnsi="Times New Roman"/>
          <w:sz w:val="21"/>
          <w:szCs w:val="21"/>
          <w:color w:val="auto"/>
        </w:rPr>
        <w:t>. The information included in the Beneficial Ownership Certification, if applicable, provided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Borrower on or prior to the Closing Date, as updated from time to time in accordance with this Agreement, is true, complete and correct in all respects as of the Closing Date and as of the date any such update is delivered.</w:t>
      </w:r>
    </w:p>
    <w:p>
      <w:pPr>
        <w:spacing w:after="0" w:line="142"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5.23</w:t>
      </w:r>
      <w:r>
        <w:rPr>
          <w:sz w:val="20"/>
          <w:szCs w:val="20"/>
          <w:color w:val="auto"/>
        </w:rPr>
        <w:tab/>
      </w:r>
      <w:r>
        <w:rPr>
          <w:rFonts w:ascii="Times New Roman" w:cs="Times New Roman" w:eastAsia="Times New Roman" w:hAnsi="Times New Roman"/>
          <w:sz w:val="20"/>
          <w:szCs w:val="20"/>
          <w:b w:val="1"/>
          <w:bCs w:val="1"/>
          <w:color w:val="auto"/>
        </w:rPr>
        <w:t>Covered Entity</w:t>
      </w:r>
      <w:r>
        <w:rPr>
          <w:rFonts w:ascii="Times New Roman" w:cs="Times New Roman" w:eastAsia="Times New Roman" w:hAnsi="Times New Roman"/>
          <w:sz w:val="20"/>
          <w:szCs w:val="20"/>
          <w:color w:val="auto"/>
        </w:rPr>
        <w:t>. No Borrower is a Covered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ectPr>
          <w:pgSz w:w="11900" w:h="16838" w:orient="portrait"/>
          <w:cols w:equalWidth="0" w:num="1">
            <w:col w:w="11240"/>
          </w:cols>
          <w:pgMar w:left="320" w:top="1342" w:right="339" w:bottom="1440" w:gutter="0" w:footer="0" w:header="0"/>
        </w:sectPr>
      </w:pPr>
    </w:p>
    <w:bookmarkStart w:id="158" w:name="page159"/>
    <w:bookmarkEnd w:id="158"/>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ARTICLE VI.</w:t>
      </w:r>
    </w:p>
    <w:p>
      <w:pPr>
        <w:jc w:val="center"/>
        <w:spacing w:after="0"/>
        <w:rPr>
          <w:sz w:val="20"/>
          <w:szCs w:val="20"/>
          <w:color w:val="auto"/>
        </w:rPr>
      </w:pPr>
      <w:r>
        <w:rPr>
          <w:rFonts w:ascii="Times New Roman" w:cs="Times New Roman" w:eastAsia="Times New Roman" w:hAnsi="Times New Roman"/>
          <w:sz w:val="21"/>
          <w:szCs w:val="21"/>
          <w:b w:val="1"/>
          <w:bCs w:val="1"/>
          <w:color w:val="auto"/>
        </w:rPr>
        <w:t>AFFIRMATIVE COVENANTS</w:t>
      </w:r>
    </w:p>
    <w:p>
      <w:pPr>
        <w:spacing w:after="0" w:line="150"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 xml:space="preserve">So long as any Lender shall have any Commitment hereunder, any Loan or other Obligation hereunder shall remain unpaid or unsatisfied, or any Letter of Credit shall remain outstanding, Toro shall, and shall (except in the case of the covenants set forth in </w:t>
      </w:r>
      <w:r>
        <w:rPr>
          <w:rFonts w:ascii="Times New Roman" w:cs="Times New Roman" w:eastAsia="Times New Roman" w:hAnsi="Times New Roman"/>
          <w:sz w:val="21"/>
          <w:szCs w:val="21"/>
          <w:u w:val="single" w:color="auto"/>
          <w:color w:val="auto"/>
        </w:rPr>
        <w:t>Sections 6.01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6.03</w:t>
      </w:r>
      <w:r>
        <w:rPr>
          <w:rFonts w:ascii="Times New Roman" w:cs="Times New Roman" w:eastAsia="Times New Roman" w:hAnsi="Times New Roman"/>
          <w:sz w:val="21"/>
          <w:szCs w:val="21"/>
          <w:color w:val="auto"/>
        </w:rPr>
        <w:t>) cause each Subsidiary to:</w:t>
      </w:r>
    </w:p>
    <w:p>
      <w:pPr>
        <w:spacing w:after="0" w:line="135" w:lineRule="exact"/>
        <w:rPr>
          <w:sz w:val="20"/>
          <w:szCs w:val="20"/>
          <w:color w:val="auto"/>
        </w:rPr>
      </w:pPr>
    </w:p>
    <w:p>
      <w:pPr>
        <w:ind w:left="620"/>
        <w:spacing w:after="0"/>
        <w:tabs>
          <w:tab w:leader="none" w:pos="1280" w:val="left"/>
        </w:tabs>
        <w:rPr>
          <w:sz w:val="20"/>
          <w:szCs w:val="20"/>
          <w:color w:val="auto"/>
        </w:rPr>
      </w:pPr>
      <w:r>
        <w:rPr>
          <w:rFonts w:ascii="Times New Roman" w:cs="Times New Roman" w:eastAsia="Times New Roman" w:hAnsi="Times New Roman"/>
          <w:sz w:val="21"/>
          <w:szCs w:val="21"/>
          <w:b w:val="1"/>
          <w:bCs w:val="1"/>
          <w:color w:val="auto"/>
        </w:rPr>
        <w:t>6.01</w:t>
        <w:tab/>
        <w:t>Financial Statements</w:t>
      </w:r>
      <w:r>
        <w:rPr>
          <w:rFonts w:ascii="Times New Roman" w:cs="Times New Roman" w:eastAsia="Times New Roman" w:hAnsi="Times New Roman"/>
          <w:sz w:val="21"/>
          <w:szCs w:val="21"/>
          <w:color w:val="auto"/>
        </w:rPr>
        <w:t>. Deliver to the Administrative Agent and each Lender, in form and detail satisfactory to the</w:t>
      </w:r>
    </w:p>
    <w:p>
      <w:pPr>
        <w:spacing w:after="0"/>
        <w:rPr>
          <w:sz w:val="20"/>
          <w:szCs w:val="20"/>
          <w:color w:val="auto"/>
        </w:rPr>
      </w:pPr>
      <w:r>
        <w:rPr>
          <w:rFonts w:ascii="Times New Roman" w:cs="Times New Roman" w:eastAsia="Times New Roman" w:hAnsi="Times New Roman"/>
          <w:sz w:val="21"/>
          <w:szCs w:val="21"/>
          <w:color w:val="auto"/>
        </w:rPr>
        <w:t>Administrative Agent and the Required Lenders:</w:t>
      </w:r>
    </w:p>
    <w:p>
      <w:pPr>
        <w:spacing w:after="0" w:line="150" w:lineRule="exact"/>
        <w:rPr>
          <w:sz w:val="20"/>
          <w:szCs w:val="20"/>
          <w:color w:val="auto"/>
        </w:rPr>
      </w:pPr>
    </w:p>
    <w:p>
      <w:pPr>
        <w:jc w:val="both"/>
        <w:ind w:firstLine="1244"/>
        <w:spacing w:after="0" w:line="212" w:lineRule="auto"/>
        <w:tabs>
          <w:tab w:leader="none" w:pos="169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but in any event within 120 days after the end of each fiscal year of Toro (or such longer time period as may be permitted by the SEC, including pursuant to Rule 12b-25 or other SEC permitted extensions), a consolidated balance sheet of Toro and its Subsidiaries as at the end of such fiscal year, and the related consolidated statements of income or operations, stockholders’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 and</w:t>
      </w:r>
    </w:p>
    <w:p>
      <w:pPr>
        <w:spacing w:after="0" w:line="147" w:lineRule="exact"/>
        <w:rPr>
          <w:rFonts w:ascii="Times New Roman" w:cs="Times New Roman" w:eastAsia="Times New Roman" w:hAnsi="Times New Roman"/>
          <w:sz w:val="21"/>
          <w:szCs w:val="21"/>
          <w:color w:val="auto"/>
        </w:rPr>
      </w:pPr>
    </w:p>
    <w:p>
      <w:pPr>
        <w:jc w:val="both"/>
        <w:ind w:firstLine="1244"/>
        <w:spacing w:after="0" w:line="212" w:lineRule="auto"/>
        <w:tabs>
          <w:tab w:leader="none" w:pos="1721"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but in any event within 50 days after the end of each of the first three fiscal quarters of each fiscal year of Toro (or such longer time period as may be permitted by the SEC, including pursuant to Rule 12b-25 or other SEC permitted extensions), a consolidated balance sheet of Toro and its Subsidiaries as at the end of such fiscal quarter, and the related consolidated statements of income or operations, stockholders’ equity and cash flows for such fiscal quarter and for the portion of Toro’s fiscal year then ended, setting forth in each case in comparative form the figures for the corresponding fiscal quarter of the previous fiscal year and the corresponding portion of the previous fiscal year, all in reasonable detail, such consolidated statements to be certified by a Responsible Officer of Toro as fairly presenting the financial condition, results of operations, stockholders’ equity and cash flows of Toro and its Subsidiaries in accordance with GAAP, subject only to normal year-end audit adjustments and the absence of footnotes.</w:t>
      </w:r>
    </w:p>
    <w:p>
      <w:pPr>
        <w:spacing w:after="0" w:line="148"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 xml:space="preserve">As to any information contained in materials furnished pursuant to </w:t>
      </w:r>
      <w:r>
        <w:rPr>
          <w:rFonts w:ascii="Times New Roman" w:cs="Times New Roman" w:eastAsia="Times New Roman" w:hAnsi="Times New Roman"/>
          <w:sz w:val="21"/>
          <w:szCs w:val="21"/>
          <w:u w:val="single" w:color="auto"/>
          <w:color w:val="auto"/>
        </w:rPr>
        <w:t>Section 6.02(c)</w:t>
      </w:r>
      <w:r>
        <w:rPr>
          <w:rFonts w:ascii="Times New Roman" w:cs="Times New Roman" w:eastAsia="Times New Roman" w:hAnsi="Times New Roman"/>
          <w:sz w:val="21"/>
          <w:szCs w:val="21"/>
          <w:color w:val="auto"/>
        </w:rPr>
        <w:t xml:space="preserve">, Toro shall not be separately required to furnish such information under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but the foregoing shall not be in derogation of the obligation of Toro to furnish the information and materials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at the times specified therein.</w:t>
      </w:r>
    </w:p>
    <w:p>
      <w:pPr>
        <w:spacing w:after="0" w:line="144" w:lineRule="exact"/>
        <w:rPr>
          <w:sz w:val="20"/>
          <w:szCs w:val="20"/>
          <w:color w:val="auto"/>
        </w:rPr>
      </w:pPr>
    </w:p>
    <w:p>
      <w:pPr>
        <w:jc w:val="both"/>
        <w:ind w:firstLine="620"/>
        <w:spacing w:after="0" w:line="237" w:lineRule="auto"/>
        <w:rPr>
          <w:sz w:val="20"/>
          <w:szCs w:val="20"/>
          <w:color w:val="auto"/>
        </w:rPr>
      </w:pPr>
      <w:r>
        <w:rPr>
          <w:rFonts w:ascii="Times New Roman" w:cs="Times New Roman" w:eastAsia="Times New Roman" w:hAnsi="Times New Roman"/>
          <w:sz w:val="21"/>
          <w:szCs w:val="21"/>
          <w:b w:val="1"/>
          <w:bCs w:val="1"/>
          <w:color w:val="auto"/>
        </w:rPr>
        <w:t>6.02 Certificates; Other Information</w:t>
      </w:r>
      <w:r>
        <w:rPr>
          <w:rFonts w:ascii="Times New Roman" w:cs="Times New Roman" w:eastAsia="Times New Roman" w:hAnsi="Times New Roman"/>
          <w:sz w:val="21"/>
          <w:szCs w:val="21"/>
          <w:color w:val="auto"/>
        </w:rPr>
        <w:t>. Deliver to the Administrative Agent and each Lender, in form and detail satisfactory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Administrative Agent and the Required Lenders:</w:t>
      </w:r>
    </w:p>
    <w:p>
      <w:pPr>
        <w:spacing w:after="0" w:line="147" w:lineRule="exact"/>
        <w:rPr>
          <w:sz w:val="20"/>
          <w:szCs w:val="20"/>
          <w:color w:val="auto"/>
        </w:rPr>
      </w:pPr>
    </w:p>
    <w:p>
      <w:pPr>
        <w:ind w:firstLine="1244"/>
        <w:spacing w:after="0" w:line="236" w:lineRule="auto"/>
        <w:tabs>
          <w:tab w:leader="none" w:pos="1701"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concurrently with the delivery of the financial statements referred to in </w:t>
      </w:r>
      <w:r>
        <w:rPr>
          <w:rFonts w:ascii="Times New Roman" w:cs="Times New Roman" w:eastAsia="Times New Roman" w:hAnsi="Times New Roman"/>
          <w:sz w:val="21"/>
          <w:szCs w:val="21"/>
          <w:u w:val="single" w:color="auto"/>
          <w:color w:val="auto"/>
        </w:rPr>
        <w:t>Sections 6.01(a)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a duly completed Compliance Certificate signed by a Responsible Officer of Toro;</w:t>
      </w:r>
    </w:p>
    <w:p>
      <w:pPr>
        <w:spacing w:after="0" w:line="145" w:lineRule="exact"/>
        <w:rPr>
          <w:rFonts w:ascii="Times New Roman" w:cs="Times New Roman" w:eastAsia="Times New Roman" w:hAnsi="Times New Roman"/>
          <w:sz w:val="21"/>
          <w:szCs w:val="21"/>
          <w:color w:val="auto"/>
        </w:rPr>
      </w:pPr>
    </w:p>
    <w:p>
      <w:pPr>
        <w:jc w:val="both"/>
        <w:ind w:firstLine="1244"/>
        <w:spacing w:after="0" w:line="225" w:lineRule="auto"/>
        <w:tabs>
          <w:tab w:leader="none" w:pos="1825"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any request by the Administrative Agent or any Lender, copies of any detailed audit reports, management letters or recommendations submitted to the board of directors (or the audit committee of the board of directors) of Toro by independent accountants in connection with the accounts or books of Toro or any Subsidiary, or any audit of any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w:t>
      </w:r>
    </w:p>
    <w:p>
      <w:pPr>
        <w:sectPr>
          <w:pgSz w:w="11900" w:h="16838" w:orient="portrait"/>
          <w:cols w:equalWidth="0" w:num="1">
            <w:col w:w="11240"/>
          </w:cols>
          <w:pgMar w:left="320" w:top="1329" w:right="339" w:bottom="1440" w:gutter="0" w:footer="0" w:header="0"/>
        </w:sectPr>
      </w:pPr>
    </w:p>
    <w:bookmarkStart w:id="159" w:name="page160"/>
    <w:bookmarkEnd w:id="159"/>
    <w:p>
      <w:pPr>
        <w:jc w:val="both"/>
        <w:ind w:firstLine="1244"/>
        <w:spacing w:after="0" w:line="220" w:lineRule="auto"/>
        <w:tabs>
          <w:tab w:leader="none" w:pos="1705"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 same are available, copies of each annual report, proxy or financial statement or other report or communication sent to the stockholders of Toro, and copies of all annual, regular, periodic and special reports and registration statements which Toro may file or be required to file with the SEC under Section 13 or 15(d) of the Exchange Act, and not otherwise required to be delivered to the Administrative Agent pursuant hereto;</w:t>
      </w:r>
    </w:p>
    <w:p>
      <w:pPr>
        <w:spacing w:after="0" w:line="148" w:lineRule="exact"/>
        <w:rPr>
          <w:rFonts w:ascii="Times New Roman" w:cs="Times New Roman" w:eastAsia="Times New Roman" w:hAnsi="Times New Roman"/>
          <w:sz w:val="21"/>
          <w:szCs w:val="21"/>
          <w:color w:val="auto"/>
        </w:rPr>
      </w:pPr>
    </w:p>
    <w:p>
      <w:pPr>
        <w:ind w:firstLine="1244"/>
        <w:spacing w:after="0" w:line="236" w:lineRule="auto"/>
        <w:tabs>
          <w:tab w:leader="none" w:pos="1802"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concurrently with the closing of a Receivables Purchase Facility, a copy of the documentation related thereto certified by a Responsible Officer as being true, correct and complete;</w:t>
      </w:r>
    </w:p>
    <w:p>
      <w:pPr>
        <w:spacing w:after="0" w:line="145" w:lineRule="exact"/>
        <w:rPr>
          <w:rFonts w:ascii="Times New Roman" w:cs="Times New Roman" w:eastAsia="Times New Roman" w:hAnsi="Times New Roman"/>
          <w:sz w:val="21"/>
          <w:szCs w:val="21"/>
          <w:color w:val="auto"/>
        </w:rPr>
      </w:pPr>
    </w:p>
    <w:p>
      <w:pPr>
        <w:jc w:val="both"/>
        <w:ind w:firstLine="1244"/>
        <w:spacing w:after="0" w:line="217" w:lineRule="auto"/>
        <w:tabs>
          <w:tab w:leader="none" w:pos="1708"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it is not precluded from doing so by the rules of the SEC or other comparable agency, promptly, and in any event within five Business Days after receipt thereof by any Loan Party or any Subsidiary thereof, copies of each notice or other correspondence, other than routine comments on filed documents, received from the SEC (or comparable agency in any applicable non-U.S. jurisdiction) concerning any investigation (whether formal or informal) by such agency regarding financial or other operational results of any Loan Party or any Subsidiary thereof;</w:t>
      </w:r>
    </w:p>
    <w:p>
      <w:pPr>
        <w:spacing w:after="0" w:line="148" w:lineRule="exact"/>
        <w:rPr>
          <w:rFonts w:ascii="Times New Roman" w:cs="Times New Roman" w:eastAsia="Times New Roman" w:hAnsi="Times New Roman"/>
          <w:sz w:val="21"/>
          <w:szCs w:val="21"/>
          <w:color w:val="auto"/>
        </w:rPr>
      </w:pPr>
    </w:p>
    <w:p>
      <w:pPr>
        <w:jc w:val="both"/>
        <w:ind w:firstLine="1244"/>
        <w:spacing w:after="0" w:line="225" w:lineRule="auto"/>
        <w:tabs>
          <w:tab w:leader="none" w:pos="1974"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following any request therefor, information and documentation reasonably requested by the Administrative Agent or any Lender for purposes of compliance with applicable “know your customer” requirements under the Act, the Beneficial Ownership Regulation or other applicable anti- money laundering laws; and</w:t>
      </w:r>
    </w:p>
    <w:p>
      <w:pPr>
        <w:spacing w:after="0" w:line="147" w:lineRule="exact"/>
        <w:rPr>
          <w:rFonts w:ascii="Times New Roman" w:cs="Times New Roman" w:eastAsia="Times New Roman" w:hAnsi="Times New Roman"/>
          <w:sz w:val="21"/>
          <w:szCs w:val="21"/>
          <w:color w:val="auto"/>
        </w:rPr>
      </w:pPr>
    </w:p>
    <w:p>
      <w:pPr>
        <w:jc w:val="both"/>
        <w:ind w:firstLine="1244"/>
        <w:spacing w:after="0" w:line="225" w:lineRule="auto"/>
        <w:tabs>
          <w:tab w:leader="none" w:pos="1869" w:val="left"/>
        </w:tabs>
        <w:numPr>
          <w:ilvl w:val="0"/>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such additional information regarding the business, financial or corporate affairs of Toro or any Subsidiary, or compliance with the terms of the Loan Documents, as the Administrative Agent or any Lender may from time to time reasonably request.</w:t>
      </w:r>
    </w:p>
    <w:p>
      <w:pPr>
        <w:spacing w:after="0" w:line="148" w:lineRule="exact"/>
        <w:rPr>
          <w:sz w:val="20"/>
          <w:szCs w:val="20"/>
          <w:color w:val="auto"/>
        </w:rPr>
      </w:pPr>
    </w:p>
    <w:p>
      <w:pPr>
        <w:jc w:val="both"/>
        <w:ind w:firstLine="620"/>
        <w:spacing w:after="0" w:line="222"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xml:space="preserve">b) or </w:t>
      </w:r>
      <w:r>
        <w:rPr>
          <w:rFonts w:ascii="Times New Roman" w:cs="Times New Roman" w:eastAsia="Times New Roman" w:hAnsi="Times New Roman"/>
          <w:sz w:val="20"/>
          <w:szCs w:val="20"/>
          <w:u w:val="single" w:color="auto"/>
          <w:color w:val="auto"/>
        </w:rPr>
        <w:t>Section 6.02(c)</w:t>
      </w:r>
      <w:r>
        <w:rPr>
          <w:rFonts w:ascii="Times New Roman" w:cs="Times New Roman" w:eastAsia="Times New Roman" w:hAnsi="Times New Roman"/>
          <w:sz w:val="20"/>
          <w:szCs w:val="20"/>
          <w:color w:val="auto"/>
        </w:rPr>
        <w:t xml:space="preserve"> (to the extent any such documents are included in materials otherwise filed with the SEC) may be delivered electronically and if so delivered, shall be deemed to have been delivered on the date (i) on which Toro posts such documents, or provides a link thereto on Toro’s website on the Internet at the website address listed on </w:t>
      </w:r>
      <w:r>
        <w:rPr>
          <w:rFonts w:ascii="Times New Roman" w:cs="Times New Roman" w:eastAsia="Times New Roman" w:hAnsi="Times New Roman"/>
          <w:sz w:val="20"/>
          <w:szCs w:val="20"/>
          <w:u w:val="single" w:color="auto"/>
          <w:color w:val="auto"/>
        </w:rPr>
        <w:t>Schedule 11.02</w:t>
      </w:r>
      <w:r>
        <w:rPr>
          <w:rFonts w:ascii="Times New Roman" w:cs="Times New Roman" w:eastAsia="Times New Roman" w:hAnsi="Times New Roman"/>
          <w:sz w:val="20"/>
          <w:szCs w:val="20"/>
          <w:color w:val="auto"/>
        </w:rPr>
        <w:t xml:space="preserve">; or (ii) on which such documents are posted on Toro’s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Toro shall deliver paper copies of such documents to the Administrative Agent or any Lender that requests Toro to deliver such paper copies until a written request to cease delivering paper copies is given by the Administrative Agent or such Lender. The Administrative Agent shall have no obligation to request the delivery or to maintain copies of the documents referred to above, and in any event shall have no responsibility to monitor compliance by Toro with any such request for delivery, and each Lender shall be solely responsible for requesting delivery to it or maintaining its copies of such documents.</w:t>
      </w:r>
    </w:p>
    <w:p>
      <w:pPr>
        <w:spacing w:after="0" w:line="147" w:lineRule="exact"/>
        <w:rPr>
          <w:sz w:val="20"/>
          <w:szCs w:val="20"/>
          <w:color w:val="auto"/>
        </w:rPr>
      </w:pPr>
    </w:p>
    <w:p>
      <w:pPr>
        <w:jc w:val="both"/>
        <w:ind w:firstLine="620"/>
        <w:spacing w:after="0" w:line="219" w:lineRule="auto"/>
        <w:rPr>
          <w:sz w:val="20"/>
          <w:szCs w:val="20"/>
          <w:color w:val="auto"/>
        </w:rPr>
      </w:pPr>
      <w:r>
        <w:rPr>
          <w:rFonts w:ascii="Times New Roman" w:cs="Times New Roman" w:eastAsia="Times New Roman" w:hAnsi="Times New Roman"/>
          <w:sz w:val="20"/>
          <w:szCs w:val="20"/>
          <w:color w:val="auto"/>
        </w:rPr>
        <w:t>Each Borrower hereby acknowledges that (a) the Administrative Agent and/or the Arrangers will make available to the Lenders and the L/C Issuer materials and/or information provided by or on behalf of the Borrowers hereunder (collectively,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Materials</w:t>
      </w:r>
      <w:r>
        <w:rPr>
          <w:rFonts w:ascii="Times New Roman" w:cs="Times New Roman" w:eastAsia="Times New Roman" w:hAnsi="Times New Roman"/>
          <w:sz w:val="20"/>
          <w:szCs w:val="20"/>
          <w:color w:val="auto"/>
        </w:rPr>
        <w:t>”) by posting the Borrower Materials on IntraLinks, Syndtrak or another similar electronic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 (b) certain of the Lenders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w:t>
      </w:r>
    </w:p>
    <w:p>
      <w:pPr>
        <w:spacing w:after="0" w:line="3" w:lineRule="exact"/>
        <w:rPr>
          <w:sz w:val="20"/>
          <w:szCs w:val="20"/>
          <w:color w:val="auto"/>
        </w:rPr>
      </w:pPr>
    </w:p>
    <w:p>
      <w:pPr>
        <w:ind w:firstLine="3"/>
        <w:spacing w:after="0" w:line="225" w:lineRule="auto"/>
        <w:tabs>
          <w:tab w:leader="none" w:pos="368"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Borrower Materials that are to be made available to Public Lenders shall be clearly and conspicuously marked “PUBLIC” which, at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w:t>
      </w:r>
    </w:p>
    <w:p>
      <w:pPr>
        <w:sectPr>
          <w:pgSz w:w="11900" w:h="16838" w:orient="portrait"/>
          <w:cols w:equalWidth="0" w:num="1">
            <w:col w:w="11240"/>
          </w:cols>
          <w:pgMar w:left="320" w:top="1342" w:right="339" w:bottom="1440" w:gutter="0" w:footer="0" w:header="0"/>
        </w:sectPr>
      </w:pPr>
    </w:p>
    <w:bookmarkStart w:id="160" w:name="page161"/>
    <w:bookmarkEnd w:id="160"/>
    <w:p>
      <w:pPr>
        <w:jc w:val="both"/>
        <w:spacing w:after="0" w:line="213" w:lineRule="auto"/>
        <w:rPr>
          <w:sz w:val="20"/>
          <w:szCs w:val="20"/>
          <w:color w:val="auto"/>
        </w:rPr>
      </w:pPr>
      <w:r>
        <w:rPr>
          <w:rFonts w:ascii="Times New Roman" w:cs="Times New Roman" w:eastAsia="Times New Roman" w:hAnsi="Times New Roman"/>
          <w:sz w:val="21"/>
          <w:szCs w:val="21"/>
          <w:color w:val="auto"/>
        </w:rPr>
        <w:t>minimum, shall mean that the word “PUBLIC” shall appear prominently on the first page thereof; (x) by marking Borrower Materials “PUBLIC”, such Borrower shall be deemed to have authorized the Administrative Agent, the Arrangers, the L/C Issuer and the Lenders to treat such Borrower Materials as not containing any material non-public information with respect to such Borrower or its securities for purposes of United States Federal and state securities laws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however, that to the extent such Borrower Materials constitute Information, they shall be treated as set forth in </w:t>
      </w:r>
      <w:r>
        <w:rPr>
          <w:rFonts w:ascii="Times New Roman" w:cs="Times New Roman" w:eastAsia="Times New Roman" w:hAnsi="Times New Roman"/>
          <w:sz w:val="21"/>
          <w:szCs w:val="21"/>
          <w:u w:val="single" w:color="auto"/>
          <w:color w:val="auto"/>
        </w:rPr>
        <w:t>Section 11.07</w:t>
      </w:r>
      <w:r>
        <w:rPr>
          <w:rFonts w:ascii="Times New Roman" w:cs="Times New Roman" w:eastAsia="Times New Roman" w:hAnsi="Times New Roman"/>
          <w:sz w:val="21"/>
          <w:szCs w:val="21"/>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w:t>
      </w:r>
      <w:r>
        <w:rPr>
          <w:rFonts w:ascii="Times New Roman" w:cs="Times New Roman" w:eastAsia="Times New Roman" w:hAnsi="Times New Roman"/>
          <w:sz w:val="21"/>
          <w:szCs w:val="21"/>
          <w:u w:val="single" w:color="auto"/>
          <w:color w:val="auto"/>
        </w:rPr>
        <w:t>Public Side Information</w:t>
      </w:r>
      <w:r>
        <w:rPr>
          <w:rFonts w:ascii="Times New Roman" w:cs="Times New Roman" w:eastAsia="Times New Roman" w:hAnsi="Times New Roman"/>
          <w:sz w:val="21"/>
          <w:szCs w:val="21"/>
          <w:color w:val="auto"/>
        </w:rPr>
        <w:t>”.</w:t>
      </w:r>
    </w:p>
    <w:p>
      <w:pPr>
        <w:spacing w:after="0" w:line="142"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6.03</w:t>
      </w:r>
      <w:r>
        <w:rPr>
          <w:sz w:val="20"/>
          <w:szCs w:val="20"/>
          <w:color w:val="auto"/>
        </w:rPr>
        <w:tab/>
      </w: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Promptly notify the Administrative Agent and each Lender:</w:t>
      </w:r>
    </w:p>
    <w:p>
      <w:pPr>
        <w:spacing w:after="0" w:line="176" w:lineRule="exact"/>
        <w:rPr>
          <w:sz w:val="20"/>
          <w:szCs w:val="20"/>
          <w:color w:val="auto"/>
        </w:rPr>
      </w:pPr>
    </w:p>
    <w:p>
      <w:pPr>
        <w:ind w:firstLine="1244"/>
        <w:spacing w:after="0" w:line="236" w:lineRule="auto"/>
        <w:tabs>
          <w:tab w:leader="none" w:pos="1850"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occurrence of any Default or Event of Default, and of the occurrence or existence of any event or circumstance that foreseeably will become a Default or Event of Default;</w:t>
      </w:r>
    </w:p>
    <w:p>
      <w:pPr>
        <w:spacing w:after="0" w:line="145" w:lineRule="exact"/>
        <w:rPr>
          <w:rFonts w:ascii="Times New Roman" w:cs="Times New Roman" w:eastAsia="Times New Roman" w:hAnsi="Times New Roman"/>
          <w:sz w:val="21"/>
          <w:szCs w:val="21"/>
          <w:color w:val="auto"/>
        </w:rPr>
      </w:pPr>
    </w:p>
    <w:p>
      <w:pPr>
        <w:jc w:val="both"/>
        <w:ind w:firstLine="1244"/>
        <w:spacing w:after="0" w:line="213" w:lineRule="auto"/>
        <w:tabs>
          <w:tab w:leader="none" w:pos="1702"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of any matter that has resulted or could reasonably be expected to result in a Material Adverse Effect, including (i) breach or non-performance of, or any default under, a Contractual Obligation of any Borrower or any Subsidiary; (ii) any dispute, litigation, investigation, proceeding or suspension between any Borrower or any Subsidiary and any Governmental Authority; or (iii) the commencement of, or any material development in, any litigation or proceeding affecting any Borrower or any Subsidiary, including pursuant to any applicable Environmental Laws in each case under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above, which (A) is reasonably likely to create liability to any Borrower in excess of $75,000,000 in any individual circumstance or in excess of $125,000,000 in the aggregate for all such circumstances, or (B) is otherwise reasonably likely to have a Material Adverse Effect and (iv) other matter that has resulted or is reasonably likely to result in a Material Adverse Effect;</w:t>
      </w:r>
    </w:p>
    <w:p>
      <w:pPr>
        <w:spacing w:after="0" w:line="146" w:lineRule="exact"/>
        <w:rPr>
          <w:rFonts w:ascii="Times New Roman" w:cs="Times New Roman" w:eastAsia="Times New Roman" w:hAnsi="Times New Roman"/>
          <w:sz w:val="21"/>
          <w:szCs w:val="21"/>
          <w:color w:val="auto"/>
        </w:rPr>
      </w:pPr>
    </w:p>
    <w:p>
      <w:pPr>
        <w:jc w:val="both"/>
        <w:ind w:firstLine="1244"/>
        <w:spacing w:after="0" w:line="220" w:lineRule="auto"/>
        <w:tabs>
          <w:tab w:leader="none" w:pos="1726"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occurrence of any of the following events affecting any Borrower or any ERISA Affiliate (but in no event more than 10 days after such event), and deliver to the Administrative Agent and each Lender a copy of any notice with respect to such event that is filed with a Governmental Authority and any notice delivered by a Governmental Authority to any of the Borrowers or any ERISA Affiliate with respect to such event:</w:t>
      </w:r>
    </w:p>
    <w:p>
      <w:pPr>
        <w:spacing w:after="0" w:line="148" w:lineRule="exact"/>
        <w:rPr>
          <w:rFonts w:ascii="Times New Roman" w:cs="Times New Roman" w:eastAsia="Times New Roman" w:hAnsi="Times New Roman"/>
          <w:sz w:val="21"/>
          <w:szCs w:val="21"/>
          <w:color w:val="auto"/>
        </w:rPr>
      </w:pPr>
    </w:p>
    <w:p>
      <w:pPr>
        <w:ind w:left="2260" w:hanging="396"/>
        <w:spacing w:after="0"/>
        <w:tabs>
          <w:tab w:leader="none" w:pos="226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ERISA Event;</w:t>
      </w:r>
    </w:p>
    <w:p>
      <w:pPr>
        <w:spacing w:after="0" w:line="171" w:lineRule="exact"/>
        <w:rPr>
          <w:rFonts w:ascii="Times New Roman" w:cs="Times New Roman" w:eastAsia="Times New Roman" w:hAnsi="Times New Roman"/>
          <w:sz w:val="21"/>
          <w:szCs w:val="21"/>
          <w:color w:val="auto"/>
        </w:rPr>
      </w:pPr>
    </w:p>
    <w:p>
      <w:pPr>
        <w:ind w:left="2320" w:hanging="456"/>
        <w:spacing w:after="0"/>
        <w:tabs>
          <w:tab w:leader="none" w:pos="2320"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increase in the Unfunded Pension Liability of any Pension Plan;</w:t>
      </w:r>
    </w:p>
    <w:p>
      <w:pPr>
        <w:spacing w:after="0" w:line="171" w:lineRule="exact"/>
        <w:rPr>
          <w:rFonts w:ascii="Times New Roman" w:cs="Times New Roman" w:eastAsia="Times New Roman" w:hAnsi="Times New Roman"/>
          <w:sz w:val="21"/>
          <w:szCs w:val="21"/>
          <w:color w:val="auto"/>
        </w:rPr>
      </w:pPr>
    </w:p>
    <w:p>
      <w:pPr>
        <w:ind w:firstLine="1864"/>
        <w:spacing w:after="0" w:line="236" w:lineRule="auto"/>
        <w:tabs>
          <w:tab w:leader="none" w:pos="2396"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adoption of, or the commencement of contributions to, any Plan subject to Section 412 of the Code by any Borrower or any ERISA Affiliate; or</w:t>
      </w:r>
    </w:p>
    <w:p>
      <w:pPr>
        <w:spacing w:after="0" w:line="145" w:lineRule="exact"/>
        <w:rPr>
          <w:rFonts w:ascii="Times New Roman" w:cs="Times New Roman" w:eastAsia="Times New Roman" w:hAnsi="Times New Roman"/>
          <w:sz w:val="21"/>
          <w:szCs w:val="21"/>
          <w:color w:val="auto"/>
        </w:rPr>
      </w:pPr>
    </w:p>
    <w:p>
      <w:pPr>
        <w:ind w:firstLine="1864"/>
        <w:spacing w:after="0" w:line="236" w:lineRule="auto"/>
        <w:tabs>
          <w:tab w:leader="none" w:pos="2382" w:val="left"/>
        </w:tabs>
        <w:numPr>
          <w:ilvl w:val="1"/>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adoption of any amendment to a Plan subject to Section 412 of the Code, if such amendment results in a material increase in contributions or Unfunded Pension Liability;</w:t>
      </w:r>
    </w:p>
    <w:p>
      <w:pPr>
        <w:spacing w:after="0" w:line="145" w:lineRule="exact"/>
        <w:rPr>
          <w:rFonts w:ascii="Times New Roman" w:cs="Times New Roman" w:eastAsia="Times New Roman" w:hAnsi="Times New Roman"/>
          <w:sz w:val="21"/>
          <w:szCs w:val="21"/>
          <w:color w:val="auto"/>
        </w:rPr>
      </w:pPr>
    </w:p>
    <w:p>
      <w:pPr>
        <w:jc w:val="both"/>
        <w:ind w:firstLine="1244"/>
        <w:spacing w:after="0" w:line="225" w:lineRule="auto"/>
        <w:tabs>
          <w:tab w:leader="none" w:pos="1779"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of any material change in accounting policies or financial reporting practices by the Borrowers or any of their consolidated Subsidiaries not reflected in periodic reports filed by Toro with the SEC, including any determination by the Borrowers referred to in </w:t>
      </w:r>
      <w:r>
        <w:rPr>
          <w:rFonts w:ascii="Times New Roman" w:cs="Times New Roman" w:eastAsia="Times New Roman" w:hAnsi="Times New Roman"/>
          <w:sz w:val="21"/>
          <w:szCs w:val="21"/>
          <w:u w:val="single" w:color="auto"/>
          <w:color w:val="auto"/>
        </w:rPr>
        <w:t>Section 2.10(b)</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91</w:t>
      </w:r>
    </w:p>
    <w:p>
      <w:pPr>
        <w:sectPr>
          <w:pgSz w:w="11900" w:h="16838" w:orient="portrait"/>
          <w:cols w:equalWidth="0" w:num="1">
            <w:col w:w="11240"/>
          </w:cols>
          <w:pgMar w:left="320" w:top="1342" w:right="339" w:bottom="1440" w:gutter="0" w:footer="0" w:header="0"/>
        </w:sectPr>
      </w:pPr>
    </w:p>
    <w:bookmarkStart w:id="161" w:name="page162"/>
    <w:bookmarkEnd w:id="161"/>
    <w:p>
      <w:pPr>
        <w:ind w:left="1680" w:hanging="436"/>
        <w:spacing w:after="0"/>
        <w:tabs>
          <w:tab w:leader="none" w:pos="1680"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any announcement by Moody’s or S&amp;P of any change in a Debt Rating; and</w:t>
      </w:r>
    </w:p>
    <w:p>
      <w:pPr>
        <w:spacing w:after="0" w:line="171" w:lineRule="exact"/>
        <w:rPr>
          <w:rFonts w:ascii="Times New Roman" w:cs="Times New Roman" w:eastAsia="Times New Roman" w:hAnsi="Times New Roman"/>
          <w:sz w:val="21"/>
          <w:szCs w:val="21"/>
          <w:color w:val="auto"/>
        </w:rPr>
      </w:pPr>
    </w:p>
    <w:p>
      <w:pPr>
        <w:ind w:firstLine="1244"/>
        <w:spacing w:after="0" w:line="236" w:lineRule="auto"/>
        <w:tabs>
          <w:tab w:leader="none" w:pos="1688"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any change in the information provided in the Beneficial Ownership Certification that would result in a change to the list of beneficial owners identified in such certification.</w:t>
      </w:r>
    </w:p>
    <w:p>
      <w:pPr>
        <w:spacing w:after="0" w:line="145"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 xml:space="preserve">Each notice pursuant to this </w:t>
      </w:r>
      <w:r>
        <w:rPr>
          <w:rFonts w:ascii="Times New Roman" w:cs="Times New Roman" w:eastAsia="Times New Roman" w:hAnsi="Times New Roman"/>
          <w:sz w:val="21"/>
          <w:szCs w:val="21"/>
          <w:u w:val="single" w:color="auto"/>
          <w:color w:val="auto"/>
        </w:rPr>
        <w:t>Section 6.03</w:t>
      </w:r>
      <w:r>
        <w:rPr>
          <w:rFonts w:ascii="Times New Roman" w:cs="Times New Roman" w:eastAsia="Times New Roman" w:hAnsi="Times New Roman"/>
          <w:sz w:val="21"/>
          <w:szCs w:val="21"/>
          <w:color w:val="auto"/>
        </w:rPr>
        <w:t xml:space="preserve"> (other than </w:t>
      </w:r>
      <w:r>
        <w:rPr>
          <w:rFonts w:ascii="Times New Roman" w:cs="Times New Roman" w:eastAsia="Times New Roman" w:hAnsi="Times New Roman"/>
          <w:sz w:val="21"/>
          <w:szCs w:val="21"/>
          <w:u w:val="single" w:color="auto"/>
          <w:color w:val="auto"/>
        </w:rPr>
        <w:t>Section 6.03(e)</w:t>
      </w:r>
      <w:r>
        <w:rPr>
          <w:rFonts w:ascii="Times New Roman" w:cs="Times New Roman" w:eastAsia="Times New Roman" w:hAnsi="Times New Roman"/>
          <w:sz w:val="21"/>
          <w:szCs w:val="21"/>
          <w:color w:val="auto"/>
        </w:rPr>
        <w:t xml:space="preserve">) shall be accompanied by a statement of a Responsible Officer of Toro setting forth details of the occurrence referred to therein and stating what action the applicable Borrower has taken and proposes to take with respect thereto. Each notice pursuant to </w:t>
      </w:r>
      <w:r>
        <w:rPr>
          <w:rFonts w:ascii="Times New Roman" w:cs="Times New Roman" w:eastAsia="Times New Roman" w:hAnsi="Times New Roman"/>
          <w:sz w:val="21"/>
          <w:szCs w:val="21"/>
          <w:u w:val="single" w:color="auto"/>
          <w:color w:val="auto"/>
        </w:rPr>
        <w:t>Section 6.03(a)</w:t>
      </w:r>
      <w:r>
        <w:rPr>
          <w:rFonts w:ascii="Times New Roman" w:cs="Times New Roman" w:eastAsia="Times New Roman" w:hAnsi="Times New Roman"/>
          <w:sz w:val="21"/>
          <w:szCs w:val="21"/>
          <w:color w:val="auto"/>
        </w:rPr>
        <w:t xml:space="preserve"> shall describe with particularity any and all provisions of this Agreement and any other Loan Document that have been or foreseeably will be breached or violated.</w:t>
      </w:r>
    </w:p>
    <w:p>
      <w:pPr>
        <w:spacing w:after="0" w:line="144" w:lineRule="exact"/>
        <w:rPr>
          <w:sz w:val="20"/>
          <w:szCs w:val="20"/>
          <w:color w:val="auto"/>
        </w:rPr>
      </w:pPr>
    </w:p>
    <w:p>
      <w:pPr>
        <w:jc w:val="both"/>
        <w:ind w:firstLine="620"/>
        <w:spacing w:after="0" w:line="221" w:lineRule="auto"/>
        <w:rPr>
          <w:sz w:val="20"/>
          <w:szCs w:val="20"/>
          <w:color w:val="auto"/>
        </w:rPr>
      </w:pPr>
      <w:r>
        <w:rPr>
          <w:rFonts w:ascii="Times New Roman" w:cs="Times New Roman" w:eastAsia="Times New Roman" w:hAnsi="Times New Roman"/>
          <w:sz w:val="21"/>
          <w:szCs w:val="21"/>
          <w:b w:val="1"/>
          <w:bCs w:val="1"/>
          <w:color w:val="auto"/>
        </w:rPr>
        <w:t>6.04 Anti-Corruption Laws; Sanctions</w:t>
      </w:r>
      <w:r>
        <w:rPr>
          <w:rFonts w:ascii="Times New Roman" w:cs="Times New Roman" w:eastAsia="Times New Roman" w:hAnsi="Times New Roman"/>
          <w:sz w:val="21"/>
          <w:szCs w:val="21"/>
          <w:color w:val="auto"/>
        </w:rPr>
        <w:t>. Use reasonable efforts to conduct its business in compliance with the United States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144" w:lineRule="exact"/>
        <w:rPr>
          <w:sz w:val="20"/>
          <w:szCs w:val="20"/>
          <w:color w:val="auto"/>
        </w:rPr>
      </w:pPr>
    </w:p>
    <w:p>
      <w:pPr>
        <w:jc w:val="both"/>
        <w:ind w:firstLine="620"/>
        <w:spacing w:after="0" w:line="213" w:lineRule="auto"/>
        <w:rPr>
          <w:sz w:val="20"/>
          <w:szCs w:val="20"/>
          <w:color w:val="auto"/>
        </w:rPr>
      </w:pPr>
      <w:r>
        <w:rPr>
          <w:rFonts w:ascii="Times New Roman" w:cs="Times New Roman" w:eastAsia="Times New Roman" w:hAnsi="Times New Roman"/>
          <w:sz w:val="21"/>
          <w:szCs w:val="21"/>
          <w:b w:val="1"/>
          <w:bCs w:val="1"/>
          <w:color w:val="auto"/>
        </w:rPr>
        <w:t>6.05 Preservation of Existence, Etc</w:t>
      </w:r>
      <w:r>
        <w:rPr>
          <w:rFonts w:ascii="Times New Roman" w:cs="Times New Roman" w:eastAsia="Times New Roman" w:hAnsi="Times New Roman"/>
          <w:sz w:val="21"/>
          <w:szCs w:val="21"/>
          <w:color w:val="auto"/>
        </w:rPr>
        <w:t>(a) . (a) Preserve, renew and maintain in full force and effect its legal existence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good standing under the Laws of the jurisdiction of its organization except in a transaction permitted by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7.03</w:t>
      </w:r>
      <w:r>
        <w:rPr>
          <w:rFonts w:ascii="Times New Roman" w:cs="Times New Roman" w:eastAsia="Times New Roman" w:hAnsi="Times New Roman"/>
          <w:sz w:val="21"/>
          <w:szCs w:val="21"/>
          <w:color w:val="auto"/>
        </w:rPr>
        <w:t xml:space="preserve">;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notwithstanding any of the foregoing, Toro shall be permitted to liquidate any Subsidiary into Toro or another Subsidiary in accordance with </w:t>
      </w:r>
      <w:r>
        <w:rPr>
          <w:rFonts w:ascii="Times New Roman" w:cs="Times New Roman" w:eastAsia="Times New Roman" w:hAnsi="Times New Roman"/>
          <w:sz w:val="21"/>
          <w:szCs w:val="21"/>
          <w:u w:val="single" w:color="auto"/>
          <w:color w:val="auto"/>
        </w:rPr>
        <w:t>Section 7.03</w:t>
      </w:r>
      <w:r>
        <w:rPr>
          <w:rFonts w:ascii="Times New Roman" w:cs="Times New Roman" w:eastAsia="Times New Roman" w:hAnsi="Times New Roman"/>
          <w:sz w:val="21"/>
          <w:szCs w:val="21"/>
          <w:color w:val="auto"/>
        </w:rPr>
        <w:t xml:space="preserve"> and thereafter dissolve such Subsidiary.</w:t>
      </w:r>
    </w:p>
    <w:p>
      <w:pPr>
        <w:spacing w:after="0" w:line="146" w:lineRule="exact"/>
        <w:rPr>
          <w:sz w:val="20"/>
          <w:szCs w:val="20"/>
          <w:color w:val="auto"/>
        </w:rPr>
      </w:pPr>
    </w:p>
    <w:p>
      <w:pPr>
        <w:jc w:val="both"/>
        <w:ind w:firstLine="620"/>
        <w:spacing w:after="0" w:line="221" w:lineRule="auto"/>
        <w:rPr>
          <w:sz w:val="20"/>
          <w:szCs w:val="20"/>
          <w:color w:val="auto"/>
        </w:rPr>
      </w:pPr>
      <w:r>
        <w:rPr>
          <w:rFonts w:ascii="Times New Roman" w:cs="Times New Roman" w:eastAsia="Times New Roman" w:hAnsi="Times New Roman"/>
          <w:sz w:val="21"/>
          <w:szCs w:val="21"/>
          <w:b w:val="1"/>
          <w:bCs w:val="1"/>
          <w:color w:val="auto"/>
        </w:rPr>
        <w:t>6.06 Maintenance of Properties</w:t>
      </w:r>
      <w:r>
        <w:rPr>
          <w:rFonts w:ascii="Times New Roman" w:cs="Times New Roman" w:eastAsia="Times New Roman" w:hAnsi="Times New Roman"/>
          <w:sz w:val="21"/>
          <w:szCs w:val="21"/>
          <w:color w:val="auto"/>
        </w:rPr>
        <w:t>. Exercise its best business judgment to maintain and preserve all its property which is used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or useful in its business in good working order and condition, ordinary wear and tear excepted;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nothing in this </w:t>
      </w:r>
      <w:r>
        <w:rPr>
          <w:rFonts w:ascii="Times New Roman" w:cs="Times New Roman" w:eastAsia="Times New Roman" w:hAnsi="Times New Roman"/>
          <w:sz w:val="21"/>
          <w:szCs w:val="21"/>
          <w:u w:val="single" w:color="auto"/>
          <w:color w:val="auto"/>
        </w:rPr>
        <w:t>Section 6.06</w:t>
      </w:r>
      <w:r>
        <w:rPr>
          <w:rFonts w:ascii="Times New Roman" w:cs="Times New Roman" w:eastAsia="Times New Roman" w:hAnsi="Times New Roman"/>
          <w:sz w:val="21"/>
          <w:szCs w:val="21"/>
          <w:color w:val="auto"/>
        </w:rPr>
        <w:t xml:space="preserve"> shall prevent any Borrower or Subsidiary from discontinuing the operation or maintenance of any such property if such discontinuance will not result in a Material Adverse Effect.</w:t>
      </w:r>
    </w:p>
    <w:p>
      <w:pPr>
        <w:spacing w:after="0" w:line="144" w:lineRule="exact"/>
        <w:rPr>
          <w:sz w:val="20"/>
          <w:szCs w:val="20"/>
          <w:color w:val="auto"/>
        </w:rPr>
      </w:pPr>
    </w:p>
    <w:p>
      <w:pPr>
        <w:jc w:val="both"/>
        <w:ind w:firstLine="620"/>
        <w:spacing w:after="0" w:line="216" w:lineRule="auto"/>
        <w:rPr>
          <w:sz w:val="20"/>
          <w:szCs w:val="20"/>
          <w:color w:val="auto"/>
        </w:rPr>
      </w:pPr>
      <w:r>
        <w:rPr>
          <w:rFonts w:ascii="Times New Roman" w:cs="Times New Roman" w:eastAsia="Times New Roman" w:hAnsi="Times New Roman"/>
          <w:sz w:val="21"/>
          <w:szCs w:val="21"/>
          <w:b w:val="1"/>
          <w:bCs w:val="1"/>
          <w:color w:val="auto"/>
        </w:rPr>
        <w:t xml:space="preserve">6.07 </w:t>
      </w:r>
      <w:r>
        <w:rPr>
          <w:rFonts w:ascii="Times New Roman" w:cs="Times New Roman" w:eastAsia="Times New Roman" w:hAnsi="Times New Roman"/>
          <w:sz w:val="21"/>
          <w:szCs w:val="21"/>
          <w:u w:val="single" w:color="auto"/>
          <w:color w:val="auto"/>
        </w:rPr>
        <w:t>Maintenance of Insurance</w:t>
      </w:r>
      <w:r>
        <w:rPr>
          <w:rFonts w:ascii="Times New Roman" w:cs="Times New Roman" w:eastAsia="Times New Roman" w:hAnsi="Times New Roman"/>
          <w:sz w:val="21"/>
          <w:szCs w:val="21"/>
          <w:color w:val="auto"/>
        </w:rPr>
        <w:t>. Maintain with financially sound and reputable insurers, insurance with respect to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properties and business against loss or damage of the kinds customarily insured against by Persons engaged in the same or similar business, of such types and in such amounts as are customarily carried under similar circumstances by such other Persons;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nothing in this </w:t>
      </w:r>
      <w:r>
        <w:rPr>
          <w:rFonts w:ascii="Times New Roman" w:cs="Times New Roman" w:eastAsia="Times New Roman" w:hAnsi="Times New Roman"/>
          <w:sz w:val="21"/>
          <w:szCs w:val="21"/>
          <w:u w:val="single" w:color="auto"/>
          <w:color w:val="auto"/>
        </w:rPr>
        <w:t>Section 6.07</w:t>
      </w:r>
      <w:r>
        <w:rPr>
          <w:rFonts w:ascii="Times New Roman" w:cs="Times New Roman" w:eastAsia="Times New Roman" w:hAnsi="Times New Roman"/>
          <w:sz w:val="21"/>
          <w:szCs w:val="21"/>
          <w:color w:val="auto"/>
        </w:rPr>
        <w:t xml:space="preserve"> shall be deemed to prevent the Borrowers or their Subsidiaries from self- insuring or insuring through a captive insurance subsidiary such risks as are customarily self-insured or insured through captive insurance subsidiaries by other corporations in the same business and similarly situated in accordance with sound business practices.</w:t>
      </w:r>
    </w:p>
    <w:p>
      <w:pPr>
        <w:spacing w:after="0" w:line="143"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21"/>
          <w:szCs w:val="21"/>
          <w:b w:val="1"/>
          <w:bCs w:val="1"/>
          <w:color w:val="auto"/>
        </w:rPr>
        <w:t xml:space="preserve">6.08 </w:t>
      </w:r>
      <w:r>
        <w:rPr>
          <w:rFonts w:ascii="Times New Roman" w:cs="Times New Roman" w:eastAsia="Times New Roman" w:hAnsi="Times New Roman"/>
          <w:sz w:val="21"/>
          <w:szCs w:val="21"/>
          <w:u w:val="single" w:color="auto"/>
          <w:color w:val="auto"/>
        </w:rPr>
        <w:t>Compliance with Laws and Contractual Obligations</w:t>
      </w:r>
      <w:r>
        <w:rPr>
          <w:rFonts w:ascii="Times New Roman" w:cs="Times New Roman" w:eastAsia="Times New Roman" w:hAnsi="Times New Roman"/>
          <w:sz w:val="21"/>
          <w:szCs w:val="21"/>
          <w:color w:val="auto"/>
        </w:rPr>
        <w:t>. Comply, and cause each Subsidiary to comply, with all Contractual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and requirements of Law of any Governmental Authority having jurisdiction over it or its business including, without limitation, all Environmental Laws except to the extent that the failure to so comply may not have a Material Adverse Effect and paying before the same become delinquent, all taxes, assessments and government charges imposed upon it or upon its property, income or assets, except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92</w:t>
      </w:r>
    </w:p>
    <w:p>
      <w:pPr>
        <w:sectPr>
          <w:pgSz w:w="11900" w:h="16838" w:orient="portrait"/>
          <w:cols w:equalWidth="0" w:num="1">
            <w:col w:w="11240"/>
          </w:cols>
          <w:pgMar w:left="320" w:top="1342" w:right="339" w:bottom="1440" w:gutter="0" w:footer="0" w:header="0"/>
        </w:sectPr>
      </w:pPr>
    </w:p>
    <w:bookmarkStart w:id="162" w:name="page163"/>
    <w:bookmarkEnd w:id="162"/>
    <w:p>
      <w:pPr>
        <w:jc w:val="both"/>
        <w:spacing w:after="0" w:line="236" w:lineRule="auto"/>
        <w:rPr>
          <w:sz w:val="20"/>
          <w:szCs w:val="20"/>
          <w:color w:val="auto"/>
        </w:rPr>
      </w:pPr>
      <w:r>
        <w:rPr>
          <w:rFonts w:ascii="Times New Roman" w:cs="Times New Roman" w:eastAsia="Times New Roman" w:hAnsi="Times New Roman"/>
          <w:sz w:val="21"/>
          <w:szCs w:val="21"/>
          <w:color w:val="auto"/>
        </w:rPr>
        <w:t>which are being contested in good faith by appropriate proceedings and for which adequate reserves have been provided in accordance with GAAP.</w:t>
      </w:r>
    </w:p>
    <w:p>
      <w:pPr>
        <w:spacing w:after="0" w:line="141" w:lineRule="exact"/>
        <w:rPr>
          <w:sz w:val="20"/>
          <w:szCs w:val="20"/>
          <w:color w:val="auto"/>
        </w:rPr>
      </w:pPr>
    </w:p>
    <w:p>
      <w:pPr>
        <w:jc w:val="both"/>
        <w:ind w:firstLine="620"/>
        <w:spacing w:after="0" w:line="227" w:lineRule="auto"/>
        <w:rPr>
          <w:sz w:val="20"/>
          <w:szCs w:val="20"/>
          <w:color w:val="auto"/>
        </w:rPr>
      </w:pPr>
      <w:r>
        <w:rPr>
          <w:rFonts w:ascii="Times New Roman" w:cs="Times New Roman" w:eastAsia="Times New Roman" w:hAnsi="Times New Roman"/>
          <w:sz w:val="21"/>
          <w:szCs w:val="21"/>
          <w:b w:val="1"/>
          <w:bCs w:val="1"/>
          <w:color w:val="auto"/>
        </w:rPr>
        <w:t xml:space="preserve">6.09 </w:t>
      </w:r>
      <w:r>
        <w:rPr>
          <w:rFonts w:ascii="Times New Roman" w:cs="Times New Roman" w:eastAsia="Times New Roman" w:hAnsi="Times New Roman"/>
          <w:sz w:val="21"/>
          <w:szCs w:val="21"/>
          <w:u w:val="single" w:color="auto"/>
          <w:color w:val="auto"/>
        </w:rPr>
        <w:t>Books and Records</w:t>
      </w:r>
      <w:r>
        <w:rPr>
          <w:rFonts w:ascii="Times New Roman" w:cs="Times New Roman" w:eastAsia="Times New Roman" w:hAnsi="Times New Roman"/>
          <w:sz w:val="21"/>
          <w:szCs w:val="21"/>
          <w:color w:val="auto"/>
        </w:rPr>
        <w:t>. Maintain proper books of record and account, in which full, true and correct entries in conformity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GAAP consistently applied shall be made of all financial transactions and matters involving the assets and business of Toro or such Subsidiary, as the case may be.</w:t>
      </w:r>
    </w:p>
    <w:p>
      <w:pPr>
        <w:spacing w:after="0" w:line="142" w:lineRule="exact"/>
        <w:rPr>
          <w:sz w:val="20"/>
          <w:szCs w:val="20"/>
          <w:color w:val="auto"/>
        </w:rPr>
      </w:pPr>
    </w:p>
    <w:p>
      <w:pPr>
        <w:jc w:val="both"/>
        <w:ind w:firstLine="620"/>
        <w:spacing w:after="0" w:line="214" w:lineRule="auto"/>
        <w:rPr>
          <w:sz w:val="20"/>
          <w:szCs w:val="20"/>
          <w:color w:val="auto"/>
        </w:rPr>
      </w:pPr>
      <w:r>
        <w:rPr>
          <w:rFonts w:ascii="Times New Roman" w:cs="Times New Roman" w:eastAsia="Times New Roman" w:hAnsi="Times New Roman"/>
          <w:sz w:val="21"/>
          <w:szCs w:val="21"/>
          <w:b w:val="1"/>
          <w:bCs w:val="1"/>
          <w:color w:val="auto"/>
        </w:rPr>
        <w:t xml:space="preserve">6.10 </w:t>
      </w:r>
      <w:r>
        <w:rPr>
          <w:rFonts w:ascii="Times New Roman" w:cs="Times New Roman" w:eastAsia="Times New Roman" w:hAnsi="Times New Roman"/>
          <w:sz w:val="21"/>
          <w:szCs w:val="21"/>
          <w:u w:val="single" w:color="auto"/>
          <w:color w:val="auto"/>
        </w:rPr>
        <w:t>Inspection Rights</w:t>
      </w:r>
      <w:r>
        <w:rPr>
          <w:rFonts w:ascii="Times New Roman" w:cs="Times New Roman" w:eastAsia="Times New Roman" w:hAnsi="Times New Roman"/>
          <w:sz w:val="21"/>
          <w:szCs w:val="21"/>
          <w:color w:val="auto"/>
        </w:rPr>
        <w:t>. Permit representatives and independent contractors of the Administrative Agent and each Lender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visit and inspect any of its properties, to examine its corporate, financial and operating records, and make copies thereof or abstracts therefrom (except to the extent any of such records are confidential or proprietary in nature), and to discuss its affairs, finances and accounts with its directors, officers, and independent public accountants, all at such reasonable times during normal business hours and as often as may be reasonably desired, upon reasonable advance notice to Toro;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when an Event of Default exists the Administrative Agent or any Lender (or any of their respective representatives or independent contractors) may do any of the foregoing at the expense of the Borrowers at any time during normal business hours and without advance notice.</w:t>
      </w:r>
    </w:p>
    <w:p>
      <w:pPr>
        <w:spacing w:after="0" w:line="147" w:lineRule="exact"/>
        <w:rPr>
          <w:sz w:val="20"/>
          <w:szCs w:val="20"/>
          <w:color w:val="auto"/>
        </w:rPr>
      </w:pPr>
    </w:p>
    <w:p>
      <w:pPr>
        <w:jc w:val="both"/>
        <w:ind w:firstLine="620"/>
        <w:spacing w:after="0" w:line="221" w:lineRule="auto"/>
        <w:rPr>
          <w:sz w:val="20"/>
          <w:szCs w:val="20"/>
          <w:color w:val="auto"/>
        </w:rPr>
      </w:pPr>
      <w:r>
        <w:rPr>
          <w:rFonts w:ascii="Times New Roman" w:cs="Times New Roman" w:eastAsia="Times New Roman" w:hAnsi="Times New Roman"/>
          <w:sz w:val="20"/>
          <w:szCs w:val="20"/>
          <w:b w:val="1"/>
          <w:bCs w:val="1"/>
          <w:color w:val="auto"/>
        </w:rPr>
        <w:t xml:space="preserve">6.11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Each Borrower shall use the proceeds of the Credit Extensions for (a) general working capital needs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and capital expenditures (b) the replacement and refinancing of outstanding indebtedness under the Existing Term Loan Credit Agreement, (c) subject to the proviso below, the purchase or other acquisition by Toro of shares of its capital stock and related preferred stock purchase rights to the extent permitted by </w:t>
      </w:r>
      <w:r>
        <w:rPr>
          <w:rFonts w:ascii="Times New Roman" w:cs="Times New Roman" w:eastAsia="Times New Roman" w:hAnsi="Times New Roman"/>
          <w:sz w:val="20"/>
          <w:szCs w:val="20"/>
          <w:u w:val="single" w:color="auto"/>
          <w:color w:val="auto"/>
        </w:rPr>
        <w:t>Section 7.04(c</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other lawful corporate purposes (including Acquisitions) other than, directly or indirectly, (i) for purposes of undertaking an Acquisition or Joint Venture in contravention of any Law or of any Loan Document, (ii) to purchase or carry Margin Stock, (iii) to repay or otherwise refinance indebtedness of any Borrower or others incurred to purchase or carry Margin Stock, (iv) to extend credit for the purpose of purchasing or carrying any Margin Stock, or (v) to acquire any security in a transaction that is actively opposed by the board of directors (or similar governing body) of the selling Persons or the Persons whose securities are to be acquired;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notwithstanding </w:t>
      </w:r>
      <w:r>
        <w:rPr>
          <w:rFonts w:ascii="Times New Roman" w:cs="Times New Roman" w:eastAsia="Times New Roman" w:hAnsi="Times New Roman"/>
          <w:sz w:val="20"/>
          <w:szCs w:val="20"/>
          <w:u w:val="single" w:color="auto"/>
          <w:color w:val="auto"/>
        </w:rPr>
        <w:t>clauses (ii)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above, Toro may use proceeds of Loans as described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 so long as either (x) the Margin Stock so acquired is promptly retired following the purchase or other acquisition thereof or (y) at all times and after giving effect to each such purchase or acquisition, not more than twenty five percent (25%) of the consolidated total assets of the Borrowers and their Subsidiaries on a consolidated basis are represented by Margin Stock owned by the Borrowers and their Subsidiaries on a consolidated basis.</w:t>
      </w:r>
    </w:p>
    <w:p>
      <w:pPr>
        <w:spacing w:after="0" w:line="141" w:lineRule="exact"/>
        <w:rPr>
          <w:sz w:val="20"/>
          <w:szCs w:val="20"/>
          <w:color w:val="auto"/>
        </w:rPr>
      </w:pPr>
    </w:p>
    <w:p>
      <w:pPr>
        <w:jc w:val="both"/>
        <w:ind w:firstLine="620"/>
        <w:spacing w:after="0" w:line="221" w:lineRule="auto"/>
        <w:rPr>
          <w:sz w:val="20"/>
          <w:szCs w:val="20"/>
          <w:color w:val="auto"/>
        </w:rPr>
      </w:pPr>
      <w:r>
        <w:rPr>
          <w:rFonts w:ascii="Times New Roman" w:cs="Times New Roman" w:eastAsia="Times New Roman" w:hAnsi="Times New Roman"/>
          <w:sz w:val="21"/>
          <w:szCs w:val="21"/>
          <w:b w:val="1"/>
          <w:bCs w:val="1"/>
          <w:color w:val="auto"/>
        </w:rPr>
        <w:t>6.12 Approvals and Authorizations</w:t>
      </w:r>
      <w:r>
        <w:rPr>
          <w:rFonts w:ascii="Times New Roman" w:cs="Times New Roman" w:eastAsia="Times New Roman" w:hAnsi="Times New Roman"/>
          <w:sz w:val="21"/>
          <w:szCs w:val="21"/>
          <w:color w:val="auto"/>
        </w:rPr>
        <w:t>. Maintain all authorizations, consents, approvals and licenses from, exemptions of,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filings and registrations with, each Governmental Authority of the jurisdiction in which each Foreign Obligor is organized and existing, and all approvals and consents of each other Person in such jurisdiction, in each case that are required in connection with the Loan Documents.</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ARTICLE VII.</w:t>
      </w:r>
    </w:p>
    <w:p>
      <w:pPr>
        <w:jc w:val="center"/>
        <w:spacing w:after="0"/>
        <w:rPr>
          <w:sz w:val="20"/>
          <w:szCs w:val="20"/>
          <w:color w:val="auto"/>
        </w:rPr>
      </w:pPr>
      <w:r>
        <w:rPr>
          <w:rFonts w:ascii="Times New Roman" w:cs="Times New Roman" w:eastAsia="Times New Roman" w:hAnsi="Times New Roman"/>
          <w:sz w:val="21"/>
          <w:szCs w:val="21"/>
          <w:b w:val="1"/>
          <w:bCs w:val="1"/>
          <w:color w:val="auto"/>
        </w:rPr>
        <w:t>NEGATIVE COVENANTS</w:t>
      </w:r>
    </w:p>
    <w:p>
      <w:pPr>
        <w:spacing w:after="0" w:line="150"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So long as any Lender shall have any Commitment hereunder, or any Loan, Swing Line Loan or other Obligation shall remain unpaid or unsatisfied, or any Letter of Credit shall remain outstanding, unless the Required Lenders waive compliance in writing:</w:t>
      </w:r>
    </w:p>
    <w:p>
      <w:pPr>
        <w:spacing w:after="0" w:line="141" w:lineRule="exact"/>
        <w:rPr>
          <w:sz w:val="20"/>
          <w:szCs w:val="20"/>
          <w:color w:val="auto"/>
        </w:rPr>
      </w:pPr>
    </w:p>
    <w:p>
      <w:pPr>
        <w:jc w:val="both"/>
        <w:ind w:firstLine="620"/>
        <w:spacing w:after="0" w:line="237" w:lineRule="auto"/>
        <w:rPr>
          <w:sz w:val="20"/>
          <w:szCs w:val="20"/>
          <w:color w:val="auto"/>
        </w:rPr>
      </w:pPr>
      <w:r>
        <w:rPr>
          <w:rFonts w:ascii="Times New Roman" w:cs="Times New Roman" w:eastAsia="Times New Roman" w:hAnsi="Times New Roman"/>
          <w:sz w:val="21"/>
          <w:szCs w:val="21"/>
          <w:b w:val="1"/>
          <w:bCs w:val="1"/>
          <w:color w:val="auto"/>
        </w:rPr>
        <w:t>7.01 Limitation on Liens</w:t>
      </w:r>
      <w:r>
        <w:rPr>
          <w:rFonts w:ascii="Times New Roman" w:cs="Times New Roman" w:eastAsia="Times New Roman" w:hAnsi="Times New Roman"/>
          <w:sz w:val="21"/>
          <w:szCs w:val="21"/>
          <w:color w:val="auto"/>
        </w:rPr>
        <w:t>. None of the Borrowers shall, or permit any Subsidiary to, directly or indirectly, make, create,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incur, assume or suffer to exist any Lien upon or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93</w:t>
      </w:r>
    </w:p>
    <w:p>
      <w:pPr>
        <w:sectPr>
          <w:pgSz w:w="11900" w:h="16838" w:orient="portrait"/>
          <w:cols w:equalWidth="0" w:num="1">
            <w:col w:w="11240"/>
          </w:cols>
          <w:pgMar w:left="320" w:top="1342"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21"/>
          <w:szCs w:val="21"/>
          <w:color w:val="auto"/>
        </w:rPr>
        <w:t>to any part of their respective property, whether now owned or hereafter acquired, other than the following (“</w:t>
      </w:r>
      <w:r>
        <w:rPr>
          <w:rFonts w:ascii="Times New Roman" w:cs="Times New Roman" w:eastAsia="Times New Roman" w:hAnsi="Times New Roman"/>
          <w:sz w:val="21"/>
          <w:szCs w:val="21"/>
          <w:u w:val="single" w:color="auto"/>
          <w:color w:val="auto"/>
        </w:rPr>
        <w:t>Permitted Liens</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firstLine="1244"/>
        <w:spacing w:after="0" w:line="236" w:lineRule="auto"/>
        <w:tabs>
          <w:tab w:leader="none" w:pos="1742"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Lien existing on property of any Borrower or any Subsidiary on the Closing Date and set forth in </w:t>
      </w:r>
      <w:r>
        <w:rPr>
          <w:rFonts w:ascii="Times New Roman" w:cs="Times New Roman" w:eastAsia="Times New Roman" w:hAnsi="Times New Roman"/>
          <w:sz w:val="21"/>
          <w:szCs w:val="21"/>
          <w:u w:val="single" w:color="auto"/>
          <w:color w:val="auto"/>
        </w:rPr>
        <w:t>Schedule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7.01</w:t>
      </w:r>
      <w:r>
        <w:rPr>
          <w:rFonts w:ascii="Times New Roman" w:cs="Times New Roman" w:eastAsia="Times New Roman" w:hAnsi="Times New Roman"/>
          <w:sz w:val="21"/>
          <w:szCs w:val="21"/>
          <w:color w:val="auto"/>
        </w:rPr>
        <w:t xml:space="preserve"> securing Indebtedness outstanding on such date (“</w:t>
      </w:r>
      <w:r>
        <w:rPr>
          <w:rFonts w:ascii="Times New Roman" w:cs="Times New Roman" w:eastAsia="Times New Roman" w:hAnsi="Times New Roman"/>
          <w:sz w:val="21"/>
          <w:szCs w:val="21"/>
          <w:u w:val="single" w:color="auto"/>
          <w:color w:val="auto"/>
        </w:rPr>
        <w:t>Existing Liens</w:t>
      </w:r>
      <w:r>
        <w:rPr>
          <w:rFonts w:ascii="Times New Roman" w:cs="Times New Roman" w:eastAsia="Times New Roman" w:hAnsi="Times New Roman"/>
          <w:sz w:val="21"/>
          <w:szCs w:val="21"/>
          <w:color w:val="auto"/>
        </w:rPr>
        <w:t>”);</w:t>
      </w:r>
    </w:p>
    <w:p>
      <w:pPr>
        <w:spacing w:after="0" w:line="145" w:lineRule="exact"/>
        <w:rPr>
          <w:rFonts w:ascii="Times New Roman" w:cs="Times New Roman" w:eastAsia="Times New Roman" w:hAnsi="Times New Roman"/>
          <w:sz w:val="21"/>
          <w:szCs w:val="21"/>
          <w:color w:val="auto"/>
        </w:rPr>
      </w:pPr>
    </w:p>
    <w:p>
      <w:pPr>
        <w:ind w:left="1700" w:hanging="456"/>
        <w:spacing w:after="0"/>
        <w:tabs>
          <w:tab w:leader="none" w:pos="170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Lien created under any Loan Document;</w:t>
      </w:r>
    </w:p>
    <w:p>
      <w:pPr>
        <w:spacing w:after="0" w:line="171" w:lineRule="exact"/>
        <w:rPr>
          <w:rFonts w:ascii="Times New Roman" w:cs="Times New Roman" w:eastAsia="Times New Roman" w:hAnsi="Times New Roman"/>
          <w:sz w:val="21"/>
          <w:szCs w:val="21"/>
          <w:color w:val="auto"/>
        </w:rPr>
      </w:pPr>
    </w:p>
    <w:p>
      <w:pPr>
        <w:ind w:firstLine="1244"/>
        <w:spacing w:after="0" w:line="236" w:lineRule="auto"/>
        <w:tabs>
          <w:tab w:leader="none" w:pos="1799"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for taxes, fees, assessments or other governmental charges which are not delinquent or remain payable without penalty,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notice of lien has been filed or recorded under the Code;</w:t>
      </w:r>
    </w:p>
    <w:p>
      <w:pPr>
        <w:spacing w:after="0" w:line="145" w:lineRule="exact"/>
        <w:rPr>
          <w:rFonts w:ascii="Times New Roman" w:cs="Times New Roman" w:eastAsia="Times New Roman" w:hAnsi="Times New Roman"/>
          <w:sz w:val="21"/>
          <w:szCs w:val="21"/>
          <w:color w:val="auto"/>
        </w:rPr>
      </w:pPr>
    </w:p>
    <w:p>
      <w:pPr>
        <w:jc w:val="both"/>
        <w:ind w:firstLine="1244"/>
        <w:spacing w:after="0" w:line="237" w:lineRule="auto"/>
        <w:tabs>
          <w:tab w:leader="none" w:pos="170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landlords’, materialmen’s, repairmen’s or other similar Liens arising in the ordinary course of business which are not delinquent or remain payable without penalty or which are being contested in good faith and by appropriate proceedings, which proceedings have the effect of preventing the forfeiture or sale of the property subject thereto;</w:t>
      </w:r>
    </w:p>
    <w:p>
      <w:pPr>
        <w:spacing w:after="0" w:line="145" w:lineRule="exact"/>
        <w:rPr>
          <w:rFonts w:ascii="Times New Roman" w:cs="Times New Roman" w:eastAsia="Times New Roman" w:hAnsi="Times New Roman"/>
          <w:sz w:val="20"/>
          <w:szCs w:val="20"/>
          <w:color w:val="auto"/>
        </w:rPr>
      </w:pPr>
    </w:p>
    <w:p>
      <w:pPr>
        <w:ind w:firstLine="1244"/>
        <w:spacing w:after="0" w:line="236" w:lineRule="auto"/>
        <w:tabs>
          <w:tab w:leader="none" w:pos="1688"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(other than any Lien imposed by ERISA) consisting of pledges or deposits required in the ordinary course of business in connection with workers’ compensation, unemployment insurance and other social security legislation;</w:t>
      </w:r>
    </w:p>
    <w:p>
      <w:pPr>
        <w:spacing w:after="0" w:line="145" w:lineRule="exact"/>
        <w:rPr>
          <w:rFonts w:ascii="Times New Roman" w:cs="Times New Roman" w:eastAsia="Times New Roman" w:hAnsi="Times New Roman"/>
          <w:sz w:val="21"/>
          <w:szCs w:val="21"/>
          <w:color w:val="auto"/>
        </w:rPr>
      </w:pPr>
    </w:p>
    <w:p>
      <w:pPr>
        <w:jc w:val="both"/>
        <w:ind w:firstLine="1244"/>
        <w:spacing w:after="0" w:line="225" w:lineRule="auto"/>
        <w:tabs>
          <w:tab w:leader="none" w:pos="171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the property of any Borrower or any of its Subsidiaries securing (i) the non- delinquent performance of bids, trade contracts (other than for borrowed money), leases, statutory obligations, (ii) contingent obligations on surety and appeal bonds, and (iii) other non-delinquent obligations of a like nature; in each case, incurred in the ordinary course of business;</w:t>
      </w:r>
    </w:p>
    <w:p>
      <w:pPr>
        <w:spacing w:after="0" w:line="147" w:lineRule="exact"/>
        <w:rPr>
          <w:rFonts w:ascii="Times New Roman" w:cs="Times New Roman" w:eastAsia="Times New Roman" w:hAnsi="Times New Roman"/>
          <w:sz w:val="21"/>
          <w:szCs w:val="21"/>
          <w:color w:val="auto"/>
        </w:rPr>
      </w:pPr>
    </w:p>
    <w:p>
      <w:pPr>
        <w:jc w:val="both"/>
        <w:ind w:firstLine="1244"/>
        <w:spacing w:after="0" w:line="225" w:lineRule="auto"/>
        <w:tabs>
          <w:tab w:leader="none" w:pos="1734"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easements, rights-of-way, restrictions and other similar encumbrances incurred in the ordinary course of business which, in the aggregate, are not substantial in amount, and which do not in any case materially detract from the value of the property subject thereto or interfere with the ordinary conduct of the businesses of the Borrowers and their Subsidiaries;</w:t>
      </w:r>
    </w:p>
    <w:p>
      <w:pPr>
        <w:spacing w:after="0" w:line="147" w:lineRule="exact"/>
        <w:rPr>
          <w:rFonts w:ascii="Times New Roman" w:cs="Times New Roman" w:eastAsia="Times New Roman" w:hAnsi="Times New Roman"/>
          <w:sz w:val="21"/>
          <w:szCs w:val="21"/>
          <w:color w:val="auto"/>
        </w:rPr>
      </w:pPr>
    </w:p>
    <w:p>
      <w:pPr>
        <w:ind w:left="1700" w:hanging="456"/>
        <w:spacing w:after="0"/>
        <w:tabs>
          <w:tab w:leader="none" w:pos="170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property of a Person subject to an Acquisition existing at the time of such Acquisition;</w:t>
      </w:r>
    </w:p>
    <w:p>
      <w:pPr>
        <w:spacing w:after="0" w:line="159" w:lineRule="exact"/>
        <w:rPr>
          <w:rFonts w:ascii="Times New Roman" w:cs="Times New Roman" w:eastAsia="Times New Roman" w:hAnsi="Times New Roman"/>
          <w:sz w:val="21"/>
          <w:szCs w:val="21"/>
          <w:color w:val="auto"/>
        </w:rPr>
      </w:pPr>
    </w:p>
    <w:p>
      <w:pPr>
        <w:ind w:left="1820" w:hanging="576"/>
        <w:spacing w:after="0"/>
        <w:tabs>
          <w:tab w:leader="none" w:pos="1820"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existing on the Closing Date on property of one or more Subsidiaries securing Indebtedness of such</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Subsidiaries;</w:t>
      </w:r>
    </w:p>
    <w:p>
      <w:pPr>
        <w:spacing w:after="0" w:line="149" w:lineRule="exact"/>
        <w:rPr>
          <w:rFonts w:ascii="Times New Roman" w:cs="Times New Roman" w:eastAsia="Times New Roman" w:hAnsi="Times New Roman"/>
          <w:sz w:val="21"/>
          <w:szCs w:val="21"/>
          <w:color w:val="auto"/>
        </w:rPr>
      </w:pPr>
    </w:p>
    <w:p>
      <w:pPr>
        <w:jc w:val="both"/>
        <w:ind w:firstLine="1244"/>
        <w:spacing w:after="0" w:line="225" w:lineRule="auto"/>
        <w:tabs>
          <w:tab w:leader="none" w:pos="1756"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on Receivables, lease receivables and other obligations owing to any of the Borrowers or any domestic Wholly-Owned Subsidiary to the extent such Receivables, lease receivables and other obligations have been sold under a Receivables Purchase Facility permitted under </w:t>
      </w:r>
      <w:r>
        <w:rPr>
          <w:rFonts w:ascii="Times New Roman" w:cs="Times New Roman" w:eastAsia="Times New Roman" w:hAnsi="Times New Roman"/>
          <w:sz w:val="21"/>
          <w:szCs w:val="21"/>
          <w:u w:val="single" w:color="auto"/>
          <w:color w:val="auto"/>
        </w:rPr>
        <w:t>Section 7.02(d)</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jc w:val="both"/>
        <w:ind w:firstLine="1244"/>
        <w:spacing w:after="0" w:line="217" w:lineRule="auto"/>
        <w:tabs>
          <w:tab w:leader="none" w:pos="1709"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arising solely by virtue of any statutory or common law provision relating to banker’s liens, rights of set-off or similar rights and remedies as to deposit accounts or other funds maintained with a creditor depository institution;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deposit account is not a dedicated cash collateral account and is not subject to restrictions against access by the applicable Borrower in excess of those set forth by regulations promulgated by the FRB, and (ii) such deposit account is not intended by any Borrower or any Subsidiary to provide collateral to the depository institution;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94</w:t>
      </w:r>
    </w:p>
    <w:p>
      <w:pPr>
        <w:sectPr>
          <w:pgSz w:w="11900" w:h="16838" w:orient="portrait"/>
          <w:cols w:equalWidth="0" w:num="1">
            <w:col w:w="11240"/>
          </w:cols>
          <w:pgMar w:left="320" w:top="1342" w:right="339" w:bottom="1440" w:gutter="0" w:footer="0" w:header="0"/>
        </w:sectPr>
      </w:pPr>
    </w:p>
    <w:bookmarkStart w:id="164" w:name="page165"/>
    <w:bookmarkEnd w:id="164"/>
    <w:p>
      <w:pPr>
        <w:jc w:val="both"/>
        <w:ind w:firstLine="1244"/>
        <w:spacing w:after="0" w:line="220" w:lineRule="auto"/>
        <w:tabs>
          <w:tab w:leader="none" w:pos="1771"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not otherwise permitted hereunder on any property securing Indebtedness;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amount of Indebtedness so secured together with Indebtedness permitted to be secured pursuant to </w:t>
      </w:r>
      <w:r>
        <w:rPr>
          <w:rFonts w:ascii="Times New Roman" w:cs="Times New Roman" w:eastAsia="Times New Roman" w:hAnsi="Times New Roman"/>
          <w:sz w:val="21"/>
          <w:szCs w:val="21"/>
          <w:u w:val="single" w:color="auto"/>
          <w:color w:val="auto"/>
        </w:rPr>
        <w:t>Section 7.01(a)</w:t>
      </w:r>
      <w:r>
        <w:rPr>
          <w:rFonts w:ascii="Times New Roman" w:cs="Times New Roman" w:eastAsia="Times New Roman" w:hAnsi="Times New Roman"/>
          <w:sz w:val="21"/>
          <w:szCs w:val="21"/>
          <w:color w:val="auto"/>
        </w:rPr>
        <w:t xml:space="preserve"> above shall not exceed in the aggregate at any time outstanding 10% of the consolidated total tangible assets (balance sheet total assets less goodwill and intangibles) of Toro and its Subsidiaries determined as of the end of the most recently ended fiscal quarter of Toro.</w:t>
      </w:r>
    </w:p>
    <w:p>
      <w:pPr>
        <w:spacing w:after="0" w:line="144" w:lineRule="exact"/>
        <w:rPr>
          <w:sz w:val="20"/>
          <w:szCs w:val="20"/>
          <w:color w:val="auto"/>
        </w:rPr>
      </w:pPr>
    </w:p>
    <w:p>
      <w:pPr>
        <w:ind w:firstLine="620"/>
        <w:spacing w:after="0" w:line="237" w:lineRule="auto"/>
        <w:rPr>
          <w:sz w:val="20"/>
          <w:szCs w:val="20"/>
          <w:color w:val="auto"/>
        </w:rPr>
      </w:pPr>
      <w:r>
        <w:rPr>
          <w:rFonts w:ascii="Times New Roman" w:cs="Times New Roman" w:eastAsia="Times New Roman" w:hAnsi="Times New Roman"/>
          <w:sz w:val="21"/>
          <w:szCs w:val="21"/>
          <w:b w:val="1"/>
          <w:bCs w:val="1"/>
          <w:color w:val="auto"/>
        </w:rPr>
        <w:t>7.02 Disposition of Assets</w:t>
      </w:r>
      <w:r>
        <w:rPr>
          <w:rFonts w:ascii="Times New Roman" w:cs="Times New Roman" w:eastAsia="Times New Roman" w:hAnsi="Times New Roman"/>
          <w:sz w:val="21"/>
          <w:szCs w:val="21"/>
          <w:color w:val="auto"/>
        </w:rPr>
        <w:t>. None of the Borrowers shall, nor shall suffer or permit any Subsidiary to, directly or indirectly,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make any Disposition or enter into any agreement to make any Disposition, except:</w:t>
      </w:r>
    </w:p>
    <w:p>
      <w:pPr>
        <w:spacing w:after="0" w:line="147" w:lineRule="exact"/>
        <w:rPr>
          <w:sz w:val="20"/>
          <w:szCs w:val="20"/>
          <w:color w:val="auto"/>
        </w:rPr>
      </w:pPr>
    </w:p>
    <w:p>
      <w:pPr>
        <w:ind w:left="1680" w:hanging="436"/>
        <w:spacing w:after="0"/>
        <w:tabs>
          <w:tab w:leader="none" w:pos="168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inventory, or used, worn-out or surplus property, all in the ordinary course of business;</w:t>
      </w:r>
    </w:p>
    <w:p>
      <w:pPr>
        <w:spacing w:after="0" w:line="171" w:lineRule="exact"/>
        <w:rPr>
          <w:rFonts w:ascii="Times New Roman" w:cs="Times New Roman" w:eastAsia="Times New Roman" w:hAnsi="Times New Roman"/>
          <w:sz w:val="21"/>
          <w:szCs w:val="21"/>
          <w:color w:val="auto"/>
        </w:rPr>
      </w:pPr>
    </w:p>
    <w:p>
      <w:pPr>
        <w:jc w:val="both"/>
        <w:ind w:firstLine="1244"/>
        <w:spacing w:after="0" w:line="225" w:lineRule="auto"/>
        <w:tabs>
          <w:tab w:leader="none" w:pos="1688"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of equipment to the extent that such equipment is exchanged for credit against the purchase price of similar replacement equipment, or the proceeds of such sale are reasonably promptly applied to the purchase price of such replacement equipment;</w:t>
      </w:r>
    </w:p>
    <w:p>
      <w:pPr>
        <w:spacing w:after="0" w:line="147" w:lineRule="exact"/>
        <w:rPr>
          <w:rFonts w:ascii="Times New Roman" w:cs="Times New Roman" w:eastAsia="Times New Roman" w:hAnsi="Times New Roman"/>
          <w:sz w:val="21"/>
          <w:szCs w:val="21"/>
          <w:color w:val="auto"/>
        </w:rPr>
      </w:pPr>
    </w:p>
    <w:p>
      <w:pPr>
        <w:ind w:firstLine="1244"/>
        <w:spacing w:after="0" w:line="236" w:lineRule="auto"/>
        <w:tabs>
          <w:tab w:leader="none" w:pos="1679"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of Receivables of Toro or any Subsidiaries to Red Iron and, to the extent TCC has become a Borrower hereunder pursuant to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TCC;</w:t>
      </w:r>
    </w:p>
    <w:p>
      <w:pPr>
        <w:spacing w:after="0" w:line="145" w:lineRule="exact"/>
        <w:rPr>
          <w:rFonts w:ascii="Times New Roman" w:cs="Times New Roman" w:eastAsia="Times New Roman" w:hAnsi="Times New Roman"/>
          <w:sz w:val="21"/>
          <w:szCs w:val="21"/>
          <w:color w:val="auto"/>
        </w:rPr>
      </w:pPr>
    </w:p>
    <w:p>
      <w:pPr>
        <w:jc w:val="both"/>
        <w:ind w:firstLine="1244"/>
        <w:spacing w:after="0" w:line="217" w:lineRule="auto"/>
        <w:tabs>
          <w:tab w:leader="none" w:pos="1723"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by any Originator of Receivables pursuant to Receivables Purchase Facilities or other Disposition of Receivables at any time of Toro or its Subsidiaries, whether pursuant to a securitization facility, a factoring arrangement or other manner of monetization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outstanding unpaid amount of all such Receivables so sold in the aggregate shall not at any time exceed $200,000,000;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further that Dispositions made in connection with any Floor Plan Financing Arrangements shall not be subject to the proviso of this clause (d);</w:t>
      </w:r>
    </w:p>
    <w:p>
      <w:pPr>
        <w:spacing w:after="0" w:line="148" w:lineRule="exact"/>
        <w:rPr>
          <w:rFonts w:ascii="Times New Roman" w:cs="Times New Roman" w:eastAsia="Times New Roman" w:hAnsi="Times New Roman"/>
          <w:sz w:val="21"/>
          <w:szCs w:val="21"/>
          <w:color w:val="auto"/>
        </w:rPr>
      </w:pPr>
    </w:p>
    <w:p>
      <w:pPr>
        <w:jc w:val="both"/>
        <w:ind w:firstLine="1244"/>
        <w:spacing w:after="0" w:line="217" w:lineRule="auto"/>
        <w:tabs>
          <w:tab w:leader="none" w:pos="1750"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Dispositions made in accordance with Toro’s investment policy, (ii) Dispositions made in connection with Acquisitions, (iii) Dispositions of interests in Joint Ventures; (iv) Dispositions made in connection with Swap Contracts, (v) permitted Dispositions of Subsidiaries, (vi) Dispositions in connection with purchases by Toro of shares of its capital stock and associated rights to purchase shares of Toro’s preferred stock pursuant to Toro’s shareholder rights plan to the extent permitted by </w:t>
      </w:r>
      <w:r>
        <w:rPr>
          <w:rFonts w:ascii="Times New Roman" w:cs="Times New Roman" w:eastAsia="Times New Roman" w:hAnsi="Times New Roman"/>
          <w:sz w:val="21"/>
          <w:szCs w:val="21"/>
          <w:u w:val="single" w:color="auto"/>
          <w:color w:val="auto"/>
        </w:rPr>
        <w:t>Sections 6.11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7.04(c</w:t>
      </w:r>
      <w:r>
        <w:rPr>
          <w:rFonts w:ascii="Times New Roman" w:cs="Times New Roman" w:eastAsia="Times New Roman" w:hAnsi="Times New Roman"/>
          <w:sz w:val="21"/>
          <w:szCs w:val="21"/>
          <w:color w:val="auto"/>
        </w:rPr>
        <w:t>), and (vii) Dispositions of Equity Interests in Red Iron;</w:t>
      </w:r>
    </w:p>
    <w:p>
      <w:pPr>
        <w:spacing w:after="0" w:line="148" w:lineRule="exact"/>
        <w:rPr>
          <w:rFonts w:ascii="Times New Roman" w:cs="Times New Roman" w:eastAsia="Times New Roman" w:hAnsi="Times New Roman"/>
          <w:sz w:val="21"/>
          <w:szCs w:val="21"/>
          <w:color w:val="auto"/>
        </w:rPr>
      </w:pPr>
    </w:p>
    <w:p>
      <w:pPr>
        <w:jc w:val="both"/>
        <w:ind w:firstLine="1244"/>
        <w:spacing w:after="0" w:line="220" w:lineRule="auto"/>
        <w:tabs>
          <w:tab w:leader="none" w:pos="1682"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not otherwise permitted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at the time of any such Disposition, no Event of Default shall exist or shall result from such Disposition and (ii) the aggregate value of all assets so sold by Toro and its Subsidiaries shall not exceed in any fiscal year 15% of the consolidated total assets of Toro and its Subsidiaries determined as of the end of the most recently ended fiscal quarter of Toro;</w:t>
      </w:r>
    </w:p>
    <w:p>
      <w:pPr>
        <w:spacing w:after="0" w:line="148" w:lineRule="exact"/>
        <w:rPr>
          <w:rFonts w:ascii="Times New Roman" w:cs="Times New Roman" w:eastAsia="Times New Roman" w:hAnsi="Times New Roman"/>
          <w:sz w:val="21"/>
          <w:szCs w:val="21"/>
          <w:color w:val="auto"/>
        </w:rPr>
      </w:pPr>
    </w:p>
    <w:p>
      <w:pPr>
        <w:jc w:val="both"/>
        <w:ind w:firstLine="1244"/>
        <w:spacing w:after="0" w:line="225" w:lineRule="auto"/>
        <w:tabs>
          <w:tab w:leader="none" w:pos="1731"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Toro or any Subsidiary, including any Subsidiary Borrower, may sell, assign, lease, convey, transfer or otherwise dispose of assets to one of the Borrowers or another Wholly-Owned Subsidiary or in connection with the discontinuance of any line of business if the discontinuance of such line of business will not result in a Material Adverse Effect;</w:t>
      </w:r>
    </w:p>
    <w:p>
      <w:pPr>
        <w:spacing w:after="0" w:line="147" w:lineRule="exact"/>
        <w:rPr>
          <w:rFonts w:ascii="Times New Roman" w:cs="Times New Roman" w:eastAsia="Times New Roman" w:hAnsi="Times New Roman"/>
          <w:sz w:val="21"/>
          <w:szCs w:val="21"/>
          <w:color w:val="auto"/>
        </w:rPr>
      </w:pPr>
    </w:p>
    <w:p>
      <w:pPr>
        <w:jc w:val="both"/>
        <w:ind w:firstLine="1244"/>
        <w:spacing w:after="0" w:line="217" w:lineRule="auto"/>
        <w:tabs>
          <w:tab w:leader="none" w:pos="1742"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or transfers of cash or other property including capital stock (i) in payment for goods or services in the ordinary course of business to the extent not otherwise prohibited hereunder and (ii) in connection with investments, including (A) investments in accordance with Toro’s investment policy as adopted from time to time, (B) extensions of credit in the nature of accounts receivable or notes receivable arising from the sale or lease of goods or services in the ordinary course of business or extensions of credit by any Borrower to any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95</w:t>
      </w:r>
    </w:p>
    <w:p>
      <w:pPr>
        <w:sectPr>
          <w:pgSz w:w="11900" w:h="16838" w:orient="portrait"/>
          <w:cols w:equalWidth="0" w:num="1">
            <w:col w:w="11240"/>
          </w:cols>
          <w:pgMar w:left="320" w:top="1342" w:right="339" w:bottom="1440" w:gutter="0" w:footer="0" w:header="0"/>
        </w:sectPr>
      </w:pPr>
    </w:p>
    <w:bookmarkStart w:id="165" w:name="page166"/>
    <w:bookmarkEnd w:id="165"/>
    <w:p>
      <w:pPr>
        <w:jc w:val="both"/>
        <w:spacing w:after="0" w:line="231" w:lineRule="auto"/>
        <w:rPr>
          <w:sz w:val="20"/>
          <w:szCs w:val="20"/>
          <w:color w:val="auto"/>
        </w:rPr>
      </w:pPr>
      <w:r>
        <w:rPr>
          <w:rFonts w:ascii="Times New Roman" w:cs="Times New Roman" w:eastAsia="Times New Roman" w:hAnsi="Times New Roman"/>
          <w:sz w:val="20"/>
          <w:szCs w:val="20"/>
          <w:color w:val="auto"/>
        </w:rPr>
        <w:t>Toro’s Wholly-Owned Subsidiaries or by any of Toro’s Wholly-Owned Subsidiaries to any Borrower or to another of Toro’s Wholly-Owned Subsidiaries or extensions of credit made in the ordinary course of its business consistent with past practices to distributors or dealers of Toro’s and its Subsidiaries’ products, (C) investments incurred in order to consummate Acquisitions, (D) investments in Joint Ventures, (E) investments under Swap Contracts, (F) investments made in Subsidiaries, and (G) investments in Red Iron;</w:t>
      </w:r>
    </w:p>
    <w:p>
      <w:pPr>
        <w:spacing w:after="0" w:line="148" w:lineRule="exact"/>
        <w:rPr>
          <w:sz w:val="20"/>
          <w:szCs w:val="20"/>
          <w:color w:val="auto"/>
        </w:rPr>
      </w:pPr>
    </w:p>
    <w:p>
      <w:pPr>
        <w:ind w:left="1640" w:hanging="396"/>
        <w:spacing w:after="0"/>
        <w:tabs>
          <w:tab w:leader="none" w:pos="164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resulting from any casualty or condemnation;</w:t>
      </w:r>
    </w:p>
    <w:p>
      <w:pPr>
        <w:spacing w:after="0" w:line="171" w:lineRule="exact"/>
        <w:rPr>
          <w:rFonts w:ascii="Times New Roman" w:cs="Times New Roman" w:eastAsia="Times New Roman" w:hAnsi="Times New Roman"/>
          <w:sz w:val="21"/>
          <w:szCs w:val="21"/>
          <w:color w:val="auto"/>
        </w:rPr>
      </w:pPr>
    </w:p>
    <w:p>
      <w:pPr>
        <w:ind w:left="1640" w:hanging="396"/>
        <w:spacing w:after="0"/>
        <w:tabs>
          <w:tab w:leader="none" w:pos="164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in connection with Restricted Payments permitted under </w:t>
      </w:r>
      <w:r>
        <w:rPr>
          <w:rFonts w:ascii="Times New Roman" w:cs="Times New Roman" w:eastAsia="Times New Roman" w:hAnsi="Times New Roman"/>
          <w:sz w:val="21"/>
          <w:szCs w:val="21"/>
          <w:u w:val="single" w:color="auto"/>
          <w:color w:val="auto"/>
        </w:rPr>
        <w:t>Section 7.04</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ind w:left="1700" w:hanging="456"/>
        <w:spacing w:after="0"/>
        <w:tabs>
          <w:tab w:leader="none" w:pos="170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in connection with the granting of Permitted Liens; and</w:t>
      </w:r>
    </w:p>
    <w:p>
      <w:pPr>
        <w:spacing w:after="0" w:line="159" w:lineRule="exact"/>
        <w:rPr>
          <w:rFonts w:ascii="Times New Roman" w:cs="Times New Roman" w:eastAsia="Times New Roman" w:hAnsi="Times New Roman"/>
          <w:sz w:val="21"/>
          <w:szCs w:val="21"/>
          <w:color w:val="auto"/>
        </w:rPr>
      </w:pPr>
    </w:p>
    <w:p>
      <w:pPr>
        <w:ind w:left="1700" w:hanging="456"/>
        <w:spacing w:after="0"/>
        <w:tabs>
          <w:tab w:leader="none" w:pos="170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in connection with the payment of Contingent Obligations or Indebtedness not otherwise prohibited</w:t>
      </w:r>
    </w:p>
    <w:p>
      <w:pPr>
        <w:spacing w:after="0"/>
        <w:rPr>
          <w:sz w:val="20"/>
          <w:szCs w:val="20"/>
          <w:color w:val="auto"/>
        </w:rPr>
      </w:pPr>
      <w:r>
        <w:rPr>
          <w:rFonts w:ascii="Times New Roman" w:cs="Times New Roman" w:eastAsia="Times New Roman" w:hAnsi="Times New Roman"/>
          <w:sz w:val="21"/>
          <w:szCs w:val="21"/>
          <w:color w:val="auto"/>
        </w:rPr>
        <w:t>hereunder.</w:t>
      </w:r>
    </w:p>
    <w:p>
      <w:pPr>
        <w:spacing w:after="0" w:line="146" w:lineRule="exact"/>
        <w:rPr>
          <w:sz w:val="20"/>
          <w:szCs w:val="20"/>
          <w:color w:val="auto"/>
        </w:rPr>
      </w:pPr>
    </w:p>
    <w:p>
      <w:pPr>
        <w:jc w:val="both"/>
        <w:ind w:firstLine="620"/>
        <w:spacing w:after="0" w:line="227" w:lineRule="auto"/>
        <w:rPr>
          <w:sz w:val="20"/>
          <w:szCs w:val="20"/>
          <w:color w:val="auto"/>
        </w:rPr>
      </w:pPr>
      <w:r>
        <w:rPr>
          <w:rFonts w:ascii="Times New Roman" w:cs="Times New Roman" w:eastAsia="Times New Roman" w:hAnsi="Times New Roman"/>
          <w:sz w:val="21"/>
          <w:szCs w:val="21"/>
          <w:b w:val="1"/>
          <w:bCs w:val="1"/>
          <w:color w:val="auto"/>
        </w:rPr>
        <w:t>7.03 Consolidations and Mergers</w:t>
      </w:r>
      <w:r>
        <w:rPr>
          <w:rFonts w:ascii="Times New Roman" w:cs="Times New Roman" w:eastAsia="Times New Roman" w:hAnsi="Times New Roman"/>
          <w:sz w:val="21"/>
          <w:szCs w:val="21"/>
          <w:color w:val="auto"/>
        </w:rPr>
        <w:t>. None of the Borrowers shall, or permit any Subsidiary to, merge, consolidate with or into,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convey, transfer, lease or otherwise dispose of (whether in one transaction or in a series of transactions) all or substantially all of its assets (whether now owned or hereafter acquired) to or in favor of any Person, except:</w:t>
      </w:r>
    </w:p>
    <w:p>
      <w:pPr>
        <w:spacing w:after="0" w:line="146" w:lineRule="exact"/>
        <w:rPr>
          <w:sz w:val="20"/>
          <w:szCs w:val="20"/>
          <w:color w:val="auto"/>
        </w:rPr>
      </w:pPr>
    </w:p>
    <w:p>
      <w:pPr>
        <w:jc w:val="both"/>
        <w:ind w:firstLine="1244"/>
        <w:spacing w:after="0" w:line="217" w:lineRule="auto"/>
        <w:tabs>
          <w:tab w:leader="none" w:pos="1717"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Subsidiary (other than TCC, to the extent TCC becomes a Borrower pursuant to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xml:space="preserve">), including any Subsidiary Borrower, may merge with one of the Borrowers, or with any one or more Subsidiaries; provided that if any transaction shall be between a Subsidiary and a Wholly-Owned Subsidiary, the surviving Person shall be a Wholly-Owned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any such transaction shall be between a Subsidiary and a Subsidiary Borrower, the surviving Person shall be a Subsidiary Borrower, as applicable;</w:t>
      </w:r>
    </w:p>
    <w:p>
      <w:pPr>
        <w:spacing w:after="0" w:line="148" w:lineRule="exact"/>
        <w:rPr>
          <w:rFonts w:ascii="Times New Roman" w:cs="Times New Roman" w:eastAsia="Times New Roman" w:hAnsi="Times New Roman"/>
          <w:sz w:val="21"/>
          <w:szCs w:val="21"/>
          <w:color w:val="auto"/>
        </w:rPr>
      </w:pPr>
    </w:p>
    <w:p>
      <w:pPr>
        <w:ind w:left="1680" w:hanging="436"/>
        <w:spacing w:after="0"/>
        <w:tabs>
          <w:tab w:leader="none" w:pos="168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TCC may merge with or sell all or substantially all of its assets to Toro;</w:t>
      </w:r>
    </w:p>
    <w:p>
      <w:pPr>
        <w:spacing w:after="0" w:line="171" w:lineRule="exact"/>
        <w:rPr>
          <w:rFonts w:ascii="Times New Roman" w:cs="Times New Roman" w:eastAsia="Times New Roman" w:hAnsi="Times New Roman"/>
          <w:sz w:val="21"/>
          <w:szCs w:val="21"/>
          <w:color w:val="auto"/>
        </w:rPr>
      </w:pPr>
    </w:p>
    <w:p>
      <w:pPr>
        <w:jc w:val="both"/>
        <w:ind w:firstLine="1244"/>
        <w:spacing w:after="0" w:line="225" w:lineRule="auto"/>
        <w:tabs>
          <w:tab w:leader="none" w:pos="1717"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Subsidiary (other than TCC, to the extent TCC becomes a Borrower pursuant to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including any Subsidiary Borrower, may sell all or substantially all of its assets (upon voluntary liquidation or otherwise), to one of the Borrowers or another Wholly-Owned Subsidiary; and</w:t>
      </w:r>
    </w:p>
    <w:p>
      <w:pPr>
        <w:spacing w:after="0" w:line="147" w:lineRule="exact"/>
        <w:rPr>
          <w:rFonts w:ascii="Times New Roman" w:cs="Times New Roman" w:eastAsia="Times New Roman" w:hAnsi="Times New Roman"/>
          <w:sz w:val="21"/>
          <w:szCs w:val="21"/>
          <w:color w:val="auto"/>
        </w:rPr>
      </w:pPr>
    </w:p>
    <w:p>
      <w:pPr>
        <w:ind w:left="1700" w:hanging="456"/>
        <w:spacing w:after="0"/>
        <w:tabs>
          <w:tab w:leader="none" w:pos="170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those transactions otherwise permitted under </w:t>
      </w:r>
      <w:r>
        <w:rPr>
          <w:rFonts w:ascii="Times New Roman" w:cs="Times New Roman" w:eastAsia="Times New Roman" w:hAnsi="Times New Roman"/>
          <w:sz w:val="21"/>
          <w:szCs w:val="21"/>
          <w:u w:val="single" w:color="auto"/>
          <w:color w:val="auto"/>
        </w:rPr>
        <w:t>Section 7.02</w:t>
      </w:r>
      <w:r>
        <w:rPr>
          <w:rFonts w:ascii="Times New Roman" w:cs="Times New Roman" w:eastAsia="Times New Roman" w:hAnsi="Times New Roman"/>
          <w:sz w:val="21"/>
          <w:szCs w:val="21"/>
          <w:color w:val="auto"/>
        </w:rPr>
        <w:t>; and</w:t>
      </w:r>
    </w:p>
    <w:p>
      <w:pPr>
        <w:spacing w:after="0" w:line="171" w:lineRule="exact"/>
        <w:rPr>
          <w:rFonts w:ascii="Times New Roman" w:cs="Times New Roman" w:eastAsia="Times New Roman" w:hAnsi="Times New Roman"/>
          <w:sz w:val="21"/>
          <w:szCs w:val="21"/>
          <w:color w:val="auto"/>
        </w:rPr>
      </w:pPr>
    </w:p>
    <w:p>
      <w:pPr>
        <w:ind w:left="1680" w:hanging="436"/>
        <w:spacing w:after="0"/>
        <w:tabs>
          <w:tab w:leader="none" w:pos="168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transactions in order to consummate Acquisitions.</w:t>
      </w:r>
    </w:p>
    <w:p>
      <w:pPr>
        <w:spacing w:after="0" w:line="168" w:lineRule="exact"/>
        <w:rPr>
          <w:sz w:val="20"/>
          <w:szCs w:val="20"/>
          <w:color w:val="auto"/>
        </w:rPr>
      </w:pPr>
    </w:p>
    <w:p>
      <w:pPr>
        <w:jc w:val="both"/>
        <w:ind w:firstLine="620"/>
        <w:spacing w:after="0" w:line="221" w:lineRule="auto"/>
        <w:rPr>
          <w:sz w:val="20"/>
          <w:szCs w:val="20"/>
          <w:color w:val="auto"/>
        </w:rPr>
      </w:pPr>
      <w:r>
        <w:rPr>
          <w:rFonts w:ascii="Times New Roman" w:cs="Times New Roman" w:eastAsia="Times New Roman" w:hAnsi="Times New Roman"/>
          <w:sz w:val="21"/>
          <w:szCs w:val="21"/>
          <w:b w:val="1"/>
          <w:bCs w:val="1"/>
          <w:color w:val="auto"/>
        </w:rPr>
        <w:t>7.04 Restricted Payments</w:t>
      </w:r>
      <w:r>
        <w:rPr>
          <w:rFonts w:ascii="Times New Roman" w:cs="Times New Roman" w:eastAsia="Times New Roman" w:hAnsi="Times New Roman"/>
          <w:sz w:val="21"/>
          <w:szCs w:val="21"/>
          <w:color w:val="auto"/>
        </w:rPr>
        <w:t>. None of the Borrowers shall, or shall suffer or permit any Material Subsidiary to, declare or make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dividend payment or other distribution of assets, properties, cash, rights, obligations or securities on account of any shares of any class of its capital stock, or purchase, redeem or otherwise acquire for value any shares of its capital stock or any warrants, rights or options to acquire such shares, now or hereafter outstanding (each of the foregoing a “</w:t>
      </w:r>
      <w:r>
        <w:rPr>
          <w:rFonts w:ascii="Times New Roman" w:cs="Times New Roman" w:eastAsia="Times New Roman" w:hAnsi="Times New Roman"/>
          <w:sz w:val="21"/>
          <w:szCs w:val="21"/>
          <w:u w:val="single" w:color="auto"/>
          <w:color w:val="auto"/>
        </w:rPr>
        <w:t>Restricted Payment</w:t>
      </w:r>
      <w:r>
        <w:rPr>
          <w:rFonts w:ascii="Times New Roman" w:cs="Times New Roman" w:eastAsia="Times New Roman" w:hAnsi="Times New Roman"/>
          <w:sz w:val="21"/>
          <w:szCs w:val="21"/>
          <w:color w:val="auto"/>
        </w:rPr>
        <w:t>”); except that:</w:t>
      </w:r>
    </w:p>
    <w:p>
      <w:pPr>
        <w:spacing w:after="0" w:line="148" w:lineRule="exact"/>
        <w:rPr>
          <w:sz w:val="20"/>
          <w:szCs w:val="20"/>
          <w:color w:val="auto"/>
        </w:rPr>
      </w:pPr>
    </w:p>
    <w:p>
      <w:pPr>
        <w:ind w:firstLine="1244"/>
        <w:spacing w:after="0" w:line="236" w:lineRule="auto"/>
        <w:tabs>
          <w:tab w:leader="none" w:pos="1688"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and any Wholly-Owned Subsidiary may declare and make dividend payments or other distributions payable solely in its common stock;</w:t>
      </w:r>
    </w:p>
    <w:p>
      <w:pPr>
        <w:spacing w:after="0" w:line="145" w:lineRule="exact"/>
        <w:rPr>
          <w:rFonts w:ascii="Times New Roman" w:cs="Times New Roman" w:eastAsia="Times New Roman" w:hAnsi="Times New Roman"/>
          <w:sz w:val="21"/>
          <w:szCs w:val="21"/>
          <w:color w:val="auto"/>
        </w:rPr>
      </w:pPr>
    </w:p>
    <w:p>
      <w:pPr>
        <w:jc w:val="both"/>
        <w:ind w:firstLine="1244"/>
        <w:spacing w:after="0" w:line="225" w:lineRule="auto"/>
        <w:tabs>
          <w:tab w:leader="none" w:pos="1837"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and any Wholly-Owned Subsidiary may purchase, redeem or otherwise acquire shares of its common stock or warrants or options to acquire any such shares with the proceeds received from the substantially concurrent issue of new shares of its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w:t>
      </w:r>
    </w:p>
    <w:p>
      <w:pPr>
        <w:sectPr>
          <w:pgSz w:w="11900" w:h="16838" w:orient="portrait"/>
          <w:cols w:equalWidth="0" w:num="1">
            <w:col w:w="11240"/>
          </w:cols>
          <w:pgMar w:left="320" w:top="1342" w:right="339" w:bottom="1440" w:gutter="0" w:footer="0" w:header="0"/>
        </w:sectPr>
      </w:pPr>
    </w:p>
    <w:bookmarkStart w:id="166" w:name="page167"/>
    <w:bookmarkEnd w:id="166"/>
    <w:p>
      <w:pPr>
        <w:jc w:val="both"/>
        <w:ind w:firstLine="1244"/>
        <w:spacing w:after="0" w:line="217" w:lineRule="auto"/>
        <w:tabs>
          <w:tab w:leader="none" w:pos="1697"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(both before and after giving pro forma effect to such Restricted Payment) the Leverage Ratio for such period is less than or equal to the maximum permitted Leverage Ratio then in effect pursuant to </w:t>
      </w:r>
      <w:r>
        <w:rPr>
          <w:rFonts w:ascii="Times New Roman" w:cs="Times New Roman" w:eastAsia="Times New Roman" w:hAnsi="Times New Roman"/>
          <w:sz w:val="21"/>
          <w:szCs w:val="21"/>
          <w:u w:val="single" w:color="auto"/>
          <w:color w:val="auto"/>
        </w:rPr>
        <w:t>Section 7.05</w:t>
      </w:r>
      <w:r>
        <w:rPr>
          <w:rFonts w:ascii="Times New Roman" w:cs="Times New Roman" w:eastAsia="Times New Roman" w:hAnsi="Times New Roman"/>
          <w:sz w:val="21"/>
          <w:szCs w:val="21"/>
          <w:color w:val="auto"/>
        </w:rPr>
        <w:t xml:space="preserve">, Toro may declare and pay cash dividends to its stockholders and purchase, redeem or otherwise acquire shares of its capital stock or warrants, rights or options to acquire any such shares for cash without restriction;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immediately after giving effect to any such proposed action, no Default or Event of Default would exist; and</w:t>
      </w:r>
    </w:p>
    <w:p>
      <w:pPr>
        <w:spacing w:after="0" w:line="148" w:lineRule="exact"/>
        <w:rPr>
          <w:rFonts w:ascii="Times New Roman" w:cs="Times New Roman" w:eastAsia="Times New Roman" w:hAnsi="Times New Roman"/>
          <w:sz w:val="21"/>
          <w:szCs w:val="21"/>
          <w:color w:val="auto"/>
        </w:rPr>
      </w:pPr>
    </w:p>
    <w:p>
      <w:pPr>
        <w:jc w:val="both"/>
        <w:ind w:firstLine="1244"/>
        <w:spacing w:after="0" w:line="225" w:lineRule="auto"/>
        <w:tabs>
          <w:tab w:leader="none" w:pos="1714"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TCC, to the extent TCC becomes a Borrower pursuant to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and any Subsidiary Borrower may declare and pay dividends to Toro or its parent company and any Wholly- Owned Subsidiary may declare and pay dividends to its parent company.</w:t>
      </w:r>
    </w:p>
    <w:p>
      <w:pPr>
        <w:spacing w:after="0" w:line="144" w:lineRule="exact"/>
        <w:rPr>
          <w:sz w:val="20"/>
          <w:szCs w:val="20"/>
          <w:color w:val="auto"/>
        </w:rPr>
      </w:pPr>
    </w:p>
    <w:p>
      <w:pPr>
        <w:jc w:val="both"/>
        <w:ind w:firstLine="620"/>
        <w:spacing w:after="0" w:line="214" w:lineRule="auto"/>
        <w:rPr>
          <w:sz w:val="20"/>
          <w:szCs w:val="20"/>
          <w:color w:val="auto"/>
        </w:rPr>
      </w:pPr>
      <w:r>
        <w:rPr>
          <w:rFonts w:ascii="Times New Roman" w:cs="Times New Roman" w:eastAsia="Times New Roman" w:hAnsi="Times New Roman"/>
          <w:sz w:val="21"/>
          <w:szCs w:val="21"/>
          <w:b w:val="1"/>
          <w:bCs w:val="1"/>
          <w:color w:val="auto"/>
        </w:rPr>
        <w:t>7.05 Maximum Leverage Ratio</w:t>
      </w:r>
      <w:r>
        <w:rPr>
          <w:rFonts w:ascii="Times New Roman" w:cs="Times New Roman" w:eastAsia="Times New Roman" w:hAnsi="Times New Roman"/>
          <w:sz w:val="21"/>
          <w:szCs w:val="21"/>
          <w:color w:val="auto"/>
        </w:rPr>
        <w:t>. Toro, on a consolidated basis, shall not, as of the end of any fiscal quarter, permit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consolidated ratio of (a) total Indebtedness as of such date to (b) the sum of Consolidated EBIT plus depreciation and amortization expense (the “</w:t>
      </w:r>
      <w:r>
        <w:rPr>
          <w:rFonts w:ascii="Times New Roman" w:cs="Times New Roman" w:eastAsia="Times New Roman" w:hAnsi="Times New Roman"/>
          <w:sz w:val="21"/>
          <w:szCs w:val="21"/>
          <w:u w:val="single" w:color="auto"/>
          <w:color w:val="auto"/>
        </w:rPr>
        <w:t>Leverage Ratio</w:t>
      </w:r>
      <w:r>
        <w:rPr>
          <w:rFonts w:ascii="Times New Roman" w:cs="Times New Roman" w:eastAsia="Times New Roman" w:hAnsi="Times New Roman"/>
          <w:sz w:val="21"/>
          <w:szCs w:val="21"/>
          <w:color w:val="auto"/>
        </w:rPr>
        <w:t xml:space="preserve">”) for the period of four prior fiscal quarters ending on such date to be more than 3.50 to 1.00;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after the occurrence of any Acquisition (or series of related transactions for the purpose of or resulting in such Acquisition) with aggregate consideration in excess of $75,000,000, at the option of Toro, for each of the four consecutive fiscal quarters ending after such option exercise (a “</w:t>
      </w:r>
      <w:r>
        <w:rPr>
          <w:rFonts w:ascii="Times New Roman" w:cs="Times New Roman" w:eastAsia="Times New Roman" w:hAnsi="Times New Roman"/>
          <w:sz w:val="21"/>
          <w:szCs w:val="21"/>
          <w:u w:val="single" w:color="auto"/>
          <w:color w:val="auto"/>
        </w:rPr>
        <w:t>Covenant Holiday</w:t>
      </w:r>
      <w:r>
        <w:rPr>
          <w:rFonts w:ascii="Times New Roman" w:cs="Times New Roman" w:eastAsia="Times New Roman" w:hAnsi="Times New Roman"/>
          <w:sz w:val="21"/>
          <w:szCs w:val="21"/>
          <w:color w:val="auto"/>
        </w:rPr>
        <w:t xml:space="preserve">”), the Leverage Ratio as of the last day of such fiscal quarter shall not exceed 4.00 to 1.00;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Toro may opt to use a maximum of two Covenant Holidays.</w:t>
      </w:r>
    </w:p>
    <w:p>
      <w:pPr>
        <w:spacing w:after="0" w:line="147" w:lineRule="exact"/>
        <w:rPr>
          <w:sz w:val="20"/>
          <w:szCs w:val="20"/>
          <w:color w:val="auto"/>
        </w:rPr>
      </w:pPr>
    </w:p>
    <w:p>
      <w:pPr>
        <w:jc w:val="both"/>
        <w:ind w:firstLine="620"/>
        <w:spacing w:after="0" w:line="227" w:lineRule="auto"/>
        <w:rPr>
          <w:sz w:val="20"/>
          <w:szCs w:val="20"/>
          <w:color w:val="auto"/>
        </w:rPr>
      </w:pPr>
      <w:r>
        <w:rPr>
          <w:rFonts w:ascii="Times New Roman" w:cs="Times New Roman" w:eastAsia="Times New Roman" w:hAnsi="Times New Roman"/>
          <w:sz w:val="21"/>
          <w:szCs w:val="21"/>
          <w:b w:val="1"/>
          <w:bCs w:val="1"/>
          <w:color w:val="auto"/>
        </w:rPr>
        <w:t>7.06 Red Iron</w:t>
      </w:r>
      <w:r>
        <w:rPr>
          <w:rFonts w:ascii="Times New Roman" w:cs="Times New Roman" w:eastAsia="Times New Roman" w:hAnsi="Times New Roman"/>
          <w:sz w:val="21"/>
          <w:szCs w:val="21"/>
          <w:color w:val="auto"/>
        </w:rPr>
        <w:t>. None of the Borrowers shall, or permit any Subsidiary to, agree to permit Red Iron to retain or defer payment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undisputed amounts due by Red Iron to Toro or any Subsidiary (other than as an offset in payment of amounts due by Toro or such Subsidiaries to Red Iron) in an aggregate amount at any time in excess of $35,000,000.</w:t>
      </w:r>
    </w:p>
    <w:p>
      <w:pPr>
        <w:spacing w:after="0" w:line="142" w:lineRule="exact"/>
        <w:rPr>
          <w:sz w:val="20"/>
          <w:szCs w:val="20"/>
          <w:color w:val="auto"/>
        </w:rPr>
      </w:pPr>
    </w:p>
    <w:p>
      <w:pPr>
        <w:jc w:val="both"/>
        <w:ind w:firstLine="620"/>
        <w:spacing w:after="0" w:line="229" w:lineRule="auto"/>
        <w:rPr>
          <w:sz w:val="20"/>
          <w:szCs w:val="20"/>
          <w:color w:val="auto"/>
        </w:rPr>
      </w:pPr>
      <w:r>
        <w:rPr>
          <w:rFonts w:ascii="Times New Roman" w:cs="Times New Roman" w:eastAsia="Times New Roman" w:hAnsi="Times New Roman"/>
          <w:sz w:val="20"/>
          <w:szCs w:val="20"/>
          <w:b w:val="1"/>
          <w:bCs w:val="1"/>
          <w:color w:val="auto"/>
        </w:rPr>
        <w:t xml:space="preserve">7.07 Sanctions </w:t>
      </w:r>
      <w:r>
        <w:rPr>
          <w:rFonts w:ascii="Times New Roman" w:cs="Times New Roman" w:eastAsia="Times New Roman" w:hAnsi="Times New Roman"/>
          <w:sz w:val="20"/>
          <w:szCs w:val="20"/>
          <w:color w:val="auto"/>
        </w:rPr>
        <w:t>. No Borrower shall directly or indirectly use the proceeds of any Credit Extension, or lend, contribute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L/C Issuer, Swing Line Lender, or otherwise) of Sanctions.</w:t>
      </w:r>
    </w:p>
    <w:p>
      <w:pPr>
        <w:spacing w:after="0" w:line="143" w:lineRule="exact"/>
        <w:rPr>
          <w:sz w:val="20"/>
          <w:szCs w:val="20"/>
          <w:color w:val="auto"/>
        </w:rPr>
      </w:pPr>
    </w:p>
    <w:p>
      <w:pPr>
        <w:jc w:val="both"/>
        <w:ind w:firstLine="620"/>
        <w:spacing w:after="0" w:line="227" w:lineRule="auto"/>
        <w:rPr>
          <w:sz w:val="20"/>
          <w:szCs w:val="20"/>
          <w:color w:val="auto"/>
        </w:rPr>
      </w:pPr>
      <w:r>
        <w:rPr>
          <w:rFonts w:ascii="Times New Roman" w:cs="Times New Roman" w:eastAsia="Times New Roman" w:hAnsi="Times New Roman"/>
          <w:sz w:val="21"/>
          <w:szCs w:val="21"/>
          <w:b w:val="1"/>
          <w:bCs w:val="1"/>
          <w:color w:val="auto"/>
        </w:rPr>
        <w:t>7.08 Anti-Corruption Laws</w:t>
      </w:r>
      <w:r>
        <w:rPr>
          <w:rFonts w:ascii="Times New Roman" w:cs="Times New Roman" w:eastAsia="Times New Roman" w:hAnsi="Times New Roman"/>
          <w:sz w:val="21"/>
          <w:szCs w:val="21"/>
          <w:color w:val="auto"/>
        </w:rPr>
        <w:t>. No Borrower shall directly or indirectly use the proceeds of any Credit Extension for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purpose which would breach the United States Foreign Corrupt Practices Act of 1977, the UK Bribery Act 2010, or other similar legislation in other jurisdictions.</w:t>
      </w:r>
    </w:p>
    <w:p>
      <w:pPr>
        <w:spacing w:after="0" w:line="1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ARTICLE VIII.</w:t>
      </w:r>
    </w:p>
    <w:p>
      <w:pPr>
        <w:jc w:val="center"/>
        <w:spacing w:after="0"/>
        <w:rPr>
          <w:sz w:val="20"/>
          <w:szCs w:val="20"/>
          <w:color w:val="auto"/>
        </w:rPr>
      </w:pPr>
      <w:r>
        <w:rPr>
          <w:rFonts w:ascii="Times New Roman" w:cs="Times New Roman" w:eastAsia="Times New Roman" w:hAnsi="Times New Roman"/>
          <w:sz w:val="21"/>
          <w:szCs w:val="21"/>
          <w:b w:val="1"/>
          <w:bCs w:val="1"/>
          <w:color w:val="auto"/>
        </w:rPr>
        <w:t>EVENTS OF DEFAULT AND REMEDIES</w:t>
      </w:r>
    </w:p>
    <w:p>
      <w:pPr>
        <w:spacing w:after="0" w:line="146" w:lineRule="exact"/>
        <w:rPr>
          <w:sz w:val="20"/>
          <w:szCs w:val="20"/>
          <w:color w:val="auto"/>
        </w:rPr>
      </w:pPr>
    </w:p>
    <w:p>
      <w:pPr>
        <w:ind w:left="620"/>
        <w:spacing w:after="0"/>
        <w:tabs>
          <w:tab w:leader="none" w:pos="1180" w:val="left"/>
        </w:tabs>
        <w:rPr>
          <w:sz w:val="20"/>
          <w:szCs w:val="20"/>
          <w:color w:val="auto"/>
        </w:rPr>
      </w:pPr>
      <w:r>
        <w:rPr>
          <w:rFonts w:ascii="Times New Roman" w:cs="Times New Roman" w:eastAsia="Times New Roman" w:hAnsi="Times New Roman"/>
          <w:sz w:val="21"/>
          <w:szCs w:val="21"/>
          <w:b w:val="1"/>
          <w:bCs w:val="1"/>
          <w:color w:val="auto"/>
        </w:rPr>
        <w:t>8.01</w:t>
      </w:r>
      <w:r>
        <w:rPr>
          <w:sz w:val="20"/>
          <w:szCs w:val="20"/>
          <w:color w:val="auto"/>
        </w:rPr>
        <w:tab/>
      </w:r>
      <w:r>
        <w:rPr>
          <w:rFonts w:ascii="Times New Roman" w:cs="Times New Roman" w:eastAsia="Times New Roman" w:hAnsi="Times New Roman"/>
          <w:sz w:val="20"/>
          <w:szCs w:val="20"/>
          <w:b w:val="1"/>
          <w:bCs w:val="1"/>
          <w:color w:val="auto"/>
        </w:rPr>
        <w:t>Events of Default</w:t>
      </w:r>
      <w:r>
        <w:rPr>
          <w:rFonts w:ascii="Times New Roman" w:cs="Times New Roman" w:eastAsia="Times New Roman" w:hAnsi="Times New Roman"/>
          <w:sz w:val="20"/>
          <w:szCs w:val="20"/>
          <w:color w:val="auto"/>
        </w:rPr>
        <w:t>. Any of the following shall constitute an Event of Default:</w:t>
      </w:r>
    </w:p>
    <w:p>
      <w:pPr>
        <w:spacing w:after="0" w:line="176" w:lineRule="exact"/>
        <w:rPr>
          <w:sz w:val="20"/>
          <w:szCs w:val="20"/>
          <w:color w:val="auto"/>
        </w:rPr>
      </w:pPr>
    </w:p>
    <w:p>
      <w:pPr>
        <w:jc w:val="both"/>
        <w:ind w:firstLine="1244"/>
        <w:spacing w:after="0" w:line="220" w:lineRule="auto"/>
        <w:tabs>
          <w:tab w:leader="none" w:pos="1676"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Non-Payment</w:t>
      </w:r>
      <w:r>
        <w:rPr>
          <w:rFonts w:ascii="Times New Roman" w:cs="Times New Roman" w:eastAsia="Times New Roman" w:hAnsi="Times New Roman"/>
          <w:sz w:val="21"/>
          <w:szCs w:val="21"/>
          <w:color w:val="auto"/>
        </w:rPr>
        <w:t>. Any Borrower or any other Loan Party fails to pay (i) when and as required to be paid herein, and in the currency required hereunder, any amount of principal of any Loan or any L/C Obligation, or (ii) within five (5) days after the same becomes due, any interest on any Loan or on any L/C Obligation, or any fee due hereunder, or (iii) within five (5) days after the same becomes due, any other amount payable hereunder or under any other Loan Document;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97</w:t>
      </w:r>
    </w:p>
    <w:p>
      <w:pPr>
        <w:sectPr>
          <w:pgSz w:w="11900" w:h="16838" w:orient="portrait"/>
          <w:cols w:equalWidth="0" w:num="1">
            <w:col w:w="11240"/>
          </w:cols>
          <w:pgMar w:left="320" w:top="1342" w:right="339" w:bottom="1440" w:gutter="0" w:footer="0" w:header="0"/>
        </w:sectPr>
      </w:pPr>
    </w:p>
    <w:bookmarkStart w:id="167" w:name="page168"/>
    <w:bookmarkEnd w:id="167"/>
    <w:p>
      <w:pPr>
        <w:ind w:firstLine="1244"/>
        <w:spacing w:after="0" w:line="236" w:lineRule="auto"/>
        <w:tabs>
          <w:tab w:leader="none" w:pos="1701"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Specific Covenants</w:t>
      </w:r>
      <w:r>
        <w:rPr>
          <w:rFonts w:ascii="Times New Roman" w:cs="Times New Roman" w:eastAsia="Times New Roman" w:hAnsi="Times New Roman"/>
          <w:sz w:val="21"/>
          <w:szCs w:val="21"/>
          <w:color w:val="auto"/>
        </w:rPr>
        <w:t xml:space="preserve">. Toro fails to perform or observe any term, covenant or agreement contained in any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6.03(a)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6.10</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6.11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Article VII</w:t>
      </w:r>
      <w:r>
        <w:rPr>
          <w:rFonts w:ascii="Times New Roman" w:cs="Times New Roman" w:eastAsia="Times New Roman" w:hAnsi="Times New Roman"/>
          <w:sz w:val="21"/>
          <w:szCs w:val="21"/>
          <w:color w:val="auto"/>
        </w:rPr>
        <w:t>; or</w:t>
      </w:r>
    </w:p>
    <w:p>
      <w:pPr>
        <w:spacing w:after="0" w:line="145" w:lineRule="exact"/>
        <w:rPr>
          <w:rFonts w:ascii="Times New Roman" w:cs="Times New Roman" w:eastAsia="Times New Roman" w:hAnsi="Times New Roman"/>
          <w:sz w:val="21"/>
          <w:szCs w:val="21"/>
          <w:color w:val="auto"/>
        </w:rPr>
      </w:pPr>
    </w:p>
    <w:p>
      <w:pPr>
        <w:jc w:val="both"/>
        <w:ind w:firstLine="1244"/>
        <w:spacing w:after="0" w:line="215" w:lineRule="auto"/>
        <w:tabs>
          <w:tab w:leader="none" w:pos="1689"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Defaults</w:t>
      </w:r>
      <w:r>
        <w:rPr>
          <w:rFonts w:ascii="Times New Roman" w:cs="Times New Roman" w:eastAsia="Times New Roman" w:hAnsi="Times New Roman"/>
          <w:sz w:val="21"/>
          <w:szCs w:val="21"/>
          <w:color w:val="auto"/>
        </w:rPr>
        <w:t xml:space="preserve">. Any Borrower fails to perform or observe any other term or covenant contained in this Agreement or any other Loan Document (and such failure does not otherwise constitute an Event of Default under this </w:t>
      </w:r>
      <w:r>
        <w:rPr>
          <w:rFonts w:ascii="Times New Roman" w:cs="Times New Roman" w:eastAsia="Times New Roman" w:hAnsi="Times New Roman"/>
          <w:sz w:val="21"/>
          <w:szCs w:val="21"/>
          <w:u w:val="single" w:color="auto"/>
          <w:color w:val="auto"/>
        </w:rPr>
        <w:t>Section 8.01</w:t>
      </w:r>
      <w:r>
        <w:rPr>
          <w:rFonts w:ascii="Times New Roman" w:cs="Times New Roman" w:eastAsia="Times New Roman" w:hAnsi="Times New Roman"/>
          <w:sz w:val="21"/>
          <w:szCs w:val="21"/>
          <w:color w:val="auto"/>
        </w:rPr>
        <w:t xml:space="preserve">), and such default shall continue unremedied for a period of 30 days,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Borrowers are diligently and in good faith attempting to cure such default, such default is curable and such default will not possibly result in a Material Adverse Effect, then the Borrowers may have additional time to cure such default as specified in writing by the Required Lenders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additional time shall not exceed 60 days; or</w:t>
      </w:r>
    </w:p>
    <w:p>
      <w:pPr>
        <w:spacing w:after="0" w:line="149" w:lineRule="exact"/>
        <w:rPr>
          <w:rFonts w:ascii="Times New Roman" w:cs="Times New Roman" w:eastAsia="Times New Roman" w:hAnsi="Times New Roman"/>
          <w:sz w:val="21"/>
          <w:szCs w:val="21"/>
          <w:color w:val="auto"/>
        </w:rPr>
      </w:pPr>
    </w:p>
    <w:p>
      <w:pPr>
        <w:jc w:val="both"/>
        <w:ind w:firstLine="1244"/>
        <w:spacing w:after="0" w:line="215" w:lineRule="auto"/>
        <w:tabs>
          <w:tab w:leader="none" w:pos="1804"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Any representation or warranty by any Borrower or any Subsidiary made or deemed made herein, in any other Loan Document, or which is contained in any certificate, document or financial or other statement by any Borrower, any Subsidiary, or any Responsible Officer, furnished at any time under this Agreement, or in or under any other Loan Document, is incorrect or misleading in any material respect (except, if a qualifier relating to materiality, Material Adverse Effect or a similar concept applies, such representation or warranty shall have been incorrect in any respect) on or as of the date made or deemed made; or</w:t>
      </w:r>
    </w:p>
    <w:p>
      <w:pPr>
        <w:spacing w:after="0" w:line="149" w:lineRule="exact"/>
        <w:rPr>
          <w:rFonts w:ascii="Times New Roman" w:cs="Times New Roman" w:eastAsia="Times New Roman" w:hAnsi="Times New Roman"/>
          <w:sz w:val="21"/>
          <w:szCs w:val="21"/>
          <w:color w:val="auto"/>
        </w:rPr>
      </w:pPr>
    </w:p>
    <w:p>
      <w:pPr>
        <w:jc w:val="both"/>
        <w:ind w:firstLine="1244"/>
        <w:spacing w:after="0" w:line="208" w:lineRule="auto"/>
        <w:tabs>
          <w:tab w:leader="none" w:pos="1780"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Cross-Default</w:t>
      </w:r>
      <w:r>
        <w:rPr>
          <w:rFonts w:ascii="Times New Roman" w:cs="Times New Roman" w:eastAsia="Times New Roman" w:hAnsi="Times New Roman"/>
          <w:sz w:val="21"/>
          <w:szCs w:val="21"/>
          <w:color w:val="auto"/>
        </w:rPr>
        <w:t>. (i) Any Borrower or any Material Subsidiary (A) fails to make any payment in respect of any Indebtedness or Contingent Obligation, having an aggregate principal amount (including undrawn committed or available amounts and including amounts owing to all creditors under any combined or syndicated credit arrangement) of more than $75,000,000 when due (whether by scheduled maturity, required prepayment, acceleration, demand, or otherwise) and such failure continues after the applicable grace or notice period, if any, specified in the relevant document on the date of such failure; or (B) fails to perform or observe any other condition or covenant, or any other event shall occur or condition exist, under any agreement or instrument relating to any such Indebtedness or Contingent Obligation, and such failure continues after the applicable grace, cure or notice period, if any, specified in the relevant document on the date of such failure and if the effect of such failure, event or condition is to allow the holder or holders of such Indebtedness or beneficiary or beneficiaries of such Indebtedness (or a trustee or agent on behalf of such holder or holders or beneficiary or beneficiaries) to cause such Indebtedness to be declared to be due and payable prior to its stated maturity or such Contingent Obligation to become payable or cash collateral in respect thereof to be demanded; or (ii)(A) there occurs any termination, liquidation, unwind or similar event or circumstance under any Receivables Purchase Facility other than a voluntary termination by any Borrower or a scheduled termination, as a result of which any purchaser of receivables thereunder has ceased purchasing such Receivables and such purchaser may apply all collections on previously purchased Receivables thereunder to the payment of such purchaser’s interest in such previously purchased Receivables (any such event or circumstance referred to as a “</w:t>
      </w:r>
      <w:r>
        <w:rPr>
          <w:rFonts w:ascii="Times New Roman" w:cs="Times New Roman" w:eastAsia="Times New Roman" w:hAnsi="Times New Roman"/>
          <w:sz w:val="21"/>
          <w:szCs w:val="21"/>
          <w:u w:val="single" w:color="auto"/>
          <w:color w:val="auto"/>
        </w:rPr>
        <w:t>Receivables Purchase Facility Termination</w:t>
      </w:r>
      <w:r>
        <w:rPr>
          <w:rFonts w:ascii="Times New Roman" w:cs="Times New Roman" w:eastAsia="Times New Roman" w:hAnsi="Times New Roman"/>
          <w:sz w:val="21"/>
          <w:szCs w:val="21"/>
          <w:color w:val="auto"/>
        </w:rPr>
        <w:t>”) other than any such Receivables Purchase Facility Termination that arises solely as a result of (i) a down-grading of the credit rating of any bank or financial institution not affiliated with the Borrowers that provides liquidity, credit or other support in connection with such facility; or (ii) breach of a covenant contained in any Receivables Purchase Facility and this Agreement if the Lenders have previously waived compliance with such covenant under the terms of this Agreement with respect to the particular instance of non-compliance giving rise to the breach of such covenant under such Receivables Purchase Facility, it being acknowledged by the Borrowers that no waiver by the Lenders of compliance with the provisions of this Agreement in any particular instance shall constitute a waiver under either this Agreement or any Receivables Purchase Facility of any future non-compliance with such provision and (B) within 60 days after the effective date of such Receivables Purchase Facility Termination, additional financing and/or capitalization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98</w:t>
      </w:r>
    </w:p>
    <w:p>
      <w:pPr>
        <w:sectPr>
          <w:pgSz w:w="11900" w:h="16838" w:orient="portrait"/>
          <w:cols w:equalWidth="0" w:num="1">
            <w:col w:w="11240"/>
          </w:cols>
          <w:pgMar w:left="320" w:top="1342" w:right="339" w:bottom="1440" w:gutter="0" w:footer="0" w:header="0"/>
        </w:sectPr>
      </w:pPr>
    </w:p>
    <w:bookmarkStart w:id="168" w:name="page169"/>
    <w:bookmarkEnd w:id="168"/>
    <w:p>
      <w:pPr>
        <w:jc w:val="both"/>
        <w:spacing w:after="0" w:line="225" w:lineRule="auto"/>
        <w:rPr>
          <w:sz w:val="20"/>
          <w:szCs w:val="20"/>
          <w:color w:val="auto"/>
        </w:rPr>
      </w:pPr>
      <w:r>
        <w:rPr>
          <w:rFonts w:ascii="Times New Roman" w:cs="Times New Roman" w:eastAsia="Times New Roman" w:hAnsi="Times New Roman"/>
          <w:sz w:val="21"/>
          <w:szCs w:val="21"/>
          <w:color w:val="auto"/>
        </w:rPr>
        <w:t>Borrowers in replacement of such Receivables Purchase Facility, in an amount substantially similar to the amount of the Receivables Purchase Facility and upon such terms as are acceptable to the Required Lenders, shall not be completed and funding thereunder shall not be available to the Borrowers; or</w:t>
      </w:r>
    </w:p>
    <w:p>
      <w:pPr>
        <w:spacing w:after="0" w:line="148" w:lineRule="exact"/>
        <w:rPr>
          <w:sz w:val="20"/>
          <w:szCs w:val="20"/>
          <w:color w:val="auto"/>
        </w:rPr>
      </w:pPr>
    </w:p>
    <w:p>
      <w:pPr>
        <w:jc w:val="both"/>
        <w:ind w:firstLine="1244"/>
        <w:spacing w:after="0" w:line="220" w:lineRule="auto"/>
        <w:tabs>
          <w:tab w:leader="none" w:pos="1705"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Insolvency, Voluntary Proceedings</w:t>
      </w:r>
      <w:r>
        <w:rPr>
          <w:rFonts w:ascii="Times New Roman" w:cs="Times New Roman" w:eastAsia="Times New Roman" w:hAnsi="Times New Roman"/>
          <w:sz w:val="21"/>
          <w:szCs w:val="21"/>
          <w:color w:val="auto"/>
        </w:rPr>
        <w:t>. Any Borrower or any Material Subsidiary (i) ceases or fails to be solvent, or generally fails to pay, or admits in writing its inability to pay, its debts as they become due, subject to applicable grace periods, if any, whether at stated maturity or otherwise; (ii) voluntarily ceases to conduct its business in the ordinary course; (iii) commences any Insolvency Proceeding with respect to itself; or (iv) takes any action to effectuate or authorize any of the foregoing; or</w:t>
      </w:r>
    </w:p>
    <w:p>
      <w:pPr>
        <w:spacing w:after="0" w:line="148" w:lineRule="exact"/>
        <w:rPr>
          <w:rFonts w:ascii="Times New Roman" w:cs="Times New Roman" w:eastAsia="Times New Roman" w:hAnsi="Times New Roman"/>
          <w:sz w:val="21"/>
          <w:szCs w:val="21"/>
          <w:color w:val="auto"/>
        </w:rPr>
      </w:pPr>
    </w:p>
    <w:p>
      <w:pPr>
        <w:jc w:val="both"/>
        <w:ind w:firstLine="1244"/>
        <w:spacing w:after="0" w:line="212" w:lineRule="auto"/>
        <w:tabs>
          <w:tab w:leader="none" w:pos="1714"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Involuntary Proceedings</w:t>
      </w:r>
      <w:r>
        <w:rPr>
          <w:rFonts w:ascii="Times New Roman" w:cs="Times New Roman" w:eastAsia="Times New Roman" w:hAnsi="Times New Roman"/>
          <w:sz w:val="21"/>
          <w:szCs w:val="21"/>
          <w:color w:val="auto"/>
        </w:rPr>
        <w:t>. (i) Any involuntary Insolvency Proceeding is commenced or filed against any Borrower or any Material Subsidiary, or any writ, judgment, warrant of attachment, execution or similar process, is issued or levied against a substantial part of any Borrower’s or any Material Subsidiary’s properties, and any such proceeding or petition shall not be dismissed, or such writ, judgment, warrant of attachment, execution or similar process shall not be released, vacated or fully bonded within 60 days after commencement, filing or levy; (ii) any Borrower or any Material Subsidiary admits the material allegations of a petition against it in any Insolvency Proceeding, or an order for relief (or similar order under non-U.S. law) is ordered in any Insolvency Proceeding; or (iii) any Borrower or any Material Subsidiary acquiesces in the appointment of a receiver, trustee, custodian, conservator, liquidator, mortgagee in possession (or agent therefor), or other similar Person for itself or a substantial portion of its property or business; or</w:t>
      </w:r>
    </w:p>
    <w:p>
      <w:pPr>
        <w:spacing w:after="0" w:line="147" w:lineRule="exact"/>
        <w:rPr>
          <w:rFonts w:ascii="Times New Roman" w:cs="Times New Roman" w:eastAsia="Times New Roman" w:hAnsi="Times New Roman"/>
          <w:sz w:val="21"/>
          <w:szCs w:val="21"/>
          <w:color w:val="auto"/>
        </w:rPr>
      </w:pPr>
    </w:p>
    <w:p>
      <w:pPr>
        <w:jc w:val="both"/>
        <w:ind w:firstLine="1244"/>
        <w:spacing w:after="0" w:line="217" w:lineRule="auto"/>
        <w:tabs>
          <w:tab w:leader="none" w:pos="1753"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Monetary Judgments</w:t>
      </w:r>
      <w:r>
        <w:rPr>
          <w:rFonts w:ascii="Times New Roman" w:cs="Times New Roman" w:eastAsia="Times New Roman" w:hAnsi="Times New Roman"/>
          <w:sz w:val="21"/>
          <w:szCs w:val="21"/>
          <w:color w:val="auto"/>
        </w:rPr>
        <w:t>. One or more non-interlocutory judgments, non-interlocutory orders, decrees or arbitration awards is entered against any or all of the Borrowers or any Material Subsidiary involving in the aggregate a liability (to the extent not covered by independent third-party insurance as to which the insurer does not dispute coverage) as to any single or related series of transactions, incidents or conditions, of $75,000,000 or more, and the same shall remain unsatisfied, unvacated and unstayed pending appeal for a period of 30 days after the entry thereof; or</w:t>
      </w:r>
    </w:p>
    <w:p>
      <w:pPr>
        <w:spacing w:after="0" w:line="148" w:lineRule="exact"/>
        <w:rPr>
          <w:rFonts w:ascii="Times New Roman" w:cs="Times New Roman" w:eastAsia="Times New Roman" w:hAnsi="Times New Roman"/>
          <w:sz w:val="21"/>
          <w:szCs w:val="21"/>
          <w:color w:val="auto"/>
        </w:rPr>
      </w:pPr>
    </w:p>
    <w:p>
      <w:pPr>
        <w:jc w:val="both"/>
        <w:ind w:firstLine="1244"/>
        <w:spacing w:after="0" w:line="220" w:lineRule="auto"/>
        <w:tabs>
          <w:tab w:leader="none" w:pos="1707"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Non-Monetary Judgments</w:t>
      </w:r>
      <w:r>
        <w:rPr>
          <w:rFonts w:ascii="Times New Roman" w:cs="Times New Roman" w:eastAsia="Times New Roman" w:hAnsi="Times New Roman"/>
          <w:sz w:val="21"/>
          <w:szCs w:val="21"/>
          <w:color w:val="auto"/>
        </w:rPr>
        <w:t>. Any non-monetary judgment, order or decree is entered against any Borrower or any Material Subsidiary which does or would reasonably be expected to have a Material Adverse Effect, and there shall be any period of 30 consecutive days during which a stay of enforcement of such judgment or order, by reason of a pending appeal or otherwise, shall not be in effect; or</w:t>
      </w:r>
    </w:p>
    <w:p>
      <w:pPr>
        <w:spacing w:after="0" w:line="148" w:lineRule="exact"/>
        <w:rPr>
          <w:rFonts w:ascii="Times New Roman" w:cs="Times New Roman" w:eastAsia="Times New Roman" w:hAnsi="Times New Roman"/>
          <w:sz w:val="21"/>
          <w:szCs w:val="21"/>
          <w:color w:val="auto"/>
        </w:rPr>
      </w:pPr>
    </w:p>
    <w:p>
      <w:pPr>
        <w:jc w:val="both"/>
        <w:ind w:firstLine="1244"/>
        <w:spacing w:after="0" w:line="217" w:lineRule="auto"/>
        <w:tabs>
          <w:tab w:leader="none" w:pos="1694"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(i) An ERISA Event occurs with respect to a Pension Plan or Multiemployer Plan which has resulted or could reasonably be expected to result in liability of any Borrower under Title IV of ERISA to the Pension Plan, Multiemployer Plan or the PBGC in an aggregate amount in excess of $75,000,000, or (ii) any Borrower or any ERISA Affiliate fails to pay when due, after the expiration of any applicable grace period, any installment payment with respect to its withdrawal liability under Section 4201 of ERISA under a Multiemployer Plan in an aggregate amount in excess of $75,000,000; or</w:t>
      </w:r>
    </w:p>
    <w:p>
      <w:pPr>
        <w:spacing w:after="0" w:line="148" w:lineRule="exact"/>
        <w:rPr>
          <w:rFonts w:ascii="Times New Roman" w:cs="Times New Roman" w:eastAsia="Times New Roman" w:hAnsi="Times New Roman"/>
          <w:sz w:val="21"/>
          <w:szCs w:val="21"/>
          <w:color w:val="auto"/>
        </w:rPr>
      </w:pPr>
    </w:p>
    <w:p>
      <w:pPr>
        <w:jc w:val="both"/>
        <w:ind w:firstLine="1244"/>
        <w:spacing w:after="0" w:line="217" w:lineRule="auto"/>
        <w:tabs>
          <w:tab w:leader="none" w:pos="1792"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Invalidity of Loan Documents</w:t>
      </w:r>
      <w:r>
        <w:rPr>
          <w:rFonts w:ascii="Times New Roman" w:cs="Times New Roman" w:eastAsia="Times New Roman" w:hAnsi="Times New Roman"/>
          <w:sz w:val="21"/>
          <w:szCs w:val="21"/>
          <w:color w:val="auto"/>
        </w:rPr>
        <w:t xml:space="preserve">. Any Loan Document, at any time after its execution and delivery and for any reason other than the agreement of all Lenders or satisfaction in full of all the Obligations, ceases to be in full force and effect (other than with respect to matters regarding Term SOFR Loans or Alternative Currency Term Rate Loans which are subject to the application of, and the Borrowers accordingly complying with the terms of,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or is declared by a court of competent jurisdiction to be null and void, invalid or unenforceable in any respect; or any Borrower denies that is has any or further liability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99</w:t>
      </w:r>
    </w:p>
    <w:p>
      <w:pPr>
        <w:sectPr>
          <w:pgSz w:w="11900" w:h="16838" w:orient="portrait"/>
          <w:cols w:equalWidth="0" w:num="1">
            <w:col w:w="11240"/>
          </w:cols>
          <w:pgMar w:left="320" w:top="1342"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1"/>
          <w:szCs w:val="21"/>
          <w:color w:val="auto"/>
        </w:rPr>
        <w:t>obligation under any Loan Document, or purports to revoke, terminate or rescind any Loan Document; or</w:t>
      </w:r>
    </w:p>
    <w:p>
      <w:pPr>
        <w:spacing w:after="0" w:line="172" w:lineRule="exact"/>
        <w:rPr>
          <w:sz w:val="20"/>
          <w:szCs w:val="20"/>
          <w:color w:val="auto"/>
        </w:rPr>
      </w:pPr>
    </w:p>
    <w:p>
      <w:pPr>
        <w:ind w:left="1240"/>
        <w:spacing w:after="0"/>
        <w:tabs>
          <w:tab w:leader="none" w:pos="1620" w:val="left"/>
        </w:tabs>
        <w:rPr>
          <w:sz w:val="20"/>
          <w:szCs w:val="20"/>
          <w:color w:val="auto"/>
        </w:rPr>
      </w:pPr>
      <w:r>
        <w:rPr>
          <w:rFonts w:ascii="Times New Roman" w:cs="Times New Roman" w:eastAsia="Times New Roman" w:hAnsi="Times New Roman"/>
          <w:sz w:val="21"/>
          <w:szCs w:val="21"/>
          <w:color w:val="auto"/>
        </w:rPr>
        <w:t>(l)</w:t>
      </w:r>
      <w:r>
        <w:rPr>
          <w:sz w:val="20"/>
          <w:szCs w:val="20"/>
          <w:color w:val="auto"/>
        </w:rPr>
        <w:tab/>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w:t>
      </w:r>
    </w:p>
    <w:p>
      <w:pPr>
        <w:spacing w:after="0" w:line="168" w:lineRule="exact"/>
        <w:rPr>
          <w:sz w:val="20"/>
          <w:szCs w:val="20"/>
          <w:color w:val="auto"/>
        </w:rPr>
      </w:pPr>
    </w:p>
    <w:p>
      <w:pPr>
        <w:ind w:firstLine="620"/>
        <w:spacing w:after="0" w:line="237" w:lineRule="auto"/>
        <w:rPr>
          <w:sz w:val="20"/>
          <w:szCs w:val="20"/>
          <w:color w:val="auto"/>
        </w:rPr>
      </w:pPr>
      <w:r>
        <w:rPr>
          <w:rFonts w:ascii="Times New Roman" w:cs="Times New Roman" w:eastAsia="Times New Roman" w:hAnsi="Times New Roman"/>
          <w:sz w:val="21"/>
          <w:szCs w:val="21"/>
          <w:b w:val="1"/>
          <w:bCs w:val="1"/>
          <w:color w:val="auto"/>
        </w:rPr>
        <w:t>8.02 Remedies Upon Event of Default</w:t>
      </w:r>
      <w:r>
        <w:rPr>
          <w:rFonts w:ascii="Times New Roman" w:cs="Times New Roman" w:eastAsia="Times New Roman" w:hAnsi="Times New Roman"/>
          <w:sz w:val="21"/>
          <w:szCs w:val="21"/>
          <w:color w:val="auto"/>
        </w:rPr>
        <w:t>. If any Event of Default occurs and is continuing, the Administrative Agent shall, 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request of, or may, with the consent of, the Required Lenders, take any or all of the following actions:</w:t>
      </w:r>
    </w:p>
    <w:p>
      <w:pPr>
        <w:spacing w:after="0" w:line="147" w:lineRule="exact"/>
        <w:rPr>
          <w:sz w:val="20"/>
          <w:szCs w:val="20"/>
          <w:color w:val="auto"/>
        </w:rPr>
      </w:pPr>
    </w:p>
    <w:p>
      <w:pPr>
        <w:ind w:firstLine="1244"/>
        <w:spacing w:after="0" w:line="236" w:lineRule="auto"/>
        <w:tabs>
          <w:tab w:leader="none" w:pos="173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the commitment of each Lender to make Loans and any obligation of the L/C Issuer to make L/C Credit Extensions to be terminated, whereupon such commitments and obligation shall be terminated;</w:t>
      </w:r>
    </w:p>
    <w:p>
      <w:pPr>
        <w:spacing w:after="0" w:line="145" w:lineRule="exact"/>
        <w:rPr>
          <w:rFonts w:ascii="Times New Roman" w:cs="Times New Roman" w:eastAsia="Times New Roman" w:hAnsi="Times New Roman"/>
          <w:sz w:val="21"/>
          <w:szCs w:val="21"/>
          <w:color w:val="auto"/>
        </w:rPr>
      </w:pPr>
    </w:p>
    <w:p>
      <w:pPr>
        <w:jc w:val="both"/>
        <w:ind w:firstLine="1244"/>
        <w:spacing w:after="0" w:line="225" w:lineRule="auto"/>
        <w:tabs>
          <w:tab w:leader="none" w:pos="1703"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147" w:lineRule="exact"/>
        <w:rPr>
          <w:rFonts w:ascii="Times New Roman" w:cs="Times New Roman" w:eastAsia="Times New Roman" w:hAnsi="Times New Roman"/>
          <w:sz w:val="21"/>
          <w:szCs w:val="21"/>
          <w:color w:val="auto"/>
        </w:rPr>
      </w:pPr>
    </w:p>
    <w:p>
      <w:pPr>
        <w:ind w:firstLine="1244"/>
        <w:spacing w:after="0" w:line="236" w:lineRule="auto"/>
        <w:tabs>
          <w:tab w:leader="none" w:pos="1762"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require that the Borrowers Cash Collateralize the L/C Obligations (in an amount equal to the then Outstanding Amount thereof); and</w:t>
      </w:r>
    </w:p>
    <w:p>
      <w:pPr>
        <w:spacing w:after="0" w:line="145" w:lineRule="exact"/>
        <w:rPr>
          <w:rFonts w:ascii="Times New Roman" w:cs="Times New Roman" w:eastAsia="Times New Roman" w:hAnsi="Times New Roman"/>
          <w:sz w:val="21"/>
          <w:szCs w:val="21"/>
          <w:color w:val="auto"/>
        </w:rPr>
      </w:pPr>
    </w:p>
    <w:p>
      <w:pPr>
        <w:ind w:firstLine="1244"/>
        <w:spacing w:after="0" w:line="236" w:lineRule="auto"/>
        <w:tabs>
          <w:tab w:leader="none" w:pos="1718"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exercise on behalf of itself, the Lenders and the L/C Issuer all rights and remedies available to it, the Lenders and the L/C Issuer under the Loan Documents;</w:t>
      </w:r>
    </w:p>
    <w:p>
      <w:pPr>
        <w:spacing w:after="0" w:line="145"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upon the occurrence of an actual or deemed entry of an order for relief with respect to any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45" w:lineRule="exact"/>
        <w:rPr>
          <w:sz w:val="20"/>
          <w:szCs w:val="20"/>
          <w:color w:val="auto"/>
        </w:rPr>
      </w:pPr>
    </w:p>
    <w:p>
      <w:pPr>
        <w:jc w:val="both"/>
        <w:ind w:firstLine="620"/>
        <w:spacing w:after="0" w:line="224" w:lineRule="auto"/>
        <w:rPr>
          <w:sz w:val="20"/>
          <w:szCs w:val="20"/>
          <w:color w:val="auto"/>
        </w:rPr>
      </w:pPr>
      <w:r>
        <w:rPr>
          <w:rFonts w:ascii="Times New Roman" w:cs="Times New Roman" w:eastAsia="Times New Roman" w:hAnsi="Times New Roman"/>
          <w:sz w:val="20"/>
          <w:szCs w:val="20"/>
          <w:b w:val="1"/>
          <w:bCs w:val="1"/>
          <w:color w:val="auto"/>
        </w:rPr>
        <w:t>8.03 Application of Funds</w:t>
      </w:r>
      <w:r>
        <w:rPr>
          <w:rFonts w:ascii="Times New Roman" w:cs="Times New Roman" w:eastAsia="Times New Roman" w:hAnsi="Times New Roman"/>
          <w:sz w:val="20"/>
          <w:szCs w:val="20"/>
          <w:color w:val="auto"/>
        </w:rPr>
        <w:t>. After the exercise of remedies provided for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after the Loans have automatically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any amounts received on account of the Obligations shall, subject to the provisions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2.16</w:t>
      </w:r>
      <w:r>
        <w:rPr>
          <w:rFonts w:ascii="Times New Roman" w:cs="Times New Roman" w:eastAsia="Times New Roman" w:hAnsi="Times New Roman"/>
          <w:sz w:val="21"/>
          <w:szCs w:val="21"/>
          <w:color w:val="auto"/>
        </w:rPr>
        <w:t>, be applied by the Administrative Agent in the following order:</w:t>
      </w:r>
    </w:p>
    <w:p>
      <w:pPr>
        <w:spacing w:after="0" w:line="150"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payable to the Administrative Agent in its capacity as such;</w:t>
      </w:r>
    </w:p>
    <w:p>
      <w:pPr>
        <w:spacing w:after="0" w:line="148"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and amounts payable under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ratably among them in proportion to the respective amounts described in this clause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xml:space="preserve"> payable to them;</w:t>
      </w:r>
    </w:p>
    <w:p>
      <w:pPr>
        <w:spacing w:after="0" w:line="148"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to payment of that portion of the Obligations constituting accrued and unpaid Letter of Credit Fees and interest on the Loans, L/C Borrowings and other Obligations, ratably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100</w:t>
      </w:r>
    </w:p>
    <w:p>
      <w:pPr>
        <w:sectPr>
          <w:pgSz w:w="11900" w:h="16838" w:orient="portrait"/>
          <w:cols w:equalWidth="0" w:num="1">
            <w:col w:w="11240"/>
          </w:cols>
          <w:pgMar w:left="320" w:top="1342"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1"/>
          <w:szCs w:val="21"/>
          <w:color w:val="auto"/>
        </w:rPr>
        <w:t xml:space="preserve">among the Lenders and the L/C Issuer in proportion to the respective amounts described in this clause </w:t>
      </w: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xml:space="preserve"> payable to them;</w:t>
      </w:r>
    </w:p>
    <w:p>
      <w:pPr>
        <w:spacing w:after="0" w:line="172"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xml:space="preserve">, to payment of that portion of the Obligations constituting unpaid principal of the Loans and L/C Borrowings, ratably among the Lenders and the L/C Issuer in proportion to the respective amounts described in this clause </w:t>
      </w: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xml:space="preserve"> held by them;</w:t>
      </w:r>
    </w:p>
    <w:p>
      <w:pPr>
        <w:spacing w:after="0" w:line="145"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u w:val="single" w:color="auto"/>
          <w:color w:val="auto"/>
        </w:rPr>
        <w:t>Fifth</w:t>
      </w:r>
      <w:r>
        <w:rPr>
          <w:rFonts w:ascii="Times New Roman" w:cs="Times New Roman" w:eastAsia="Times New Roman" w:hAnsi="Times New Roman"/>
          <w:sz w:val="21"/>
          <w:szCs w:val="21"/>
          <w:color w:val="auto"/>
        </w:rPr>
        <w:t xml:space="preserve">, to the Administrative Agent for the account of the L/C Issuer, to Cash Collateralize that portion of L/C Obligations comprised of the aggregate undrawn amount of Letters of Credit to the extent not otherwise Cash Collateralized by any Borrower pursuant to </w:t>
      </w:r>
      <w:r>
        <w:rPr>
          <w:rFonts w:ascii="Times New Roman" w:cs="Times New Roman" w:eastAsia="Times New Roman" w:hAnsi="Times New Roman"/>
          <w:sz w:val="21"/>
          <w:szCs w:val="21"/>
          <w:u w:val="single" w:color="auto"/>
          <w:color w:val="auto"/>
        </w:rPr>
        <w:t>Sections 2.03</w:t>
      </w:r>
      <w:r>
        <w:rPr>
          <w:rFonts w:ascii="Times New Roman" w:cs="Times New Roman" w:eastAsia="Times New Roman" w:hAnsi="Times New Roman"/>
          <w:sz w:val="21"/>
          <w:szCs w:val="21"/>
          <w:color w:val="auto"/>
        </w:rPr>
        <w:t xml:space="preserve"> and 2.15;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-29210</wp:posOffset>
            </wp:positionV>
            <wp:extent cx="262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128"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Last, the balance, if any, after all of the Obligations have been indefeasibly paid in full, to the Borrowers or as otherwise required by Law.</w:t>
      </w:r>
    </w:p>
    <w:p>
      <w:pPr>
        <w:spacing w:after="0" w:line="145"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2.15,</w:t>
      </w:r>
      <w:r>
        <w:rPr>
          <w:rFonts w:ascii="Times New Roman" w:cs="Times New Roman" w:eastAsia="Times New Roman" w:hAnsi="Times New Roman"/>
          <w:sz w:val="21"/>
          <w:szCs w:val="21"/>
          <w:color w:val="auto"/>
        </w:rPr>
        <w:t xml:space="preserve"> amounts used to Cash Collateralize the aggregate undrawn amount of Letters of Credit pursuant to clause </w:t>
      </w:r>
      <w:r>
        <w:rPr>
          <w:rFonts w:ascii="Times New Roman" w:cs="Times New Roman" w:eastAsia="Times New Roman" w:hAnsi="Times New Roman"/>
          <w:sz w:val="21"/>
          <w:szCs w:val="21"/>
          <w:u w:val="single" w:color="auto"/>
          <w:color w:val="auto"/>
        </w:rPr>
        <w:t>Fifth</w:t>
      </w:r>
      <w:r>
        <w:rPr>
          <w:rFonts w:ascii="Times New Roman" w:cs="Times New Roman" w:eastAsia="Times New Roman" w:hAnsi="Times New Roman"/>
          <w:sz w:val="21"/>
          <w:szCs w:val="21"/>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ARTICLE IX.</w:t>
      </w:r>
    </w:p>
    <w:p>
      <w:pPr>
        <w:jc w:val="center"/>
        <w:spacing w:after="0"/>
        <w:rPr>
          <w:sz w:val="20"/>
          <w:szCs w:val="20"/>
          <w:color w:val="auto"/>
        </w:rPr>
      </w:pPr>
      <w:r>
        <w:rPr>
          <w:rFonts w:ascii="Times New Roman" w:cs="Times New Roman" w:eastAsia="Times New Roman" w:hAnsi="Times New Roman"/>
          <w:sz w:val="21"/>
          <w:szCs w:val="21"/>
          <w:b w:val="1"/>
          <w:bCs w:val="1"/>
          <w:color w:val="auto"/>
        </w:rPr>
        <w:t>ADMINISTRATIVE AGENT</w:t>
      </w:r>
    </w:p>
    <w:p>
      <w:pPr>
        <w:spacing w:after="0" w:line="146" w:lineRule="exact"/>
        <w:rPr>
          <w:sz w:val="20"/>
          <w:szCs w:val="20"/>
          <w:color w:val="auto"/>
        </w:rPr>
      </w:pPr>
    </w:p>
    <w:p>
      <w:pPr>
        <w:jc w:val="both"/>
        <w:ind w:firstLine="620"/>
        <w:spacing w:after="0" w:line="212" w:lineRule="auto"/>
        <w:rPr>
          <w:sz w:val="20"/>
          <w:szCs w:val="20"/>
          <w:color w:val="auto"/>
        </w:rPr>
      </w:pPr>
      <w:r>
        <w:rPr>
          <w:rFonts w:ascii="Times New Roman" w:cs="Times New Roman" w:eastAsia="Times New Roman" w:hAnsi="Times New Roman"/>
          <w:sz w:val="21"/>
          <w:szCs w:val="21"/>
          <w:b w:val="1"/>
          <w:bCs w:val="1"/>
          <w:color w:val="auto"/>
        </w:rPr>
        <w:t>9.01 Appointment and Authority</w:t>
      </w:r>
      <w:r>
        <w:rPr>
          <w:rFonts w:ascii="Times New Roman" w:cs="Times New Roman" w:eastAsia="Times New Roman" w:hAnsi="Times New Roman"/>
          <w:sz w:val="21"/>
          <w:szCs w:val="21"/>
          <w:color w:val="auto"/>
        </w:rPr>
        <w:t>. Each of the Lenders and the L/C Issuer hereby irrevocably appoints Bank of America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neither any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48" w:lineRule="exact"/>
        <w:rPr>
          <w:sz w:val="20"/>
          <w:szCs w:val="20"/>
          <w:color w:val="auto"/>
        </w:rPr>
      </w:pPr>
    </w:p>
    <w:p>
      <w:pPr>
        <w:jc w:val="both"/>
        <w:ind w:firstLine="620"/>
        <w:spacing w:after="0" w:line="214" w:lineRule="auto"/>
        <w:rPr>
          <w:sz w:val="20"/>
          <w:szCs w:val="20"/>
          <w:color w:val="auto"/>
        </w:rPr>
      </w:pPr>
      <w:r>
        <w:rPr>
          <w:rFonts w:ascii="Times New Roman" w:cs="Times New Roman" w:eastAsia="Times New Roman" w:hAnsi="Times New Roman"/>
          <w:sz w:val="21"/>
          <w:szCs w:val="21"/>
          <w:b w:val="1"/>
          <w:bCs w:val="1"/>
          <w:color w:val="auto"/>
        </w:rPr>
        <w:t>9.02 Rights as a Lender</w:t>
      </w:r>
      <w:r>
        <w:rPr>
          <w:rFonts w:ascii="Times New Roman" w:cs="Times New Roman" w:eastAsia="Times New Roman" w:hAnsi="Times New Roman"/>
          <w:sz w:val="21"/>
          <w:szCs w:val="21"/>
          <w:color w:val="auto"/>
        </w:rPr>
        <w:t>. The Person serving as the Administrative Agent hereunder shall have the same rights and powers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147" w:lineRule="exact"/>
        <w:rPr>
          <w:sz w:val="20"/>
          <w:szCs w:val="20"/>
          <w:color w:val="auto"/>
        </w:rPr>
      </w:pPr>
    </w:p>
    <w:p>
      <w:pPr>
        <w:jc w:val="both"/>
        <w:ind w:firstLine="620"/>
        <w:spacing w:after="0" w:line="227" w:lineRule="auto"/>
        <w:rPr>
          <w:sz w:val="20"/>
          <w:szCs w:val="20"/>
          <w:color w:val="auto"/>
        </w:rPr>
      </w:pPr>
      <w:r>
        <w:rPr>
          <w:rFonts w:ascii="Times New Roman" w:cs="Times New Roman" w:eastAsia="Times New Roman" w:hAnsi="Times New Roman"/>
          <w:sz w:val="21"/>
          <w:szCs w:val="21"/>
          <w:b w:val="1"/>
          <w:bCs w:val="1"/>
          <w:color w:val="auto"/>
        </w:rPr>
        <w:t>9.03 Exculpatory Provisions</w:t>
      </w:r>
      <w:r>
        <w:rPr>
          <w:rFonts w:ascii="Times New Roman" w:cs="Times New Roman" w:eastAsia="Times New Roman" w:hAnsi="Times New Roman"/>
          <w:sz w:val="21"/>
          <w:szCs w:val="21"/>
          <w:color w:val="auto"/>
        </w:rPr>
        <w:t>. Neither the Administrative Agent nor any Arranger, as applicable, shall have any duties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obligations except those expressly set forth herein and in the other Loan Documents, and its duties hereunder shall be administrative in nature. Without limiting the generality of the foregoing, neither the Administrative Agent nor any Arranger,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101</w:t>
      </w:r>
    </w:p>
    <w:p>
      <w:pPr>
        <w:sectPr>
          <w:pgSz w:w="11900" w:h="16838" w:orient="portrait"/>
          <w:cols w:equalWidth="0" w:num="1">
            <w:col w:w="11240"/>
          </w:cols>
          <w:pgMar w:left="320" w:top="1342" w:right="339" w:bottom="1440" w:gutter="0" w:footer="0" w:header="0"/>
        </w:sectPr>
      </w:pPr>
    </w:p>
    <w:bookmarkStart w:id="171" w:name="page172"/>
    <w:bookmarkEnd w:id="171"/>
    <w:p>
      <w:pPr>
        <w:ind w:left="1800" w:hanging="556"/>
        <w:spacing w:after="0"/>
        <w:tabs>
          <w:tab w:leader="none" w:pos="1800"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subject to any fiduciary or other implied duties, regardless of whether a Default has occurred and is</w:t>
      </w:r>
    </w:p>
    <w:p>
      <w:pPr>
        <w:spacing w:after="0"/>
        <w:rPr>
          <w:sz w:val="20"/>
          <w:szCs w:val="20"/>
          <w:color w:val="auto"/>
        </w:rPr>
      </w:pPr>
      <w:r>
        <w:rPr>
          <w:rFonts w:ascii="Times New Roman" w:cs="Times New Roman" w:eastAsia="Times New Roman" w:hAnsi="Times New Roman"/>
          <w:sz w:val="21"/>
          <w:szCs w:val="21"/>
          <w:color w:val="auto"/>
        </w:rPr>
        <w:t>continuing;</w:t>
      </w:r>
    </w:p>
    <w:p>
      <w:pPr>
        <w:spacing w:after="0" w:line="150" w:lineRule="exact"/>
        <w:rPr>
          <w:sz w:val="20"/>
          <w:szCs w:val="20"/>
          <w:color w:val="auto"/>
        </w:rPr>
      </w:pPr>
    </w:p>
    <w:p>
      <w:pPr>
        <w:jc w:val="both"/>
        <w:ind w:firstLine="1244"/>
        <w:spacing w:after="0" w:line="213" w:lineRule="auto"/>
        <w:tabs>
          <w:tab w:leader="none" w:pos="1781"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shall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w:t>
      </w:r>
    </w:p>
    <w:p>
      <w:pPr>
        <w:spacing w:after="0" w:line="146" w:lineRule="exact"/>
        <w:rPr>
          <w:rFonts w:ascii="Times New Roman" w:cs="Times New Roman" w:eastAsia="Times New Roman" w:hAnsi="Times New Roman"/>
          <w:sz w:val="21"/>
          <w:szCs w:val="21"/>
          <w:color w:val="auto"/>
        </w:rPr>
      </w:pPr>
    </w:p>
    <w:p>
      <w:pPr>
        <w:jc w:val="both"/>
        <w:ind w:firstLine="1244"/>
        <w:spacing w:after="0" w:line="217" w:lineRule="auto"/>
        <w:tabs>
          <w:tab w:leader="none" w:pos="1724"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have any duty or responsibility to disclose, nor shall be liable for the failure to disclose, to any Lender, any credit or other information concerning the business, prospects, operations, property, financial or other condition or creditworthiness of any of the Borrowers or any of their respective Affiliates, that is communicated to, or obtained by or in the possession of, the Administrative Agent, any Arranger or any of their Related Parties in any capacity, except for notices, reports and other documents expressly required to be furnished to the Lenders by the Administrative Agent herein;</w:t>
      </w:r>
    </w:p>
    <w:p>
      <w:pPr>
        <w:spacing w:after="0" w:line="148" w:lineRule="exact"/>
        <w:rPr>
          <w:rFonts w:ascii="Times New Roman" w:cs="Times New Roman" w:eastAsia="Times New Roman" w:hAnsi="Times New Roman"/>
          <w:sz w:val="21"/>
          <w:szCs w:val="21"/>
          <w:color w:val="auto"/>
        </w:rPr>
      </w:pPr>
    </w:p>
    <w:p>
      <w:pPr>
        <w:jc w:val="both"/>
        <w:ind w:firstLine="1244"/>
        <w:spacing w:after="0" w:line="215" w:lineRule="auto"/>
        <w:tabs>
          <w:tab w:leader="none" w:pos="1711"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1"/>
          <w:szCs w:val="21"/>
          <w:u w:val="single" w:color="auto"/>
          <w:color w:val="auto"/>
        </w:rPr>
        <w:t>Sections 11.01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8.02</w:t>
      </w:r>
      <w:r>
        <w:rPr>
          <w:rFonts w:ascii="Times New Roman" w:cs="Times New Roman" w:eastAsia="Times New Roman" w:hAnsi="Times New Roman"/>
          <w:sz w:val="21"/>
          <w:szCs w:val="21"/>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Toro, a Lender or the L/C Issuer; or</w:t>
      </w:r>
    </w:p>
    <w:p>
      <w:pPr>
        <w:spacing w:after="0" w:line="136" w:lineRule="exact"/>
        <w:rPr>
          <w:rFonts w:ascii="Times New Roman" w:cs="Times New Roman" w:eastAsia="Times New Roman" w:hAnsi="Times New Roman"/>
          <w:sz w:val="21"/>
          <w:szCs w:val="21"/>
          <w:color w:val="auto"/>
        </w:rPr>
      </w:pPr>
    </w:p>
    <w:p>
      <w:pPr>
        <w:ind w:left="1720" w:hanging="476"/>
        <w:spacing w:after="0"/>
        <w:tabs>
          <w:tab w:leader="none" w:pos="172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shall be responsible for or have any duty to ascertain or inquire into (i) any statement, warranty or representation</w:t>
      </w:r>
    </w:p>
    <w:p>
      <w:pPr>
        <w:jc w:val="both"/>
        <w:spacing w:after="0" w:line="212" w:lineRule="auto"/>
        <w:rPr>
          <w:sz w:val="20"/>
          <w:szCs w:val="20"/>
          <w:color w:val="auto"/>
        </w:rPr>
      </w:pPr>
      <w:r>
        <w:rPr>
          <w:rFonts w:ascii="Times New Roman" w:cs="Times New Roman" w:eastAsia="Times New Roman" w:hAnsi="Times New Roman"/>
          <w:sz w:val="21"/>
          <w:szCs w:val="21"/>
          <w:color w:val="auto"/>
        </w:rPr>
        <w:t>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IV or elsewhere herein, other than to confirm receipt of items expressly required to be delivered to the Administrative Agent.</w:t>
      </w:r>
    </w:p>
    <w:p>
      <w:pPr>
        <w:spacing w:after="0" w:line="141" w:lineRule="exact"/>
        <w:rPr>
          <w:sz w:val="20"/>
          <w:szCs w:val="20"/>
          <w:color w:val="auto"/>
        </w:rPr>
      </w:pPr>
    </w:p>
    <w:p>
      <w:pPr>
        <w:jc w:val="both"/>
        <w:ind w:firstLine="620"/>
        <w:spacing w:after="0" w:line="212" w:lineRule="auto"/>
        <w:rPr>
          <w:sz w:val="20"/>
          <w:szCs w:val="20"/>
          <w:color w:val="auto"/>
        </w:rPr>
      </w:pPr>
      <w:r>
        <w:rPr>
          <w:rFonts w:ascii="Times New Roman" w:cs="Times New Roman" w:eastAsia="Times New Roman" w:hAnsi="Times New Roman"/>
          <w:sz w:val="21"/>
          <w:szCs w:val="21"/>
          <w:b w:val="1"/>
          <w:bCs w:val="1"/>
          <w:color w:val="auto"/>
        </w:rPr>
        <w:t>9.04 Reliance by Administrative Agent</w:t>
      </w:r>
      <w:r>
        <w:rPr>
          <w:rFonts w:ascii="Times New Roman" w:cs="Times New Roman" w:eastAsia="Times New Roman" w:hAnsi="Times New Roman"/>
          <w:sz w:val="21"/>
          <w:szCs w:val="21"/>
          <w:color w:val="auto"/>
        </w:rPr>
        <w:t>. The Administrative Agent shall be entitled to rely upon, and shall not incur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102</w:t>
      </w:r>
    </w:p>
    <w:p>
      <w:pPr>
        <w:sectPr>
          <w:pgSz w:w="11900" w:h="16838" w:orient="portrait"/>
          <w:cols w:equalWidth="0" w:num="1">
            <w:col w:w="11240"/>
          </w:cols>
          <w:pgMar w:left="320" w:top="1329" w:right="339" w:bottom="1440" w:gutter="0" w:footer="0" w:header="0"/>
        </w:sectPr>
      </w:pPr>
    </w:p>
    <w:bookmarkStart w:id="172" w:name="page173"/>
    <w:bookmarkEnd w:id="172"/>
    <w:p>
      <w:pPr>
        <w:jc w:val="both"/>
        <w:spacing w:after="0" w:line="225" w:lineRule="auto"/>
        <w:rPr>
          <w:sz w:val="20"/>
          <w:szCs w:val="20"/>
          <w:color w:val="auto"/>
        </w:rPr>
      </w:pPr>
      <w:r>
        <w:rPr>
          <w:rFonts w:ascii="Times New Roman" w:cs="Times New Roman" w:eastAsia="Times New Roman" w:hAnsi="Times New Roman"/>
          <w:sz w:val="21"/>
          <w:szCs w:val="21"/>
          <w:color w:val="auto"/>
        </w:rPr>
        <w:t>such Loan or the issuance of such Letter of Credit. The Administrative Agent may consult with legal counsel (who may be counsel for Toro), independent accountants and other experts selected by it, and shall not be liable for any action taken or not taken by it in accordance with the advice of any such counsel, accountants or experts.</w:t>
      </w:r>
    </w:p>
    <w:p>
      <w:pPr>
        <w:spacing w:after="0" w:line="144" w:lineRule="exact"/>
        <w:rPr>
          <w:sz w:val="20"/>
          <w:szCs w:val="20"/>
          <w:color w:val="auto"/>
        </w:rPr>
      </w:pPr>
    </w:p>
    <w:p>
      <w:pPr>
        <w:jc w:val="both"/>
        <w:ind w:firstLine="620"/>
        <w:spacing w:after="0" w:line="212" w:lineRule="auto"/>
        <w:rPr>
          <w:sz w:val="20"/>
          <w:szCs w:val="20"/>
          <w:color w:val="auto"/>
        </w:rPr>
      </w:pPr>
      <w:r>
        <w:rPr>
          <w:rFonts w:ascii="Times New Roman" w:cs="Times New Roman" w:eastAsia="Times New Roman" w:hAnsi="Times New Roman"/>
          <w:sz w:val="21"/>
          <w:szCs w:val="21"/>
          <w:b w:val="1"/>
          <w:bCs w:val="1"/>
          <w:color w:val="auto"/>
        </w:rPr>
        <w:t>9.05 Delegation of Duties</w:t>
      </w:r>
      <w:r>
        <w:rPr>
          <w:rFonts w:ascii="Times New Roman" w:cs="Times New Roman" w:eastAsia="Times New Roman" w:hAnsi="Times New Roman"/>
          <w:sz w:val="21"/>
          <w:szCs w:val="21"/>
          <w:color w:val="auto"/>
        </w:rPr>
        <w:t>. The Administrative Agent may perform any and all of its duties and exercise its rights and powers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or under any other Loan Document by or through any one or more sub-agents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48" w:lineRule="exact"/>
        <w:rPr>
          <w:sz w:val="20"/>
          <w:szCs w:val="20"/>
          <w:color w:val="auto"/>
        </w:rPr>
      </w:pPr>
    </w:p>
    <w:p>
      <w:pPr>
        <w:jc w:val="both"/>
        <w:ind w:firstLine="620"/>
        <w:spacing w:after="0" w:line="212" w:lineRule="auto"/>
        <w:rPr>
          <w:sz w:val="20"/>
          <w:szCs w:val="20"/>
          <w:color w:val="auto"/>
        </w:rPr>
      </w:pPr>
      <w:r>
        <w:rPr>
          <w:rFonts w:ascii="Times New Roman" w:cs="Times New Roman" w:eastAsia="Times New Roman" w:hAnsi="Times New Roman"/>
          <w:sz w:val="21"/>
          <w:szCs w:val="21"/>
          <w:b w:val="1"/>
          <w:bCs w:val="1"/>
          <w:color w:val="auto"/>
        </w:rPr>
        <w:t>9.06 Resignation or Removal of Administrative Agent</w:t>
      </w:r>
      <w:r>
        <w:rPr>
          <w:rFonts w:ascii="Times New Roman" w:cs="Times New Roman" w:eastAsia="Times New Roman" w:hAnsi="Times New Roman"/>
          <w:sz w:val="21"/>
          <w:szCs w:val="21"/>
          <w:color w:val="auto"/>
        </w:rPr>
        <w:t>. (a) The Administrative Agent may at any time give notice of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resignation to the Lenders, the L/C Issuer and Toro. Upon receipt of any such notice of resignation, the Required Lenders shall have the right, in consultation with Toro,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21"/>
          <w:szCs w:val="21"/>
          <w:u w:val="single" w:color="auto"/>
          <w:color w:val="auto"/>
        </w:rPr>
        <w:t>Resignation Effective Date</w:t>
      </w:r>
      <w:r>
        <w:rPr>
          <w:rFonts w:ascii="Times New Roman" w:cs="Times New Roman" w:eastAsia="Times New Roman" w:hAnsi="Times New Roman"/>
          <w:sz w:val="21"/>
          <w:szCs w:val="21"/>
          <w:color w:val="auto"/>
        </w:rPr>
        <w:t>”), then the retiring Administrative Agent may (but shall not be obligated to) on behalf of the Lenders and the L/C Issuer, appoint a successor Administrative Agent meeting the qualifications set forth above. Whether or not a successor has been appointed, such resignation shall become effective in accordance with such notice on the Resignation Effective Date.</w:t>
      </w:r>
    </w:p>
    <w:p>
      <w:pPr>
        <w:spacing w:after="0" w:line="152" w:lineRule="exact"/>
        <w:rPr>
          <w:sz w:val="20"/>
          <w:szCs w:val="20"/>
          <w:color w:val="auto"/>
        </w:rPr>
      </w:pPr>
    </w:p>
    <w:p>
      <w:pPr>
        <w:jc w:val="both"/>
        <w:ind w:firstLine="1244"/>
        <w:spacing w:after="0" w:line="214" w:lineRule="auto"/>
        <w:tabs>
          <w:tab w:leader="none" w:pos="1758"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Person serving as Administrative Agent is a Defaulting Lender pursuant to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clause (d)</w:t>
      </w:r>
      <w:r>
        <w:rPr>
          <w:rFonts w:ascii="Times New Roman" w:cs="Times New Roman" w:eastAsia="Times New Roman" w:hAnsi="Times New Roman"/>
          <w:sz w:val="21"/>
          <w:szCs w:val="21"/>
          <w:color w:val="auto"/>
        </w:rPr>
        <w:t xml:space="preserve"> of the definition thereof, the Required Lenders may, to the extent permitted by Applicable Law, by notice in writing to Toro and such Person remove such Person as Administrative Agent and, with the consent of Toro unless an Event of Default has occurred and is continuing (such consent not to be unreasonably withheld) appoint a successor. If no such successor shall have been so appointed by the Required Lenders and shall have accepted such appointment within 30 days (or such earlier day as shall be agreed by the Required Lenders) (the “</w:t>
      </w:r>
      <w:r>
        <w:rPr>
          <w:rFonts w:ascii="Times New Roman" w:cs="Times New Roman" w:eastAsia="Times New Roman" w:hAnsi="Times New Roman"/>
          <w:sz w:val="21"/>
          <w:szCs w:val="21"/>
          <w:u w:val="single" w:color="auto"/>
          <w:color w:val="auto"/>
        </w:rPr>
        <w:t>Removal Effective Date</w:t>
      </w:r>
      <w:r>
        <w:rPr>
          <w:rFonts w:ascii="Times New Roman" w:cs="Times New Roman" w:eastAsia="Times New Roman" w:hAnsi="Times New Roman"/>
          <w:sz w:val="21"/>
          <w:szCs w:val="21"/>
          <w:color w:val="auto"/>
        </w:rPr>
        <w:t>”), then such removal shall nonetheless become effective in accordance with such notice on the Removal Effective Date.</w:t>
      </w:r>
    </w:p>
    <w:p>
      <w:pPr>
        <w:spacing w:after="0" w:line="146" w:lineRule="exact"/>
        <w:rPr>
          <w:rFonts w:ascii="Times New Roman" w:cs="Times New Roman" w:eastAsia="Times New Roman" w:hAnsi="Times New Roman"/>
          <w:sz w:val="21"/>
          <w:szCs w:val="21"/>
          <w:color w:val="auto"/>
        </w:rPr>
      </w:pPr>
    </w:p>
    <w:p>
      <w:pPr>
        <w:jc w:val="both"/>
        <w:ind w:firstLine="1244"/>
        <w:spacing w:after="0" w:line="211" w:lineRule="auto"/>
        <w:tabs>
          <w:tab w:leader="none" w:pos="1725"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103</w:t>
      </w:r>
    </w:p>
    <w:p>
      <w:pPr>
        <w:sectPr>
          <w:pgSz w:w="11900" w:h="16838" w:orient="portrait"/>
          <w:cols w:equalWidth="0" w:num="1">
            <w:col w:w="11240"/>
          </w:cols>
          <w:pgMar w:left="320" w:top="1342" w:right="339" w:bottom="1440" w:gutter="0" w:footer="0" w:header="0"/>
        </w:sectPr>
      </w:pPr>
    </w:p>
    <w:bookmarkStart w:id="173" w:name="page174"/>
    <w:bookmarkEnd w:id="173"/>
    <w:p>
      <w:pPr>
        <w:jc w:val="both"/>
        <w:spacing w:after="0" w:line="212" w:lineRule="auto"/>
        <w:rPr>
          <w:sz w:val="20"/>
          <w:szCs w:val="20"/>
          <w:color w:val="auto"/>
        </w:rPr>
      </w:pPr>
      <w:r>
        <w:rPr>
          <w:rFonts w:ascii="Times New Roman" w:cs="Times New Roman" w:eastAsia="Times New Roman" w:hAnsi="Times New Roman"/>
          <w:sz w:val="21"/>
          <w:szCs w:val="21"/>
          <w:color w:val="auto"/>
        </w:rPr>
        <w:t xml:space="preserve">(other than as provided in </w:t>
      </w:r>
      <w:r>
        <w:rPr>
          <w:rFonts w:ascii="Times New Roman" w:cs="Times New Roman" w:eastAsia="Times New Roman" w:hAnsi="Times New Roman"/>
          <w:sz w:val="21"/>
          <w:szCs w:val="21"/>
          <w:u w:val="single" w:color="auto"/>
          <w:color w:val="auto"/>
        </w:rPr>
        <w:t>Section 3.01(g)</w:t>
      </w:r>
      <w:r>
        <w:rPr>
          <w:rFonts w:ascii="Times New Roman" w:cs="Times New Roman" w:eastAsia="Times New Roman" w:hAnsi="Times New Roman"/>
          <w:sz w:val="21"/>
          <w:szCs w:val="21"/>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Borrowers to a successor Administrative Agent shall be the same as those payable to its predecessor unless otherwise agreed between Toro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21"/>
          <w:szCs w:val="21"/>
          <w:u w:val="single" w:color="auto"/>
          <w:color w:val="auto"/>
        </w:rPr>
        <w:t>Section 11.04</w:t>
      </w:r>
      <w:r>
        <w:rPr>
          <w:rFonts w:ascii="Times New Roman" w:cs="Times New Roman" w:eastAsia="Times New Roman" w:hAnsi="Times New Roman"/>
          <w:sz w:val="21"/>
          <w:szCs w:val="21"/>
          <w:color w:val="auto"/>
        </w:rPr>
        <w:t xml:space="preserve"> shall continue in effect for the benefit of such retiring or removed Administrative Agent, its sub agents and their respective Related Parties in respect of any actions taken or omitted to be taken by any of them while the retiring or removed Administrative Agent was acting as Administrative Agent.</w:t>
      </w:r>
    </w:p>
    <w:p>
      <w:pPr>
        <w:spacing w:after="0" w:line="148" w:lineRule="exact"/>
        <w:rPr>
          <w:sz w:val="20"/>
          <w:szCs w:val="20"/>
          <w:color w:val="auto"/>
        </w:rPr>
      </w:pPr>
    </w:p>
    <w:p>
      <w:pPr>
        <w:jc w:val="both"/>
        <w:ind w:firstLine="1244"/>
        <w:spacing w:after="0" w:line="209" w:lineRule="auto"/>
        <w:tabs>
          <w:tab w:leader="none" w:pos="1778"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resignation by Bank of America as Administrative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1"/>
          <w:szCs w:val="21"/>
          <w:u w:val="single" w:color="auto"/>
          <w:color w:val="auto"/>
        </w:rPr>
        <w:t>Section 2.03(c)</w:t>
      </w:r>
      <w:r>
        <w:rPr>
          <w:rFonts w:ascii="Times New Roman" w:cs="Times New Roman" w:eastAsia="Times New Roman" w:hAnsi="Times New Roman"/>
          <w:sz w:val="21"/>
          <w:szCs w:val="21"/>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21"/>
          <w:szCs w:val="21"/>
          <w:u w:val="single" w:color="auto"/>
          <w:color w:val="auto"/>
        </w:rPr>
        <w:t>Section 2.04(c)</w:t>
      </w:r>
      <w:r>
        <w:rPr>
          <w:rFonts w:ascii="Times New Roman" w:cs="Times New Roman" w:eastAsia="Times New Roman" w:hAnsi="Times New Roman"/>
          <w:sz w:val="21"/>
          <w:szCs w:val="21"/>
          <w:color w:val="auto"/>
        </w:rPr>
        <w:t>. Upon the appointment by Toro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53"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0"/>
          <w:szCs w:val="20"/>
          <w:b w:val="1"/>
          <w:bCs w:val="1"/>
          <w:color w:val="auto"/>
        </w:rPr>
        <w:t xml:space="preserve">9.07 Non-Reliance on the Administrative Agent, the Arrangers and the Other Lenders. </w:t>
      </w:r>
      <w:r>
        <w:rPr>
          <w:rFonts w:ascii="Times New Roman" w:cs="Times New Roman" w:eastAsia="Times New Roman" w:hAnsi="Times New Roman"/>
          <w:sz w:val="20"/>
          <w:szCs w:val="20"/>
          <w:color w:val="auto"/>
        </w:rPr>
        <w:t>Each Lender and the L/C Issuer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expressly acknowledges that none of the Administrative Agent nor any Arranger has made any representation or warranty to it, and that no act by the Administrative Agent nor any Arranger hereafter taken, including any consent to, and acceptance of any assignment or review of the affairs of the Borrowers or any Affiliate thereof, shall be deemed to constitute any representation or warranty by the Administrative Agent or any Arranger to any Lender as to any matter, including whether the Administrative Agent or any Arranger has disclosed material information in their (or their Related Parties’) possession. Each Lender represents to the Administrative Agent and the Arrangers that it has, independently and without reliance upon the Administrative Agent, any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Borrowers and their Subsidiaries, and all applicable bank or other regulatory Laws relating to the transactions contemplated hereby, and made its own decision to enter into this Agreement and to extend credit to each of the Borrowers hereunder. Each Lender and the L/C Issuer also acknowledges that it will, independently and without reliance upon the Administrative Agent, any Arranger, any other Lender or any of their Related Parties and based on such documents and information as it shall from time to time deem appropriate, continue to make its own credit analysis, appraisals and decisions in taking or not taking action under or based upon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104</w:t>
      </w:r>
    </w:p>
    <w:p>
      <w:pPr>
        <w:sectPr>
          <w:pgSz w:w="11900" w:h="16838" w:orient="portrait"/>
          <w:cols w:equalWidth="0" w:num="1">
            <w:col w:w="11240"/>
          </w:cols>
          <w:pgMar w:left="320" w:top="1342" w:right="339" w:bottom="1440" w:gutter="0" w:footer="0" w:header="0"/>
        </w:sectPr>
      </w:pPr>
    </w:p>
    <w:bookmarkStart w:id="174" w:name="page175"/>
    <w:bookmarkEnd w:id="174"/>
    <w:p>
      <w:pPr>
        <w:jc w:val="both"/>
        <w:spacing w:after="0" w:line="211" w:lineRule="auto"/>
        <w:rPr>
          <w:sz w:val="20"/>
          <w:szCs w:val="20"/>
          <w:color w:val="auto"/>
        </w:rPr>
      </w:pPr>
      <w:r>
        <w:rPr>
          <w:rFonts w:ascii="Times New Roman" w:cs="Times New Roman" w:eastAsia="Times New Roman" w:hAnsi="Times New Roman"/>
          <w:sz w:val="21"/>
          <w:szCs w:val="21"/>
          <w:color w:val="auto"/>
        </w:rPr>
        <w:t>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each of the Borrowers. Each Lender represents and warrants that (i) the Loan Documents set forth the terms of a commercial lending facility and (ii) it is engaged in making, acquiring or holding commercial loans in the ordinary course and is entering into this Agreement as a Lender for the purpose of making, acquiring or holding commercial loans and providing other facilities set forth herein as may be applicable to such Lender, and not for the purpose of purchasing, acquiring or holding any other type of financial instrument, and each Lender agrees not to assert a claim in contravention of the foregoing. Each Lender represents and warrants that it is sophisticated with respect to decisions to make, acquire and/or hold commercial loans and to provide other facilities set forth herein, as may be applicable to such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42" w:lineRule="exact"/>
        <w:rPr>
          <w:sz w:val="20"/>
          <w:szCs w:val="20"/>
          <w:color w:val="auto"/>
        </w:rPr>
      </w:pPr>
    </w:p>
    <w:p>
      <w:pPr>
        <w:jc w:val="both"/>
        <w:ind w:firstLine="620"/>
        <w:spacing w:after="0" w:line="221" w:lineRule="auto"/>
        <w:rPr>
          <w:sz w:val="20"/>
          <w:szCs w:val="20"/>
          <w:color w:val="auto"/>
        </w:rPr>
      </w:pPr>
      <w:r>
        <w:rPr>
          <w:rFonts w:ascii="Times New Roman" w:cs="Times New Roman" w:eastAsia="Times New Roman" w:hAnsi="Times New Roman"/>
          <w:sz w:val="21"/>
          <w:szCs w:val="21"/>
          <w:b w:val="1"/>
          <w:bCs w:val="1"/>
          <w:color w:val="auto"/>
        </w:rPr>
        <w:t>9.08 No Other Duties, Etc</w:t>
      </w:r>
      <w:r>
        <w:rPr>
          <w:rFonts w:ascii="Times New Roman" w:cs="Times New Roman" w:eastAsia="Times New Roman" w:hAnsi="Times New Roman"/>
          <w:sz w:val="21"/>
          <w:szCs w:val="21"/>
          <w:color w:val="auto"/>
        </w:rPr>
        <w:t>. Anything herein to the contrary notwithstanding, none of the joint bookrunners, the arrangers,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co-syndication agents or the co-documentation agents listed on the cover page hereof shall have any powers, duties or responsibilities under this Agreement or any of the other Loan Documents, except in its capacity, as applicable, as the Administrative Agent, a Lender or the L/C Issuer hereunder.</w:t>
      </w:r>
    </w:p>
    <w:p>
      <w:pPr>
        <w:spacing w:after="0" w:line="144"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21"/>
          <w:szCs w:val="21"/>
          <w:b w:val="1"/>
          <w:bCs w:val="1"/>
          <w:color w:val="auto"/>
        </w:rPr>
        <w:t>9.09 Administrative Agent May File Proofs of Claim</w:t>
      </w:r>
      <w:r>
        <w:rPr>
          <w:rFonts w:ascii="Times New Roman" w:cs="Times New Roman" w:eastAsia="Times New Roman" w:hAnsi="Times New Roman"/>
          <w:sz w:val="21"/>
          <w:szCs w:val="21"/>
          <w:color w:val="auto"/>
        </w:rPr>
        <w:t>. In case of the pendency of any receivership, insolvency, liquidation,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bankruptcy, reorganization,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48" w:lineRule="exact"/>
        <w:rPr>
          <w:sz w:val="20"/>
          <w:szCs w:val="20"/>
          <w:color w:val="auto"/>
        </w:rPr>
      </w:pPr>
    </w:p>
    <w:p>
      <w:pPr>
        <w:jc w:val="both"/>
        <w:ind w:firstLine="1244"/>
        <w:spacing w:after="0" w:line="215" w:lineRule="auto"/>
        <w:tabs>
          <w:tab w:leader="none" w:pos="1753"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2.03</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2.09 and 11.04</w:t>
      </w:r>
      <w:r>
        <w:rPr>
          <w:rFonts w:ascii="Times New Roman" w:cs="Times New Roman" w:eastAsia="Times New Roman" w:hAnsi="Times New Roman"/>
          <w:sz w:val="21"/>
          <w:szCs w:val="21"/>
          <w:color w:val="auto"/>
        </w:rPr>
        <w:t>) allowed in such judicial proceeding; and</w:t>
      </w:r>
    </w:p>
    <w:p>
      <w:pPr>
        <w:spacing w:after="0" w:line="147" w:lineRule="exact"/>
        <w:rPr>
          <w:rFonts w:ascii="Times New Roman" w:cs="Times New Roman" w:eastAsia="Times New Roman" w:hAnsi="Times New Roman"/>
          <w:sz w:val="21"/>
          <w:szCs w:val="21"/>
          <w:color w:val="auto"/>
        </w:rPr>
      </w:pPr>
    </w:p>
    <w:p>
      <w:pPr>
        <w:ind w:left="1720" w:hanging="476"/>
        <w:spacing w:after="0"/>
        <w:tabs>
          <w:tab w:leader="none" w:pos="172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same;</w:t>
      </w:r>
    </w:p>
    <w:p>
      <w:pPr>
        <w:spacing w:after="0" w:line="15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1"/>
          <w:szCs w:val="21"/>
          <w:u w:val="single" w:color="auto"/>
          <w:color w:val="auto"/>
        </w:rPr>
        <w:t>Sections 2.09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11.04</w:t>
      </w:r>
      <w:r>
        <w:rPr>
          <w:rFonts w:ascii="Times New Roman" w:cs="Times New Roman" w:eastAsia="Times New Roman" w:hAnsi="Times New Roman"/>
          <w:sz w:val="21"/>
          <w:szCs w:val="21"/>
          <w:color w:val="auto"/>
        </w:rPr>
        <w:t>.</w:t>
      </w:r>
    </w:p>
    <w:p>
      <w:pPr>
        <w:spacing w:after="0" w:line="149"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105</w:t>
      </w:r>
    </w:p>
    <w:p>
      <w:pPr>
        <w:sectPr>
          <w:pgSz w:w="11900" w:h="16838" w:orient="portrait"/>
          <w:cols w:equalWidth="0" w:num="1">
            <w:col w:w="11240"/>
          </w:cols>
          <w:pgMar w:left="320" w:top="1342" w:right="339" w:bottom="1440" w:gutter="0" w:footer="0" w:header="0"/>
        </w:sectPr>
      </w:pPr>
    </w:p>
    <w:bookmarkStart w:id="175" w:name="page176"/>
    <w:bookmarkEnd w:id="175"/>
    <w:p>
      <w:pPr>
        <w:jc w:val="both"/>
        <w:spacing w:after="0" w:line="236" w:lineRule="auto"/>
        <w:rPr>
          <w:sz w:val="20"/>
          <w:szCs w:val="20"/>
          <w:color w:val="auto"/>
        </w:rPr>
      </w:pPr>
      <w:r>
        <w:rPr>
          <w:rFonts w:ascii="Times New Roman" w:cs="Times New Roman" w:eastAsia="Times New Roman" w:hAnsi="Times New Roman"/>
          <w:sz w:val="21"/>
          <w:szCs w:val="21"/>
          <w:color w:val="auto"/>
        </w:rPr>
        <w:t>any Lender or the L/C Issuer or to authorize the Administrative Agent to vote in respect of the claim of any Lender or the L/C Issuer in any such proceeding.</w:t>
      </w:r>
    </w:p>
    <w:p>
      <w:pPr>
        <w:spacing w:after="0" w:line="141" w:lineRule="exact"/>
        <w:rPr>
          <w:sz w:val="20"/>
          <w:szCs w:val="20"/>
          <w:color w:val="auto"/>
        </w:rPr>
      </w:pPr>
    </w:p>
    <w:p>
      <w:pPr>
        <w:jc w:val="both"/>
        <w:ind w:firstLine="620"/>
        <w:spacing w:after="0" w:line="211" w:lineRule="auto"/>
        <w:rPr>
          <w:sz w:val="20"/>
          <w:szCs w:val="20"/>
          <w:color w:val="auto"/>
        </w:rPr>
      </w:pPr>
      <w:r>
        <w:rPr>
          <w:rFonts w:ascii="Times New Roman" w:cs="Times New Roman" w:eastAsia="Times New Roman" w:hAnsi="Times New Roman"/>
          <w:sz w:val="21"/>
          <w:szCs w:val="21"/>
          <w:b w:val="1"/>
          <w:bCs w:val="1"/>
          <w:color w:val="auto"/>
        </w:rPr>
        <w:t>9.10 Recovery of Erroneous Payments</w:t>
      </w:r>
      <w:r>
        <w:rPr>
          <w:rFonts w:ascii="Times New Roman" w:cs="Times New Roman" w:eastAsia="Times New Roman" w:hAnsi="Times New Roman"/>
          <w:sz w:val="21"/>
          <w:szCs w:val="21"/>
          <w:color w:val="auto"/>
        </w:rPr>
        <w:t>. Without limitation of any other provision in this Agreement, if at any time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Administrative Agent makes a payment hereunder in error to any Credit Party, whether or not in respect of an Obligation due and owing by the Borrowers at such time, where such payment is a Rescindable Amount, then in any such event, each Credit Party receiving a Rescindable Amount severally agrees to repay to the Administrative Agent forthwith on demand the Rescindable Amount received by such Credit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Credit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Credit Party promptly upon determining that any payment made to such Credit Party comprised, in whole or in part, a Rescindable Amount.</w:t>
      </w:r>
    </w:p>
    <w:p>
      <w:pPr>
        <w:spacing w:after="0" w:line="146" w:lineRule="exact"/>
        <w:rPr>
          <w:sz w:val="20"/>
          <w:szCs w:val="20"/>
          <w:color w:val="auto"/>
        </w:rPr>
      </w:pPr>
    </w:p>
    <w:p>
      <w:pPr>
        <w:ind w:left="620"/>
        <w:spacing w:after="0"/>
        <w:tabs>
          <w:tab w:leader="none" w:pos="1160" w:val="left"/>
        </w:tabs>
        <w:rPr>
          <w:sz w:val="20"/>
          <w:szCs w:val="20"/>
          <w:color w:val="auto"/>
        </w:rPr>
      </w:pPr>
      <w:r>
        <w:rPr>
          <w:rFonts w:ascii="Times New Roman" w:cs="Times New Roman" w:eastAsia="Times New Roman" w:hAnsi="Times New Roman"/>
          <w:sz w:val="21"/>
          <w:szCs w:val="21"/>
          <w:b w:val="1"/>
          <w:bCs w:val="1"/>
          <w:color w:val="auto"/>
        </w:rPr>
        <w:t>9.11</w:t>
      </w:r>
      <w:r>
        <w:rPr>
          <w:sz w:val="20"/>
          <w:szCs w:val="20"/>
          <w:color w:val="auto"/>
        </w:rPr>
        <w:tab/>
      </w:r>
      <w:r>
        <w:rPr>
          <w:rFonts w:ascii="Times New Roman" w:cs="Times New Roman" w:eastAsia="Times New Roman" w:hAnsi="Times New Roman"/>
          <w:sz w:val="20"/>
          <w:szCs w:val="20"/>
          <w:b w:val="1"/>
          <w:bCs w:val="1"/>
          <w:color w:val="auto"/>
        </w:rPr>
        <w:t>No Lender is an Employee Benefit Plan.</w:t>
      </w:r>
    </w:p>
    <w:p>
      <w:pPr>
        <w:spacing w:after="0" w:line="176" w:lineRule="exact"/>
        <w:rPr>
          <w:sz w:val="20"/>
          <w:szCs w:val="20"/>
          <w:color w:val="auto"/>
        </w:rPr>
      </w:pPr>
    </w:p>
    <w:p>
      <w:pPr>
        <w:jc w:val="both"/>
        <w:ind w:firstLine="1244"/>
        <w:spacing w:after="0" w:line="220" w:lineRule="auto"/>
        <w:tabs>
          <w:tab w:leader="none" w:pos="1764"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Toro or any other Loan Party, that at least one of the following is and will be true:</w:t>
      </w:r>
    </w:p>
    <w:p>
      <w:pPr>
        <w:spacing w:after="0" w:line="148" w:lineRule="exact"/>
        <w:rPr>
          <w:rFonts w:ascii="Times New Roman" w:cs="Times New Roman" w:eastAsia="Times New Roman" w:hAnsi="Times New Roman"/>
          <w:sz w:val="21"/>
          <w:szCs w:val="21"/>
          <w:color w:val="auto"/>
        </w:rPr>
      </w:pPr>
    </w:p>
    <w:p>
      <w:pPr>
        <w:jc w:val="both"/>
        <w:ind w:firstLine="1864"/>
        <w:spacing w:after="0" w:line="225" w:lineRule="auto"/>
        <w:tabs>
          <w:tab w:leader="none" w:pos="2284"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Lender is not using “plan assets” (within the meaning of Section 3(42) of ERISA or otherwise) of one or more Benefit Plans with respect to such Lender’s entrance into, participation in, administration of and performance of the Loans, the Letters of Credit or the Commitments or this Agreement;</w:t>
      </w:r>
    </w:p>
    <w:p>
      <w:pPr>
        <w:spacing w:after="0" w:line="147" w:lineRule="exact"/>
        <w:rPr>
          <w:rFonts w:ascii="Times New Roman" w:cs="Times New Roman" w:eastAsia="Times New Roman" w:hAnsi="Times New Roman"/>
          <w:sz w:val="21"/>
          <w:szCs w:val="21"/>
          <w:color w:val="auto"/>
        </w:rPr>
      </w:pPr>
    </w:p>
    <w:p>
      <w:pPr>
        <w:jc w:val="both"/>
        <w:ind w:firstLine="1864"/>
        <w:spacing w:after="0" w:line="214" w:lineRule="auto"/>
        <w:tabs>
          <w:tab w:leader="none" w:pos="2343"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46" w:lineRule="exact"/>
        <w:rPr>
          <w:rFonts w:ascii="Times New Roman" w:cs="Times New Roman" w:eastAsia="Times New Roman" w:hAnsi="Times New Roman"/>
          <w:sz w:val="21"/>
          <w:szCs w:val="21"/>
          <w:color w:val="auto"/>
        </w:rPr>
      </w:pPr>
    </w:p>
    <w:p>
      <w:pPr>
        <w:jc w:val="both"/>
        <w:ind w:firstLine="1864"/>
        <w:spacing w:after="0" w:line="224" w:lineRule="auto"/>
        <w:tabs>
          <w:tab w:leader="none" w:pos="2407"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106</w:t>
      </w:r>
    </w:p>
    <w:p>
      <w:pPr>
        <w:sectPr>
          <w:pgSz w:w="11900" w:h="16838" w:orient="portrait"/>
          <w:cols w:equalWidth="0" w:num="1">
            <w:col w:w="11240"/>
          </w:cols>
          <w:pgMar w:left="320" w:top="1342" w:right="339" w:bottom="1440" w:gutter="0" w:footer="0" w:header="0"/>
        </w:sectPr>
      </w:pPr>
    </w:p>
    <w:bookmarkStart w:id="176" w:name="page177"/>
    <w:bookmarkEnd w:id="176"/>
    <w:p>
      <w:pPr>
        <w:ind w:firstLine="1864"/>
        <w:spacing w:after="0" w:line="236" w:lineRule="auto"/>
        <w:tabs>
          <w:tab w:leader="none" w:pos="2395" w:val="left"/>
        </w:tabs>
        <w:numPr>
          <w:ilvl w:val="2"/>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representation, warranty and covenant as may be agreed in writing between the Administrative Agent, in its sole discretion, and such Lender.</w:t>
      </w:r>
    </w:p>
    <w:p>
      <w:pPr>
        <w:spacing w:after="0" w:line="145" w:lineRule="exact"/>
        <w:rPr>
          <w:rFonts w:ascii="Times New Roman" w:cs="Times New Roman" w:eastAsia="Times New Roman" w:hAnsi="Times New Roman"/>
          <w:sz w:val="21"/>
          <w:szCs w:val="21"/>
          <w:color w:val="auto"/>
        </w:rPr>
      </w:pPr>
    </w:p>
    <w:p>
      <w:pPr>
        <w:jc w:val="both"/>
        <w:ind w:firstLine="1244"/>
        <w:spacing w:after="0" w:line="223" w:lineRule="auto"/>
        <w:tabs>
          <w:tab w:leader="none" w:pos="1705" w:val="left"/>
        </w:tabs>
        <w:numPr>
          <w:ilvl w:val="1"/>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unless either (1) </w:t>
      </w:r>
      <w:r>
        <w:rPr>
          <w:rFonts w:ascii="Times New Roman" w:cs="Times New Roman" w:eastAsia="Times New Roman" w:hAnsi="Times New Roman"/>
          <w:sz w:val="20"/>
          <w:szCs w:val="20"/>
          <w:u w:val="single" w:color="auto"/>
          <w:color w:val="auto"/>
        </w:rPr>
        <w:t>sub-clause (i)</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is true with respect to a Lender or (2) a Lender has provided another representation, warranty and covenant in accordance with sub-clause (iv)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such Lender further (x) represents and warrants, as of the date such Person became a Lender party hereto, to, and</w:t>
      </w:r>
    </w:p>
    <w:p>
      <w:pPr>
        <w:spacing w:after="0" w:line="1" w:lineRule="exact"/>
        <w:rPr>
          <w:rFonts w:ascii="Times New Roman" w:cs="Times New Roman" w:eastAsia="Times New Roman" w:hAnsi="Times New Roman"/>
          <w:sz w:val="20"/>
          <w:szCs w:val="20"/>
          <w:color w:val="auto"/>
        </w:rPr>
      </w:pPr>
    </w:p>
    <w:p>
      <w:pPr>
        <w:jc w:val="both"/>
        <w:ind w:firstLine="3"/>
        <w:spacing w:after="0" w:line="211" w:lineRule="auto"/>
        <w:tabs>
          <w:tab w:leader="none" w:pos="299"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covenants, from the date such Person became a Lender party hereto to the date such Person ceases being a Lender party hereto, for the benefit of, the Administrative Agent and the Arrangers and their respective Affiliates, and not, for the avoidance of doubt, to or for the benefit of Toro or any other Loan Party, that none of the Administrative Agent or the Arrangers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3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X.</w:t>
      </w:r>
    </w:p>
    <w:p>
      <w:pPr>
        <w:ind w:left="5020"/>
        <w:spacing w:after="0"/>
        <w:rPr>
          <w:sz w:val="20"/>
          <w:szCs w:val="20"/>
          <w:color w:val="auto"/>
        </w:rPr>
      </w:pPr>
      <w:r>
        <w:rPr>
          <w:rFonts w:ascii="Times New Roman" w:cs="Times New Roman" w:eastAsia="Times New Roman" w:hAnsi="Times New Roman"/>
          <w:sz w:val="21"/>
          <w:szCs w:val="21"/>
          <w:b w:val="1"/>
          <w:bCs w:val="1"/>
          <w:color w:val="auto"/>
        </w:rPr>
        <w:t>GUARANTY</w:t>
      </w:r>
    </w:p>
    <w:p>
      <w:pPr>
        <w:spacing w:after="0" w:line="146" w:lineRule="exact"/>
        <w:rPr>
          <w:sz w:val="20"/>
          <w:szCs w:val="20"/>
          <w:color w:val="auto"/>
        </w:rPr>
      </w:pPr>
    </w:p>
    <w:p>
      <w:pPr>
        <w:jc w:val="both"/>
        <w:ind w:firstLine="620"/>
        <w:spacing w:after="0" w:line="216" w:lineRule="auto"/>
        <w:rPr>
          <w:sz w:val="20"/>
          <w:szCs w:val="20"/>
          <w:color w:val="auto"/>
        </w:rPr>
      </w:pPr>
      <w:r>
        <w:rPr>
          <w:rFonts w:ascii="Times New Roman" w:cs="Times New Roman" w:eastAsia="Times New Roman" w:hAnsi="Times New Roman"/>
          <w:sz w:val="21"/>
          <w:szCs w:val="21"/>
          <w:b w:val="1"/>
          <w:bCs w:val="1"/>
          <w:color w:val="auto"/>
        </w:rPr>
        <w:t>10.01 The Guaranty</w:t>
      </w:r>
      <w:r>
        <w:rPr>
          <w:rFonts w:ascii="Times New Roman" w:cs="Times New Roman" w:eastAsia="Times New Roman" w:hAnsi="Times New Roman"/>
          <w:sz w:val="21"/>
          <w:szCs w:val="21"/>
          <w:color w:val="auto"/>
        </w:rPr>
        <w:t>. Toro hereby unconditionally guarantees the full and punctual payment (whether at stated maturity, upon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acceleration or otherwise) of the principal of and interest on each Loan made by the Lenders or any Lender to any Subsidiary Borrower and each Letter of Credit issued by the L/C Issuer for any Subsidiary Borrower, in each case pursuant to this Agreement; and the full and punctual payment of all other amounts payable by any Subsidiary Borrower under this Agreement. Upon failure by any Subsidiary Borrower to pay punctually any such amount, Toro shall forthwith on demand pay the amount not so paid at the place and in the manner specified in this Agreement.</w:t>
      </w:r>
    </w:p>
    <w:p>
      <w:pPr>
        <w:spacing w:after="0" w:line="143" w:lineRule="exact"/>
        <w:rPr>
          <w:sz w:val="20"/>
          <w:szCs w:val="20"/>
          <w:color w:val="auto"/>
        </w:rPr>
      </w:pPr>
    </w:p>
    <w:p>
      <w:pPr>
        <w:jc w:val="both"/>
        <w:ind w:firstLine="620"/>
        <w:spacing w:after="0" w:line="227" w:lineRule="auto"/>
        <w:rPr>
          <w:sz w:val="20"/>
          <w:szCs w:val="20"/>
          <w:color w:val="auto"/>
        </w:rPr>
      </w:pPr>
      <w:r>
        <w:rPr>
          <w:rFonts w:ascii="Times New Roman" w:cs="Times New Roman" w:eastAsia="Times New Roman" w:hAnsi="Times New Roman"/>
          <w:sz w:val="21"/>
          <w:szCs w:val="21"/>
          <w:b w:val="1"/>
          <w:bCs w:val="1"/>
          <w:color w:val="auto"/>
        </w:rPr>
        <w:t>10.02 Guaranty Unconditional</w:t>
      </w:r>
      <w:r>
        <w:rPr>
          <w:rFonts w:ascii="Times New Roman" w:cs="Times New Roman" w:eastAsia="Times New Roman" w:hAnsi="Times New Roman"/>
          <w:sz w:val="21"/>
          <w:szCs w:val="21"/>
          <w:color w:val="auto"/>
        </w:rPr>
        <w:t>. The obligations of Toro hereunder are a guaranty of payment and not of collection, and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unconditional and absolute and, without limiting the generality of the foregoing, shall not be released, discharged or otherwise affected by:</w:t>
      </w:r>
    </w:p>
    <w:p>
      <w:pPr>
        <w:spacing w:after="0" w:line="146" w:lineRule="exact"/>
        <w:rPr>
          <w:sz w:val="20"/>
          <w:szCs w:val="20"/>
          <w:color w:val="auto"/>
        </w:rPr>
      </w:pPr>
    </w:p>
    <w:p>
      <w:pPr>
        <w:ind w:firstLine="1244"/>
        <w:spacing w:after="0" w:line="236" w:lineRule="auto"/>
        <w:tabs>
          <w:tab w:leader="none" w:pos="1728"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extension, renewal, settlement, compromise, waiver or release in respect of any obligation of any Subsidiary Borrower under this Agreement or any Note, by operation of law or otherwise;</w:t>
      </w:r>
    </w:p>
    <w:p>
      <w:pPr>
        <w:spacing w:after="0" w:line="145" w:lineRule="exact"/>
        <w:rPr>
          <w:rFonts w:ascii="Times New Roman" w:cs="Times New Roman" w:eastAsia="Times New Roman" w:hAnsi="Times New Roman"/>
          <w:sz w:val="21"/>
          <w:szCs w:val="21"/>
          <w:color w:val="auto"/>
        </w:rPr>
      </w:pPr>
    </w:p>
    <w:p>
      <w:pPr>
        <w:ind w:left="1700" w:hanging="456"/>
        <w:spacing w:after="0"/>
        <w:tabs>
          <w:tab w:leader="none" w:pos="1700"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modification or amendment of or supplement to this Agreement or any Note;</w:t>
      </w:r>
    </w:p>
    <w:p>
      <w:pPr>
        <w:spacing w:after="0" w:line="171" w:lineRule="exact"/>
        <w:rPr>
          <w:rFonts w:ascii="Times New Roman" w:cs="Times New Roman" w:eastAsia="Times New Roman" w:hAnsi="Times New Roman"/>
          <w:sz w:val="21"/>
          <w:szCs w:val="21"/>
          <w:color w:val="auto"/>
        </w:rPr>
      </w:pPr>
    </w:p>
    <w:p>
      <w:pPr>
        <w:ind w:firstLine="1244"/>
        <w:spacing w:after="0" w:line="236" w:lineRule="auto"/>
        <w:tabs>
          <w:tab w:leader="none" w:pos="1775"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release, non-perfection or invalidity of any direct or indirect security for any obligation of any Subsidiary Borrower under this Agreement or any Note;</w:t>
      </w:r>
    </w:p>
    <w:p>
      <w:pPr>
        <w:spacing w:after="0" w:line="145" w:lineRule="exact"/>
        <w:rPr>
          <w:rFonts w:ascii="Times New Roman" w:cs="Times New Roman" w:eastAsia="Times New Roman" w:hAnsi="Times New Roman"/>
          <w:sz w:val="21"/>
          <w:szCs w:val="21"/>
          <w:color w:val="auto"/>
        </w:rPr>
      </w:pPr>
    </w:p>
    <w:p>
      <w:pPr>
        <w:jc w:val="both"/>
        <w:ind w:firstLine="1244"/>
        <w:spacing w:after="0" w:line="225" w:lineRule="auto"/>
        <w:tabs>
          <w:tab w:leader="none" w:pos="1797"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 in the corporate existence, structure or ownership of any Subsidiary Borrower, or any insolvency, bankruptcy, reorganization or other similar proceeding affecting such Subsidiary Borrower or its assets or any resulting release or discharge of any obligation of such Subsidiary Borrower contained in this Agreement or any Note;</w:t>
      </w:r>
    </w:p>
    <w:p>
      <w:pPr>
        <w:spacing w:after="0" w:line="147" w:lineRule="exact"/>
        <w:rPr>
          <w:rFonts w:ascii="Times New Roman" w:cs="Times New Roman" w:eastAsia="Times New Roman" w:hAnsi="Times New Roman"/>
          <w:sz w:val="21"/>
          <w:szCs w:val="21"/>
          <w:color w:val="auto"/>
        </w:rPr>
      </w:pPr>
    </w:p>
    <w:p>
      <w:pPr>
        <w:jc w:val="both"/>
        <w:ind w:firstLine="1244"/>
        <w:spacing w:after="0" w:line="237" w:lineRule="auto"/>
        <w:tabs>
          <w:tab w:leader="none" w:pos="1822"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existence of any claim, set-off or other rights which Toro may have at any time against any Subsidiary Borrower, any Administrative Agent, any Lender or any other corporation or person, whether in connection herewith or any unrelated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herein shall prevent the assertion of any such claim by separate suit or compulsory counterclaim;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107</w:t>
      </w:r>
    </w:p>
    <w:p>
      <w:pPr>
        <w:sectPr>
          <w:pgSz w:w="11900" w:h="16838" w:orient="portrait"/>
          <w:cols w:equalWidth="0" w:num="1">
            <w:col w:w="11240"/>
          </w:cols>
          <w:pgMar w:left="320" w:top="1342" w:right="339" w:bottom="1440" w:gutter="0" w:footer="0" w:header="0"/>
        </w:sectPr>
      </w:pPr>
    </w:p>
    <w:bookmarkStart w:id="177" w:name="page178"/>
    <w:bookmarkEnd w:id="177"/>
    <w:p>
      <w:pPr>
        <w:jc w:val="both"/>
        <w:ind w:firstLine="1244"/>
        <w:spacing w:after="0" w:line="225" w:lineRule="auto"/>
        <w:tabs>
          <w:tab w:leader="none" w:pos="1682"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invalidity or unenforceability relating to or against any Subsidiary Borrower for any reason of this Agreement or any Note, or any provision of Applicable Law or regulation purporting to prohibit the payment by any Subsidiary Borrower of the principal of or interest on any Note or any other amount payable by it under this Agreement; or</w:t>
      </w:r>
    </w:p>
    <w:p>
      <w:pPr>
        <w:spacing w:after="0" w:line="147" w:lineRule="exact"/>
        <w:rPr>
          <w:rFonts w:ascii="Times New Roman" w:cs="Times New Roman" w:eastAsia="Times New Roman" w:hAnsi="Times New Roman"/>
          <w:sz w:val="21"/>
          <w:szCs w:val="21"/>
          <w:color w:val="auto"/>
        </w:rPr>
      </w:pPr>
    </w:p>
    <w:p>
      <w:pPr>
        <w:jc w:val="both"/>
        <w:ind w:firstLine="1244"/>
        <w:spacing w:after="0" w:line="225" w:lineRule="auto"/>
        <w:tabs>
          <w:tab w:leader="none" w:pos="1731"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act or omission to act or delay of any kind by any Subsidiary Borrower, the Administrative Agent, any Lender or any other Person or any other circumstance whatsoever which might, but for the provisions of this paragraph, constitute a legal or equitable discharge of Toro’s obligations hereunder.</w:t>
      </w:r>
    </w:p>
    <w:p>
      <w:pPr>
        <w:spacing w:after="0" w:line="148"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 xml:space="preserve">The obligations of Toro under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are independent of the obligation of any Subsidiary Borrower pursuant to this Agreement or any Note issued by such Subsidiary Borrower and a separate action or actions may be brought and prosecuted against Toro to enforce the provisions of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irrespective of whether any action is brought against any Subsidiary Borrower or whether any Subsidiary Borrower is joined in any such action or actions.</w:t>
      </w:r>
    </w:p>
    <w:p>
      <w:pPr>
        <w:spacing w:after="0" w:line="144" w:lineRule="exact"/>
        <w:rPr>
          <w:sz w:val="20"/>
          <w:szCs w:val="20"/>
          <w:color w:val="auto"/>
        </w:rPr>
      </w:pPr>
    </w:p>
    <w:p>
      <w:pPr>
        <w:jc w:val="both"/>
        <w:ind w:firstLine="620"/>
        <w:spacing w:after="0" w:line="214" w:lineRule="auto"/>
        <w:rPr>
          <w:sz w:val="20"/>
          <w:szCs w:val="20"/>
          <w:color w:val="auto"/>
        </w:rPr>
      </w:pPr>
      <w:r>
        <w:rPr>
          <w:rFonts w:ascii="Times New Roman" w:cs="Times New Roman" w:eastAsia="Times New Roman" w:hAnsi="Times New Roman"/>
          <w:sz w:val="21"/>
          <w:szCs w:val="21"/>
          <w:b w:val="1"/>
          <w:bCs w:val="1"/>
          <w:color w:val="auto"/>
        </w:rPr>
        <w:t>10.03 Discharge Only Upon Payment In Full; Reinstatement In Certain Circumstances</w:t>
      </w:r>
      <w:r>
        <w:rPr>
          <w:rFonts w:ascii="Times New Roman" w:cs="Times New Roman" w:eastAsia="Times New Roman" w:hAnsi="Times New Roman"/>
          <w:sz w:val="21"/>
          <w:szCs w:val="21"/>
          <w:color w:val="auto"/>
        </w:rPr>
        <w:t>. Toro’s obligations hereunder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remain in full force and effect until all the Commitments shall have terminated and the principal of and interest on the Notes and all other amounts payable by any Subsidiary Borrower under this Agreement shall have been paid in full. If at any time any payment of the principal of or interest on any Note or any other amount payable by any Subsidiary Borrower under this Agreement is rescinded or must be otherwise restored or returned upon the insolvency, bankruptcy or reorganization of such Subsidiary Borrower or otherwise, Toro’s obligations hereunder with respect to such payment shall be reinstated as though such payment had been due but not made at such time.</w:t>
      </w:r>
    </w:p>
    <w:p>
      <w:pPr>
        <w:spacing w:after="0" w:line="147" w:lineRule="exact"/>
        <w:rPr>
          <w:sz w:val="20"/>
          <w:szCs w:val="20"/>
          <w:color w:val="auto"/>
        </w:rPr>
      </w:pPr>
    </w:p>
    <w:p>
      <w:pPr>
        <w:jc w:val="both"/>
        <w:ind w:firstLine="620"/>
        <w:spacing w:after="0" w:line="227" w:lineRule="auto"/>
        <w:rPr>
          <w:sz w:val="20"/>
          <w:szCs w:val="20"/>
          <w:color w:val="auto"/>
        </w:rPr>
      </w:pPr>
      <w:r>
        <w:rPr>
          <w:rFonts w:ascii="Times New Roman" w:cs="Times New Roman" w:eastAsia="Times New Roman" w:hAnsi="Times New Roman"/>
          <w:sz w:val="21"/>
          <w:szCs w:val="21"/>
          <w:b w:val="1"/>
          <w:bCs w:val="1"/>
          <w:color w:val="auto"/>
        </w:rPr>
        <w:t>10.04 Waiver by Toro</w:t>
      </w:r>
      <w:r>
        <w:rPr>
          <w:rFonts w:ascii="Times New Roman" w:cs="Times New Roman" w:eastAsia="Times New Roman" w:hAnsi="Times New Roman"/>
          <w:sz w:val="21"/>
          <w:szCs w:val="21"/>
          <w:color w:val="auto"/>
        </w:rPr>
        <w:t>. Toro irrevocably waives acceptance hereof, presentment, demand, protest and any notice not 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herein, as well as any requirement that at any time any action be taken by any Person against any Subsidiary Borrower or any other Person.</w:t>
      </w:r>
    </w:p>
    <w:p>
      <w:pPr>
        <w:spacing w:after="0" w:line="142"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21"/>
          <w:szCs w:val="21"/>
          <w:b w:val="1"/>
          <w:bCs w:val="1"/>
          <w:color w:val="auto"/>
        </w:rPr>
        <w:t>10.05 No Subrogation</w:t>
      </w:r>
      <w:r>
        <w:rPr>
          <w:rFonts w:ascii="Times New Roman" w:cs="Times New Roman" w:eastAsia="Times New Roman" w:hAnsi="Times New Roman"/>
          <w:sz w:val="21"/>
          <w:szCs w:val="21"/>
          <w:color w:val="auto"/>
        </w:rPr>
        <w:t>. Toro shall not exercise any right of subrogation, contribution, indemnity, reimbursement or similar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rights with respect to any payments it makes under this Guaranty until all of the Obligations and any amounts payable under this Guaranty have been indefeasibly paid and performed in full and the Commitments are terminated. If any amounts are paid to Toro in violation of the foregoing limitation, then such amounts shall be held in trust for the benefit of the Lenders and shall forthwith be paid to the Lenders to reduce the amount of the Obligations, whether matured or unmatured.</w:t>
      </w:r>
    </w:p>
    <w:p>
      <w:pPr>
        <w:spacing w:after="0" w:line="144" w:lineRule="exact"/>
        <w:rPr>
          <w:sz w:val="20"/>
          <w:szCs w:val="20"/>
          <w:color w:val="auto"/>
        </w:rPr>
      </w:pPr>
    </w:p>
    <w:p>
      <w:pPr>
        <w:jc w:val="both"/>
        <w:ind w:firstLine="620"/>
        <w:spacing w:after="0" w:line="221" w:lineRule="auto"/>
        <w:rPr>
          <w:sz w:val="20"/>
          <w:szCs w:val="20"/>
          <w:color w:val="auto"/>
        </w:rPr>
      </w:pPr>
      <w:r>
        <w:rPr>
          <w:rFonts w:ascii="Times New Roman" w:cs="Times New Roman" w:eastAsia="Times New Roman" w:hAnsi="Times New Roman"/>
          <w:sz w:val="21"/>
          <w:szCs w:val="21"/>
          <w:b w:val="1"/>
          <w:bCs w:val="1"/>
          <w:color w:val="auto"/>
        </w:rPr>
        <w:t>10.06 Stay of Acceleration</w:t>
      </w:r>
      <w:r>
        <w:rPr>
          <w:rFonts w:ascii="Times New Roman" w:cs="Times New Roman" w:eastAsia="Times New Roman" w:hAnsi="Times New Roman"/>
          <w:sz w:val="21"/>
          <w:szCs w:val="21"/>
          <w:color w:val="auto"/>
        </w:rPr>
        <w:t>. If acceleration of the time for payment of any amount payable by any Subsidiary Borrower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or the Notes is stayed upon the insolvency, bankruptcy or reorganization of such Subsidiary Borrower, all such amounts otherwise subject to acceleration under the terms of this Agreement shall nonetheless be payable by Toro hereunder forthwith on demand by the Administrative Agent made at the request of the Required Lenders.</w:t>
      </w:r>
    </w:p>
    <w:p>
      <w:pPr>
        <w:spacing w:after="0" w:line="1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1"/>
          <w:szCs w:val="21"/>
          <w:b w:val="1"/>
          <w:bCs w:val="1"/>
          <w:color w:val="auto"/>
        </w:rPr>
        <w:t>ARTICLE XI.</w:t>
      </w:r>
    </w:p>
    <w:p>
      <w:pPr>
        <w:ind w:left="4720"/>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146"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21"/>
          <w:szCs w:val="21"/>
          <w:b w:val="1"/>
          <w:bCs w:val="1"/>
          <w:color w:val="auto"/>
        </w:rPr>
        <w:t>11.01 Amendments, Etc</w:t>
      </w:r>
      <w:r>
        <w:rPr>
          <w:rFonts w:ascii="Times New Roman" w:cs="Times New Roman" w:eastAsia="Times New Roman" w:hAnsi="Times New Roman"/>
          <w:sz w:val="21"/>
          <w:szCs w:val="21"/>
          <w:color w:val="auto"/>
        </w:rPr>
        <w:t>.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Sections 2.14</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2.18</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3.03(b)</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unless otherwise expressly provided herein, no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amendment or waiver of any provision of this Agreement or any other Loan Document, and no consent to any departure by the Borrowers or any other Loan Party therefrom, shall be effective unless in writing signed by the Required Lenders and the Borrowers or the applicable Loan Party, as the case may be, and acknowledged by the Administrative Agent, and each such waiver or consent shall be effective only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108</w:t>
      </w:r>
    </w:p>
    <w:p>
      <w:pPr>
        <w:sectPr>
          <w:pgSz w:w="11900" w:h="16838" w:orient="portrait"/>
          <w:cols w:equalWidth="0" w:num="1">
            <w:col w:w="11240"/>
          </w:cols>
          <w:pgMar w:left="320" w:top="1342"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21"/>
          <w:szCs w:val="21"/>
          <w:color w:val="auto"/>
        </w:rPr>
        <w:t>specific instance and for the specific purpose for which given; provided, however, that no such amendment, waiver or consent shall:</w:t>
      </w:r>
    </w:p>
    <w:p>
      <w:pPr>
        <w:spacing w:after="0" w:line="172" w:lineRule="exact"/>
        <w:rPr>
          <w:sz w:val="20"/>
          <w:szCs w:val="20"/>
          <w:color w:val="auto"/>
        </w:rPr>
      </w:pPr>
    </w:p>
    <w:p>
      <w:pPr>
        <w:jc w:val="both"/>
        <w:ind w:firstLine="1244"/>
        <w:spacing w:after="0" w:line="220" w:lineRule="auto"/>
        <w:tabs>
          <w:tab w:leader="none" w:pos="1761"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waive any condition set forth in </w:t>
      </w:r>
      <w:r>
        <w:rPr>
          <w:rFonts w:ascii="Times New Roman" w:cs="Times New Roman" w:eastAsia="Times New Roman" w:hAnsi="Times New Roman"/>
          <w:sz w:val="21"/>
          <w:szCs w:val="21"/>
          <w:u w:val="single" w:color="auto"/>
          <w:color w:val="auto"/>
        </w:rPr>
        <w:t>Section 4.01(a)</w:t>
      </w:r>
      <w:r>
        <w:rPr>
          <w:rFonts w:ascii="Times New Roman" w:cs="Times New Roman" w:eastAsia="Times New Roman" w:hAnsi="Times New Roman"/>
          <w:sz w:val="21"/>
          <w:szCs w:val="21"/>
          <w:color w:val="auto"/>
        </w:rPr>
        <w:t xml:space="preserve"> or, in the case of the initial Credit Extension,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without the written consent of each Lender; or, (ii) without limiting the generality of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waive any condition set forth in </w:t>
      </w:r>
      <w:r>
        <w:rPr>
          <w:rFonts w:ascii="Times New Roman" w:cs="Times New Roman" w:eastAsia="Times New Roman" w:hAnsi="Times New Roman"/>
          <w:sz w:val="21"/>
          <w:szCs w:val="21"/>
          <w:u w:val="single" w:color="auto"/>
          <w:color w:val="auto"/>
        </w:rPr>
        <w:t>Section 4.02</w:t>
      </w:r>
      <w:r>
        <w:rPr>
          <w:rFonts w:ascii="Times New Roman" w:cs="Times New Roman" w:eastAsia="Times New Roman" w:hAnsi="Times New Roman"/>
          <w:sz w:val="21"/>
          <w:szCs w:val="21"/>
          <w:color w:val="auto"/>
        </w:rPr>
        <w:t xml:space="preserve"> as to any Credit Extension under a particular Facility without the written consent of the Required Revolving Lenders or the Required Term Lenders, as the case may be;</w:t>
      </w:r>
    </w:p>
    <w:p>
      <w:pPr>
        <w:spacing w:after="0" w:line="148" w:lineRule="exact"/>
        <w:rPr>
          <w:rFonts w:ascii="Times New Roman" w:cs="Times New Roman" w:eastAsia="Times New Roman" w:hAnsi="Times New Roman"/>
          <w:sz w:val="21"/>
          <w:szCs w:val="21"/>
          <w:color w:val="auto"/>
        </w:rPr>
      </w:pPr>
    </w:p>
    <w:p>
      <w:pPr>
        <w:jc w:val="both"/>
        <w:ind w:firstLine="1244"/>
        <w:spacing w:after="0" w:line="225" w:lineRule="auto"/>
        <w:tabs>
          <w:tab w:leader="none" w:pos="1691"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extend or increase the Commitment of any Lender (or reinstate any Commitment terminated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8.02</w:t>
      </w:r>
      <w:r>
        <w:rPr>
          <w:rFonts w:ascii="Times New Roman" w:cs="Times New Roman" w:eastAsia="Times New Roman" w:hAnsi="Times New Roman"/>
          <w:sz w:val="21"/>
          <w:szCs w:val="21"/>
          <w:color w:val="auto"/>
        </w:rPr>
        <w:t>) without the written consent of such Lender, or (ii) extend the expiry date of any Letter of Credit to a date after the Letter of Credit Expiration Date, without the written consent of each Lender;</w:t>
      </w:r>
    </w:p>
    <w:p>
      <w:pPr>
        <w:spacing w:after="0" w:line="147" w:lineRule="exact"/>
        <w:rPr>
          <w:rFonts w:ascii="Times New Roman" w:cs="Times New Roman" w:eastAsia="Times New Roman" w:hAnsi="Times New Roman"/>
          <w:sz w:val="21"/>
          <w:szCs w:val="21"/>
          <w:color w:val="auto"/>
        </w:rPr>
      </w:pPr>
    </w:p>
    <w:p>
      <w:pPr>
        <w:jc w:val="both"/>
        <w:ind w:firstLine="1244"/>
        <w:spacing w:after="0" w:line="225" w:lineRule="auto"/>
        <w:tabs>
          <w:tab w:leader="none" w:pos="1677" w:val="left"/>
        </w:tabs>
        <w:numPr>
          <w:ilvl w:val="1"/>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postpone any date fixed by this Agreement or any other Loan Document for any payment of principal, interest, fees or other amounts due to the Lenders (or any of them) hereunder (excluding mandatory prepayments) or under any other Loan Document without the written consent of each Lender directly affected thereby;</w:t>
      </w:r>
    </w:p>
    <w:p>
      <w:pPr>
        <w:spacing w:after="0" w:line="146" w:lineRule="exact"/>
        <w:rPr>
          <w:rFonts w:ascii="Times New Roman" w:cs="Times New Roman" w:eastAsia="Times New Roman" w:hAnsi="Times New Roman"/>
          <w:sz w:val="21"/>
          <w:szCs w:val="21"/>
          <w:color w:val="auto"/>
        </w:rPr>
      </w:pPr>
    </w:p>
    <w:p>
      <w:pPr>
        <w:ind w:left="1700" w:hanging="456"/>
        <w:spacing w:after="0"/>
        <w:tabs>
          <w:tab w:leader="none" w:pos="1700" w:val="left"/>
        </w:tabs>
        <w:numPr>
          <w:ilvl w:val="1"/>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L/C Borrowing, or (subject to </w:t>
      </w:r>
      <w:r>
        <w:rPr>
          <w:rFonts w:ascii="Times New Roman" w:cs="Times New Roman" w:eastAsia="Times New Roman" w:hAnsi="Times New Roman"/>
          <w:sz w:val="20"/>
          <w:szCs w:val="20"/>
          <w:u w:val="single" w:color="auto"/>
          <w:color w:val="auto"/>
        </w:rPr>
        <w:t>clause</w:t>
      </w:r>
    </w:p>
    <w:p>
      <w:pPr>
        <w:jc w:val="both"/>
        <w:ind w:firstLine="3"/>
        <w:spacing w:after="0" w:line="223" w:lineRule="auto"/>
        <w:tabs>
          <w:tab w:leader="none" w:pos="378" w:val="left"/>
        </w:tabs>
        <w:numPr>
          <w:ilvl w:val="0"/>
          <w:numId w:val="17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the second proviso to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 xml:space="preserve">) any fees or other amounts payable hereunder or under any other Loan Document without the written consent of each Lender directly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only the consent of the Required Lenders shall 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149" w:lineRule="exact"/>
        <w:rPr>
          <w:rFonts w:ascii="Times New Roman" w:cs="Times New Roman" w:eastAsia="Times New Roman" w:hAnsi="Times New Roman"/>
          <w:sz w:val="20"/>
          <w:szCs w:val="20"/>
          <w:u w:val="single" w:color="auto"/>
          <w:color w:val="auto"/>
        </w:rPr>
      </w:pPr>
    </w:p>
    <w:p>
      <w:pPr>
        <w:jc w:val="both"/>
        <w:ind w:firstLine="1244"/>
        <w:spacing w:after="0" w:line="217" w:lineRule="auto"/>
        <w:tabs>
          <w:tab w:leader="none" w:pos="1707"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the prior written consent of each Lender directly affected thereby, modify (i)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8.03</w:t>
      </w:r>
      <w:r>
        <w:rPr>
          <w:rFonts w:ascii="Times New Roman" w:cs="Times New Roman" w:eastAsia="Times New Roman" w:hAnsi="Times New Roman"/>
          <w:sz w:val="21"/>
          <w:szCs w:val="21"/>
          <w:color w:val="auto"/>
        </w:rPr>
        <w:t xml:space="preserve"> or (ii) the order of application of any reduction in the Commitments or any prepayment of Loans among the Facilities from the application thereof set forth in the applicable provisions of </w:t>
      </w:r>
      <w:r>
        <w:rPr>
          <w:rFonts w:ascii="Times New Roman" w:cs="Times New Roman" w:eastAsia="Times New Roman" w:hAnsi="Times New Roman"/>
          <w:sz w:val="21"/>
          <w:szCs w:val="21"/>
          <w:u w:val="single" w:color="auto"/>
          <w:color w:val="auto"/>
        </w:rPr>
        <w:t>Section 2.05(b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2.06(b</w:t>
      </w:r>
      <w:r>
        <w:rPr>
          <w:rFonts w:ascii="Times New Roman" w:cs="Times New Roman" w:eastAsia="Times New Roman" w:hAnsi="Times New Roman"/>
          <w:sz w:val="21"/>
          <w:szCs w:val="21"/>
          <w:color w:val="auto"/>
        </w:rPr>
        <w:t>), respectively, in any manner that materially and adversely affects the Lenders under a Facility without the written consent of (i) if such Facility is the Term Facility, the Required Term Lenders and (ii) if such Facility is the Revolving Credit Facility, the Required Revolving Lenders;</w:t>
      </w:r>
    </w:p>
    <w:p>
      <w:pPr>
        <w:spacing w:after="0" w:line="148" w:lineRule="exact"/>
        <w:rPr>
          <w:rFonts w:ascii="Times New Roman" w:cs="Times New Roman" w:eastAsia="Times New Roman" w:hAnsi="Times New Roman"/>
          <w:sz w:val="21"/>
          <w:szCs w:val="21"/>
          <w:color w:val="auto"/>
        </w:rPr>
      </w:pPr>
    </w:p>
    <w:p>
      <w:pPr>
        <w:ind w:left="1660" w:hanging="416"/>
        <w:spacing w:after="0"/>
        <w:tabs>
          <w:tab w:leader="none" w:pos="1660"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amend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xml:space="preserve"> or the definition of “Alternative Currency” without the written consent of each Lender;</w:t>
      </w:r>
    </w:p>
    <w:p>
      <w:pPr>
        <w:spacing w:after="0" w:line="171" w:lineRule="exact"/>
        <w:rPr>
          <w:rFonts w:ascii="Times New Roman" w:cs="Times New Roman" w:eastAsia="Times New Roman" w:hAnsi="Times New Roman"/>
          <w:sz w:val="21"/>
          <w:szCs w:val="21"/>
          <w:color w:val="auto"/>
        </w:rPr>
      </w:pPr>
    </w:p>
    <w:p>
      <w:pPr>
        <w:jc w:val="both"/>
        <w:ind w:firstLine="1244"/>
        <w:spacing w:after="0" w:line="217" w:lineRule="auto"/>
        <w:tabs>
          <w:tab w:leader="none" w:pos="1688"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(i) any provision of this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xml:space="preserve"> or the definition of “Required Lenders” or any other provision hereof specifying the number or percentage of Lenders required to amend, waive or otherwise modify any rights hereunder or make any determination or grant any consent hereunder (other than the definitions specified in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11.01(g)</w:t>
      </w:r>
      <w:r>
        <w:rPr>
          <w:rFonts w:ascii="Times New Roman" w:cs="Times New Roman" w:eastAsia="Times New Roman" w:hAnsi="Times New Roman"/>
          <w:sz w:val="21"/>
          <w:szCs w:val="21"/>
          <w:color w:val="auto"/>
        </w:rPr>
        <w:t>), without the written consent of each Lender or (ii) the definition of “Required Revolving Lenders,” or “Required Term Lenders,” without the written consent of each Lender under the applicable Facility;</w:t>
      </w:r>
    </w:p>
    <w:p>
      <w:pPr>
        <w:spacing w:after="0" w:line="148" w:lineRule="exact"/>
        <w:rPr>
          <w:rFonts w:ascii="Times New Roman" w:cs="Times New Roman" w:eastAsia="Times New Roman" w:hAnsi="Times New Roman"/>
          <w:sz w:val="21"/>
          <w:szCs w:val="21"/>
          <w:color w:val="auto"/>
        </w:rPr>
      </w:pPr>
    </w:p>
    <w:p>
      <w:pPr>
        <w:jc w:val="both"/>
        <w:ind w:firstLine="1244"/>
        <w:spacing w:after="0" w:line="225" w:lineRule="auto"/>
        <w:tabs>
          <w:tab w:leader="none" w:pos="1854" w:val="left"/>
        </w:tabs>
        <w:numPr>
          <w:ilvl w:val="1"/>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directly and materially adversely affect the rights of Lenders holding Commitments or Loans of one Class differently from the rights of Lenders holding Commitments or Loans of any other Class without the written consent of the Required Revolving Lenders or the Required Term Lenders,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109</w:t>
      </w:r>
    </w:p>
    <w:p>
      <w:pPr>
        <w:sectPr>
          <w:pgSz w:w="11900" w:h="16838" w:orient="portrait"/>
          <w:cols w:equalWidth="0" w:num="1">
            <w:col w:w="11240"/>
          </w:cols>
          <w:pgMar w:left="320" w:top="1342" w:right="339" w:bottom="1440" w:gutter="0" w:footer="0" w:header="0"/>
        </w:sectPr>
      </w:pPr>
    </w:p>
    <w:bookmarkStart w:id="179" w:name="page180"/>
    <w:bookmarkEnd w:id="179"/>
    <w:p>
      <w:pPr>
        <w:jc w:val="both"/>
        <w:ind w:firstLine="1244"/>
        <w:spacing w:after="0" w:line="225" w:lineRule="auto"/>
        <w:tabs>
          <w:tab w:leader="none" w:pos="1659"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any greater restriction on the ability of any Lender under a Facility to assign any of its rights or obligations hereunder without the written consent of (i) if such Facility is the Term Facility, the Required Term Lenders, and (ii) if such Facility is the Revolving Credit Facility, the Required Revolving Lenders;</w:t>
      </w:r>
    </w:p>
    <w:p>
      <w:pPr>
        <w:spacing w:after="0" w:line="147" w:lineRule="exact"/>
        <w:rPr>
          <w:rFonts w:ascii="Times New Roman" w:cs="Times New Roman" w:eastAsia="Times New Roman" w:hAnsi="Times New Roman"/>
          <w:sz w:val="21"/>
          <w:szCs w:val="21"/>
          <w:color w:val="auto"/>
        </w:rPr>
      </w:pPr>
    </w:p>
    <w:p>
      <w:pPr>
        <w:ind w:left="1640" w:hanging="396"/>
        <w:spacing w:after="0"/>
        <w:tabs>
          <w:tab w:leader="none" w:pos="1640"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release Toro from the Guaranty without the written consent of each Lender;</w:t>
      </w:r>
    </w:p>
    <w:p>
      <w:pPr>
        <w:spacing w:after="0" w:line="17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147"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Notwithstanding any provision herein to the contrary, if the Administrative Agent and Toro acting together identify any ambiguity, omission, mistake, typographical error or other defect in any provision of this Agreement or any other Loan Document (including the schedules and exhibits thereto), then the Administrative Agent and Toro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45" w:lineRule="exact"/>
        <w:rPr>
          <w:sz w:val="20"/>
          <w:szCs w:val="20"/>
          <w:color w:val="auto"/>
        </w:rPr>
      </w:pPr>
    </w:p>
    <w:p>
      <w:pPr>
        <w:ind w:left="620"/>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11.02</w:t>
      </w:r>
      <w:r>
        <w:rPr>
          <w:sz w:val="20"/>
          <w:szCs w:val="20"/>
          <w:color w:val="auto"/>
        </w:rPr>
        <w:tab/>
      </w:r>
      <w:r>
        <w:rPr>
          <w:rFonts w:ascii="Times New Roman" w:cs="Times New Roman" w:eastAsia="Times New Roman" w:hAnsi="Times New Roman"/>
          <w:sz w:val="20"/>
          <w:szCs w:val="20"/>
          <w:b w:val="1"/>
          <w:bCs w:val="1"/>
          <w:color w:val="auto"/>
        </w:rPr>
        <w:t>Notices; Effectiveness; Electronic Communication.</w:t>
      </w:r>
    </w:p>
    <w:p>
      <w:pPr>
        <w:spacing w:after="0" w:line="176" w:lineRule="exact"/>
        <w:rPr>
          <w:sz w:val="20"/>
          <w:szCs w:val="20"/>
          <w:color w:val="auto"/>
        </w:rPr>
      </w:pPr>
    </w:p>
    <w:p>
      <w:pPr>
        <w:jc w:val="both"/>
        <w:ind w:firstLine="1244"/>
        <w:spacing w:after="0" w:line="217" w:lineRule="auto"/>
        <w:tabs>
          <w:tab w:leader="none" w:pos="1767"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 Generally</w:t>
      </w:r>
      <w:r>
        <w:rPr>
          <w:rFonts w:ascii="Times New Roman" w:cs="Times New Roman" w:eastAsia="Times New Roman" w:hAnsi="Times New Roman"/>
          <w:sz w:val="21"/>
          <w:szCs w:val="21"/>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 xml:space="preserve"> below), all notices and other communications provided for herein shall be in writing and shall be delivered by hand or overnight courier service, mailed by certified or registered mail or sent by electronic communication as follows, and all notices and other communications expressly permitted hereunder to be given by telephone shall be made to the applicable telephone number, as follows:</w:t>
      </w:r>
    </w:p>
    <w:p>
      <w:pPr>
        <w:spacing w:after="0" w:line="148" w:lineRule="exact"/>
        <w:rPr>
          <w:rFonts w:ascii="Times New Roman" w:cs="Times New Roman" w:eastAsia="Times New Roman" w:hAnsi="Times New Roman"/>
          <w:sz w:val="21"/>
          <w:szCs w:val="21"/>
          <w:color w:val="auto"/>
        </w:rPr>
      </w:pPr>
    </w:p>
    <w:p>
      <w:pPr>
        <w:ind w:firstLine="1864"/>
        <w:spacing w:after="0" w:line="236" w:lineRule="auto"/>
        <w:tabs>
          <w:tab w:leader="none" w:pos="2351" w:val="left"/>
        </w:tabs>
        <w:numPr>
          <w:ilvl w:val="1"/>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to the Borrowers, the Administrative Agent, the L/C Issuer or the Swing Line Lender, to the address, electronic mail address or telephone number specified for such Person on </w:t>
      </w:r>
      <w:r>
        <w:rPr>
          <w:rFonts w:ascii="Times New Roman" w:cs="Times New Roman" w:eastAsia="Times New Roman" w:hAnsi="Times New Roman"/>
          <w:sz w:val="21"/>
          <w:szCs w:val="21"/>
          <w:u w:val="single" w:color="auto"/>
          <w:color w:val="auto"/>
        </w:rPr>
        <w:t>Schedule 11.02</w:t>
      </w:r>
      <w:r>
        <w:rPr>
          <w:rFonts w:ascii="Times New Roman" w:cs="Times New Roman" w:eastAsia="Times New Roman" w:hAnsi="Times New Roman"/>
          <w:sz w:val="21"/>
          <w:szCs w:val="21"/>
          <w:color w:val="auto"/>
        </w:rPr>
        <w:t>; and</w:t>
      </w:r>
    </w:p>
    <w:p>
      <w:pPr>
        <w:spacing w:after="0" w:line="145" w:lineRule="exact"/>
        <w:rPr>
          <w:rFonts w:ascii="Times New Roman" w:cs="Times New Roman" w:eastAsia="Times New Roman" w:hAnsi="Times New Roman"/>
          <w:sz w:val="21"/>
          <w:szCs w:val="21"/>
          <w:color w:val="auto"/>
        </w:rPr>
      </w:pPr>
    </w:p>
    <w:p>
      <w:pPr>
        <w:jc w:val="both"/>
        <w:ind w:firstLine="1864"/>
        <w:spacing w:after="0" w:line="220" w:lineRule="auto"/>
        <w:tabs>
          <w:tab w:leader="none" w:pos="2490" w:val="left"/>
        </w:tabs>
        <w:numPr>
          <w:ilvl w:val="1"/>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to any other Lender, to the address,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110</w:t>
      </w:r>
    </w:p>
    <w:p>
      <w:pPr>
        <w:sectPr>
          <w:pgSz w:w="11900" w:h="16838" w:orient="portrait"/>
          <w:cols w:equalWidth="0" w:num="1">
            <w:col w:w="11240"/>
          </w:cols>
          <w:pgMar w:left="320" w:top="1342" w:right="339" w:bottom="1440" w:gutter="0" w:footer="0" w:header="0"/>
        </w:sectPr>
      </w:pPr>
    </w:p>
    <w:bookmarkStart w:id="180" w:name="page181"/>
    <w:bookmarkEnd w:id="180"/>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 xml:space="preserve">Notices and other communications sent by hand or overnight courier service, or mailed by certified or registered mail, shall be deemed to have been given when received. Notices and other communications delivered through electronic communications to the extent provided in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 xml:space="preserve"> below, shall be effective as provided in such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jc w:val="both"/>
        <w:ind w:firstLine="1244"/>
        <w:spacing w:after="0" w:line="224" w:lineRule="auto"/>
        <w:tabs>
          <w:tab w:leader="none" w:pos="171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the L/C 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or the L/C Issuer, as applicable, has notified the Administrative Agent that it is incapable of receiving notices under such Article by electronic communication. The Administrative Agent, the L/C Issuer, the Swing Line Lender or Toro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51" w:lineRule="exact"/>
        <w:rPr>
          <w:sz w:val="20"/>
          <w:szCs w:val="20"/>
          <w:color w:val="auto"/>
        </w:rPr>
      </w:pPr>
    </w:p>
    <w:p>
      <w:pPr>
        <w:jc w:val="both"/>
        <w:ind w:firstLine="620"/>
        <w:spacing w:after="0" w:line="213" w:lineRule="auto"/>
        <w:rPr>
          <w:sz w:val="20"/>
          <w:szCs w:val="20"/>
          <w:color w:val="auto"/>
        </w:rPr>
      </w:pPr>
      <w:r>
        <w:rPr>
          <w:rFonts w:ascii="Times New Roman" w:cs="Times New Roman" w:eastAsia="Times New Roman" w:hAnsi="Times New Roman"/>
          <w:sz w:val="21"/>
          <w:szCs w:val="21"/>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of notification that such notice or communication is available and identifying the website address therefor;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both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45" w:lineRule="exact"/>
        <w:rPr>
          <w:sz w:val="20"/>
          <w:szCs w:val="20"/>
          <w:color w:val="auto"/>
        </w:rPr>
      </w:pPr>
    </w:p>
    <w:p>
      <w:pPr>
        <w:ind w:left="1700" w:hanging="456"/>
        <w:spacing w:after="0"/>
        <w:tabs>
          <w:tab w:leader="none" w:pos="170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w:t>
      </w:r>
    </w:p>
    <w:p>
      <w:pPr>
        <w:jc w:val="both"/>
        <w:spacing w:after="0" w:line="21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xml:space="preserve">”) have any liability to any Borrower, any Lender, the L/C Issuer or any other Person for losses, claims, damages, liabilities or expenses of any kind (whether in tort, contract or otherwise) (x) arising out of any Borrower’s or the Administrative Agent’s transmission of Borrower Materials or notices through the Platform, any other electronic platform or electronic messaging service, or through the Internet or (y) arising from the use by unintended recipients of such Borrower Materials obtained by such unintended recipients through interception or misdirection of electronic telecommunications or other information transmission systems in connection with this Agreement or the other Loan Documents or the transactions contemplated hereby or thereby, in each case,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any Agent Party have any liability to any Borrower, any Lender, the L/C Issuer or any other Person for indirect, special, incidental, consequential or punitive damages (as opposed to direct or actual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111</w:t>
      </w:r>
    </w:p>
    <w:p>
      <w:pPr>
        <w:sectPr>
          <w:pgSz w:w="11900" w:h="16838" w:orient="portrait"/>
          <w:cols w:equalWidth="0" w:num="1">
            <w:col w:w="11240"/>
          </w:cols>
          <w:pgMar w:left="320" w:top="1342" w:right="339" w:bottom="1440" w:gutter="0" w:footer="0" w:header="0"/>
        </w:sectPr>
      </w:pPr>
    </w:p>
    <w:bookmarkStart w:id="181" w:name="page182"/>
    <w:bookmarkEnd w:id="181"/>
    <w:p>
      <w:pPr>
        <w:jc w:val="both"/>
        <w:ind w:firstLine="1244"/>
        <w:spacing w:after="0" w:line="221" w:lineRule="auto"/>
        <w:tabs>
          <w:tab w:leader="none" w:pos="1779"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the Borrowers, the Administrative Agent, the L/C Issuer and the Swing Line Lender may change its address, electronic mail address or telephone number for notices and other communications hereunder by notice to the other parties hereto. Each other Lender may change its address, electronic mail address or telephone number for notices and other communications hereunder by notice to Toro, the Administrative Agent, the L/C Issuer and the Swing Line Lender. In addition, each Lender agrees to notify the Administrative Agent from time to time to ensure that the Administrative Agent has on record (i) an effective address, contact name, telephone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any Borrower or its securities for purposes of United States Federal or state securities laws.</w:t>
      </w:r>
    </w:p>
    <w:p>
      <w:pPr>
        <w:spacing w:after="0" w:line="146" w:lineRule="exact"/>
        <w:rPr>
          <w:rFonts w:ascii="Times New Roman" w:cs="Times New Roman" w:eastAsia="Times New Roman" w:hAnsi="Times New Roman"/>
          <w:sz w:val="20"/>
          <w:szCs w:val="20"/>
          <w:color w:val="auto"/>
        </w:rPr>
      </w:pPr>
    </w:p>
    <w:p>
      <w:pPr>
        <w:jc w:val="both"/>
        <w:ind w:firstLine="1244"/>
        <w:spacing w:after="0" w:line="212" w:lineRule="auto"/>
        <w:tabs>
          <w:tab w:leader="none" w:pos="1780"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Reliance by Administrative Agent, L/C Issuer and Lenders</w:t>
      </w:r>
      <w:r>
        <w:rPr>
          <w:rFonts w:ascii="Times New Roman" w:cs="Times New Roman" w:eastAsia="Times New Roman" w:hAnsi="Times New Roman"/>
          <w:sz w:val="21"/>
          <w:szCs w:val="21"/>
          <w:color w:val="auto"/>
        </w:rPr>
        <w:t>. The Administrative Agent, the L/C Issuer and the Lenders shall be entitled to rely and act upon any notices (including telephonic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Borrowers shall indemnify the Administrative Agent, the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44"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21"/>
          <w:szCs w:val="21"/>
          <w:b w:val="1"/>
          <w:bCs w:val="1"/>
          <w:color w:val="auto"/>
        </w:rPr>
        <w:t>11.03 No Waiver; Cumulative Remedies; Enforcement</w:t>
      </w:r>
      <w:r>
        <w:rPr>
          <w:rFonts w:ascii="Times New Roman" w:cs="Times New Roman" w:eastAsia="Times New Roman" w:hAnsi="Times New Roman"/>
          <w:sz w:val="21"/>
          <w:szCs w:val="21"/>
          <w:color w:val="auto"/>
        </w:rPr>
        <w:t>. No failure by any Lender, the L/C Issuer or the Administrative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 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48" w:lineRule="exact"/>
        <w:rPr>
          <w:sz w:val="20"/>
          <w:szCs w:val="20"/>
          <w:color w:val="auto"/>
        </w:rPr>
      </w:pPr>
    </w:p>
    <w:p>
      <w:pPr>
        <w:jc w:val="both"/>
        <w:ind w:firstLine="620"/>
        <w:spacing w:after="0" w:line="211" w:lineRule="auto"/>
        <w:rPr>
          <w:sz w:val="20"/>
          <w:szCs w:val="20"/>
          <w:color w:val="auto"/>
        </w:rPr>
      </w:pPr>
      <w:r>
        <w:rPr>
          <w:rFonts w:ascii="Times New Roman" w:cs="Times New Roman" w:eastAsia="Times New Roman" w:hAnsi="Times New Roman"/>
          <w:sz w:val="21"/>
          <w:szCs w:val="21"/>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for the benefit of all the Lenders and the L/C Issuer;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21"/>
          <w:szCs w:val="21"/>
          <w:u w:val="single" w:color="auto"/>
          <w:color w:val="auto"/>
        </w:rPr>
        <w:t>Section 11.08</w:t>
      </w:r>
      <w:r>
        <w:rPr>
          <w:rFonts w:ascii="Times New Roman" w:cs="Times New Roman" w:eastAsia="Times New Roman" w:hAnsi="Times New Roman"/>
          <w:sz w:val="21"/>
          <w:szCs w:val="21"/>
          <w:color w:val="auto"/>
        </w:rPr>
        <w:t xml:space="preserve"> (subject to the terms of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at any time there is no Person acting as Administrative Agent hereunder and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112</w:t>
      </w:r>
    </w:p>
    <w:p>
      <w:pPr>
        <w:sectPr>
          <w:pgSz w:w="11900" w:h="16838" w:orient="portrait"/>
          <w:cols w:equalWidth="0" w:num="1">
            <w:col w:w="11240"/>
          </w:cols>
          <w:pgMar w:left="320" w:top="1342" w:right="339" w:bottom="1440" w:gutter="0" w:footer="0" w:header="0"/>
        </w:sectPr>
      </w:pPr>
    </w:p>
    <w:bookmarkStart w:id="182" w:name="page183"/>
    <w:bookmarkEnd w:id="182"/>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the other Loan Documents, then (i) the Required Lenders shall have the rights otherwise ascribed to the Administrative Agent pursuant to </w:t>
      </w:r>
      <w:r>
        <w:rPr>
          <w:rFonts w:ascii="Times New Roman" w:cs="Times New Roman" w:eastAsia="Times New Roman" w:hAnsi="Times New Roman"/>
          <w:sz w:val="21"/>
          <w:szCs w:val="21"/>
          <w:u w:val="single" w:color="auto"/>
          <w:color w:val="auto"/>
        </w:rPr>
        <w:t>Section 8.02</w:t>
      </w:r>
      <w:r>
        <w:rPr>
          <w:rFonts w:ascii="Times New Roman" w:cs="Times New Roman" w:eastAsia="Times New Roman" w:hAnsi="Times New Roman"/>
          <w:sz w:val="21"/>
          <w:szCs w:val="21"/>
          <w:color w:val="auto"/>
        </w:rPr>
        <w:t xml:space="preserve"> and (ii) in addition to the matters set forth in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of the preceding proviso and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2.13</w:t>
      </w:r>
      <w:r>
        <w:rPr>
          <w:rFonts w:ascii="Times New Roman" w:cs="Times New Roman" w:eastAsia="Times New Roman" w:hAnsi="Times New Roman"/>
          <w:sz w:val="21"/>
          <w:szCs w:val="21"/>
          <w:color w:val="auto"/>
        </w:rPr>
        <w:t>, any Lender may, with the consent of the Required Lenders, enforce any rights and remedies available to it and as authorized by the Required Lenders.</w:t>
      </w:r>
    </w:p>
    <w:p>
      <w:pPr>
        <w:spacing w:after="0" w:line="144" w:lineRule="exact"/>
        <w:rPr>
          <w:sz w:val="20"/>
          <w:szCs w:val="20"/>
          <w:color w:val="auto"/>
        </w:rPr>
      </w:pPr>
    </w:p>
    <w:p>
      <w:pPr>
        <w:ind w:left="620"/>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11.04</w:t>
      </w:r>
      <w:r>
        <w:rPr>
          <w:sz w:val="20"/>
          <w:szCs w:val="20"/>
          <w:color w:val="auto"/>
        </w:rPr>
        <w:tab/>
      </w:r>
      <w:r>
        <w:rPr>
          <w:rFonts w:ascii="Times New Roman" w:cs="Times New Roman" w:eastAsia="Times New Roman" w:hAnsi="Times New Roman"/>
          <w:sz w:val="20"/>
          <w:szCs w:val="20"/>
          <w:b w:val="1"/>
          <w:bCs w:val="1"/>
          <w:color w:val="auto"/>
        </w:rPr>
        <w:t>Expenses; Indemnity; Damage Waiver.</w:t>
      </w:r>
    </w:p>
    <w:p>
      <w:pPr>
        <w:spacing w:after="0" w:line="176" w:lineRule="exact"/>
        <w:rPr>
          <w:sz w:val="20"/>
          <w:szCs w:val="20"/>
          <w:color w:val="auto"/>
        </w:rPr>
      </w:pPr>
    </w:p>
    <w:p>
      <w:pPr>
        <w:jc w:val="both"/>
        <w:ind w:firstLine="1244"/>
        <w:spacing w:after="0" w:line="221" w:lineRule="auto"/>
        <w:tabs>
          <w:tab w:leader="none" w:pos="1883"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Borrowers shall pay (i) all reasonable out of pocket expenses incurred by the Administrative Agent and its Affiliates (including the reasonable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out of pocket expenses incurred by the L/C Issuer in connection with the issuance, amendment, renewal or extension of any Letter of Credit or any demand for payment thereunder and (iii) all out of pocket expenses incurred by the Administrative Agent, any Lender or the L/C Issuer (including the fees, charges and disbursements of any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51" w:lineRule="exact"/>
        <w:rPr>
          <w:rFonts w:ascii="Times New Roman" w:cs="Times New Roman" w:eastAsia="Times New Roman" w:hAnsi="Times New Roman"/>
          <w:sz w:val="20"/>
          <w:szCs w:val="20"/>
          <w:color w:val="auto"/>
        </w:rPr>
      </w:pPr>
    </w:p>
    <w:p>
      <w:pPr>
        <w:jc w:val="both"/>
        <w:ind w:firstLine="1244"/>
        <w:spacing w:after="0" w:line="217" w:lineRule="auto"/>
        <w:tabs>
          <w:tab w:leader="none" w:pos="1753"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Toro</w:t>
      </w:r>
      <w:r>
        <w:rPr>
          <w:rFonts w:ascii="Times New Roman" w:cs="Times New Roman" w:eastAsia="Times New Roman" w:hAnsi="Times New Roman"/>
          <w:sz w:val="20"/>
          <w:szCs w:val="20"/>
          <w:color w:val="auto"/>
        </w:rPr>
        <w:t>. The Borrowers shall indemnify the Administrative Agent (and any sub-agent thereof), each Lender and the L/C Issuer,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Toro or any other Loan Party, and regardless of whether any Indemnitee is a party thereto, </w:t>
      </w:r>
      <w:r>
        <w:rPr>
          <w:rFonts w:ascii="Times New Roman" w:cs="Times New Roman" w:eastAsia="Times New Roman" w:hAnsi="Times New Roman"/>
          <w:sz w:val="20"/>
          <w:szCs w:val="20"/>
          <w:b w:val="1"/>
          <w:bCs w:val="1"/>
          <w:color w:val="auto"/>
        </w:rPr>
        <w:t>IN ALL CASES, WHETHER OR NOT CAUSED BY OR</w:t>
      </w:r>
    </w:p>
    <w:p>
      <w:pPr>
        <w:spacing w:after="0" w:line="1" w:lineRule="exact"/>
        <w:rPr>
          <w:rFonts w:ascii="Times New Roman" w:cs="Times New Roman" w:eastAsia="Times New Roman" w:hAnsi="Times New Roman"/>
          <w:sz w:val="20"/>
          <w:szCs w:val="20"/>
          <w:color w:val="auto"/>
        </w:rPr>
      </w:pPr>
    </w:p>
    <w:p>
      <w:pPr>
        <w:jc w:val="both"/>
        <w:spacing w:after="0" w:line="21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b w:val="1"/>
          <w:bCs w:val="1"/>
          <w:color w:val="auto"/>
        </w:rPr>
        <w:t>ARISING, IN WHOLE OR IN PART, OUT OF THE COMPARATIVE, CONTRIBUTORY OR SOLE NEGLIGENCE OF THE INDEMNITEE</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such indemnity shall not, as to any Indemnitee, be available to the extent that such losses, claims,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damages, liabilities or related expenses (x) are determined by a court of competent jurisdiction by final and nonappealable judgment to have resulted from the gross negligence or willful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113</w:t>
      </w:r>
    </w:p>
    <w:p>
      <w:pPr>
        <w:sectPr>
          <w:pgSz w:w="11900" w:h="16838" w:orient="portrait"/>
          <w:cols w:equalWidth="0" w:num="1">
            <w:col w:w="11240"/>
          </w:cols>
          <w:pgMar w:left="320" w:top="1342" w:right="339" w:bottom="1440" w:gutter="0" w:footer="0" w:header="0"/>
        </w:sectPr>
      </w:pPr>
    </w:p>
    <w:bookmarkStart w:id="183" w:name="page184"/>
    <w:bookmarkEnd w:id="183"/>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misconduct of such Indemnitee or (y) result from a claim brought by Toro or any other Loan Party against an Indemnitee for breach in bad faith of such Indemnitee’s obligations hereunder or under any other Loan Document, if Toro or such other Loan Party has obtained a final and nonappealable judgment in its favor on such claim as determined by a court of competent jurisdiction. Without limiting the provisions of </w:t>
      </w:r>
      <w:r>
        <w:rPr>
          <w:rFonts w:ascii="Times New Roman" w:cs="Times New Roman" w:eastAsia="Times New Roman" w:hAnsi="Times New Roman"/>
          <w:sz w:val="21"/>
          <w:szCs w:val="21"/>
          <w:u w:val="single" w:color="auto"/>
          <w:color w:val="auto"/>
        </w:rPr>
        <w:t>Section 3.01(c)</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11.04(b)</w:t>
      </w:r>
      <w:r>
        <w:rPr>
          <w:rFonts w:ascii="Times New Roman" w:cs="Times New Roman" w:eastAsia="Times New Roman" w:hAnsi="Times New Roman"/>
          <w:sz w:val="21"/>
          <w:szCs w:val="21"/>
          <w:color w:val="auto"/>
        </w:rPr>
        <w:t xml:space="preserve"> shall not apply with respect to Taxes other than any Taxes that represent losses, claims, damages, etc. arising from any non-Tax claim.</w:t>
      </w:r>
    </w:p>
    <w:p>
      <w:pPr>
        <w:spacing w:after="0" w:line="149" w:lineRule="exact"/>
        <w:rPr>
          <w:sz w:val="20"/>
          <w:szCs w:val="20"/>
          <w:color w:val="auto"/>
        </w:rPr>
      </w:pPr>
    </w:p>
    <w:p>
      <w:pPr>
        <w:jc w:val="both"/>
        <w:ind w:firstLine="1244"/>
        <w:spacing w:after="0" w:line="210" w:lineRule="auto"/>
        <w:tabs>
          <w:tab w:leader="none" w:pos="1728"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 by Lenders</w:t>
      </w:r>
      <w:r>
        <w:rPr>
          <w:rFonts w:ascii="Times New Roman" w:cs="Times New Roman" w:eastAsia="Times New Roman" w:hAnsi="Times New Roman"/>
          <w:sz w:val="21"/>
          <w:szCs w:val="21"/>
          <w:color w:val="auto"/>
        </w:rPr>
        <w:t xml:space="preserve">. To the extent that the Borrowers for any reason fail to indefeasibly pay any amount required under </w:t>
      </w:r>
      <w:r>
        <w:rPr>
          <w:rFonts w:ascii="Times New Roman" w:cs="Times New Roman" w:eastAsia="Times New Roman" w:hAnsi="Times New Roman"/>
          <w:sz w:val="21"/>
          <w:szCs w:val="21"/>
          <w:u w:val="single" w:color="auto"/>
          <w:color w:val="auto"/>
        </w:rPr>
        <w:t>subsection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this Section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of such unpaid amount, provided further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subsection (c) are subject to the provisions of </w:t>
      </w:r>
      <w:r>
        <w:rPr>
          <w:rFonts w:ascii="Times New Roman" w:cs="Times New Roman" w:eastAsia="Times New Roman" w:hAnsi="Times New Roman"/>
          <w:sz w:val="21"/>
          <w:szCs w:val="21"/>
          <w:u w:val="single" w:color="auto"/>
          <w:color w:val="auto"/>
        </w:rPr>
        <w:t>Section 2.12(d)</w:t>
      </w:r>
      <w:r>
        <w:rPr>
          <w:rFonts w:ascii="Times New Roman" w:cs="Times New Roman" w:eastAsia="Times New Roman" w:hAnsi="Times New Roman"/>
          <w:sz w:val="21"/>
          <w:szCs w:val="21"/>
          <w:color w:val="auto"/>
        </w:rPr>
        <w:t>.</w:t>
      </w:r>
    </w:p>
    <w:p>
      <w:pPr>
        <w:spacing w:after="0" w:line="147" w:lineRule="exact"/>
        <w:rPr>
          <w:rFonts w:ascii="Times New Roman" w:cs="Times New Roman" w:eastAsia="Times New Roman" w:hAnsi="Times New Roman"/>
          <w:sz w:val="21"/>
          <w:szCs w:val="21"/>
          <w:color w:val="auto"/>
        </w:rPr>
      </w:pPr>
    </w:p>
    <w:p>
      <w:pPr>
        <w:jc w:val="both"/>
        <w:ind w:firstLine="1244"/>
        <w:spacing w:after="0" w:line="211" w:lineRule="auto"/>
        <w:tabs>
          <w:tab w:leader="none" w:pos="1792"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Consequential Damages, Etc</w:t>
      </w:r>
      <w:r>
        <w:rPr>
          <w:rFonts w:ascii="Times New Roman" w:cs="Times New Roman" w:eastAsia="Times New Roman" w:hAnsi="Times New Roman"/>
          <w:sz w:val="21"/>
          <w:szCs w:val="21"/>
          <w:color w:val="auto"/>
        </w:rPr>
        <w:t xml:space="preserve">. To the fullest extent permitted by Applicable Law, no Borrower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 xml:space="preserve"> above shall be liable for any damages arising from the use by unintended recipients of any information or other materials obtained by such unintended recipients by such Indemnitee through interception or misdirection of electronic telecommunications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51" w:lineRule="exact"/>
        <w:rPr>
          <w:rFonts w:ascii="Times New Roman" w:cs="Times New Roman" w:eastAsia="Times New Roman" w:hAnsi="Times New Roman"/>
          <w:sz w:val="21"/>
          <w:szCs w:val="21"/>
          <w:color w:val="auto"/>
        </w:rPr>
      </w:pPr>
    </w:p>
    <w:p>
      <w:pPr>
        <w:ind w:left="1680" w:hanging="436"/>
        <w:spacing w:after="0"/>
        <w:tabs>
          <w:tab w:leader="none" w:pos="168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w:t>
      </w:r>
      <w:r>
        <w:rPr>
          <w:rFonts w:ascii="Times New Roman" w:cs="Times New Roman" w:eastAsia="Times New Roman" w:hAnsi="Times New Roman"/>
          <w:sz w:val="21"/>
          <w:szCs w:val="21"/>
          <w:color w:val="auto"/>
        </w:rPr>
        <w:t>. All amounts due under this Section shall be payable not later than thirty days after demand therefor.</w:t>
      </w:r>
    </w:p>
    <w:p>
      <w:pPr>
        <w:spacing w:after="0" w:line="171" w:lineRule="exact"/>
        <w:rPr>
          <w:rFonts w:ascii="Times New Roman" w:cs="Times New Roman" w:eastAsia="Times New Roman" w:hAnsi="Times New Roman"/>
          <w:sz w:val="21"/>
          <w:szCs w:val="21"/>
          <w:color w:val="auto"/>
        </w:rPr>
      </w:pPr>
    </w:p>
    <w:p>
      <w:pPr>
        <w:jc w:val="both"/>
        <w:ind w:firstLine="1244"/>
        <w:spacing w:after="0" w:line="225" w:lineRule="auto"/>
        <w:tabs>
          <w:tab w:leader="none" w:pos="1692"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The agreements in this Section shall survive the resignation of the Administrative Agent, the L/C Issuer and the Swing Line Lender, the replacement of any Lender, the termination of the Aggregate Commitments and the repayment, satisfaction or discharge of all the other Obligations.</w:t>
      </w:r>
    </w:p>
    <w:p>
      <w:pPr>
        <w:spacing w:after="0" w:line="144" w:lineRule="exact"/>
        <w:rPr>
          <w:sz w:val="20"/>
          <w:szCs w:val="20"/>
          <w:color w:val="auto"/>
        </w:rPr>
      </w:pPr>
    </w:p>
    <w:p>
      <w:pPr>
        <w:jc w:val="both"/>
        <w:ind w:firstLine="620"/>
        <w:spacing w:after="0" w:line="227" w:lineRule="auto"/>
        <w:rPr>
          <w:sz w:val="20"/>
          <w:szCs w:val="20"/>
          <w:color w:val="auto"/>
        </w:rPr>
      </w:pPr>
      <w:r>
        <w:rPr>
          <w:rFonts w:ascii="Times New Roman" w:cs="Times New Roman" w:eastAsia="Times New Roman" w:hAnsi="Times New Roman"/>
          <w:sz w:val="21"/>
          <w:szCs w:val="21"/>
          <w:b w:val="1"/>
          <w:bCs w:val="1"/>
          <w:color w:val="auto"/>
        </w:rPr>
        <w:t>11.05 Payments Set Aside</w:t>
      </w:r>
      <w:r>
        <w:rPr>
          <w:rFonts w:ascii="Times New Roman" w:cs="Times New Roman" w:eastAsia="Times New Roman" w:hAnsi="Times New Roman"/>
          <w:sz w:val="21"/>
          <w:szCs w:val="21"/>
          <w:color w:val="auto"/>
        </w:rPr>
        <w:t>. To the extent that any payment by or on behalf of any Borrower is made to the Administrative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 the L/C Issuer or any Lender, or the Administrative Agent, the L/C Issuer or any Lender exercises its right of setoff, and such payment or the proceeds of such setoff or any part thereof is subsequently invalidated, declared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114</w:t>
      </w:r>
    </w:p>
    <w:p>
      <w:pPr>
        <w:sectPr>
          <w:pgSz w:w="11900" w:h="16838" w:orient="portrait"/>
          <w:cols w:equalWidth="0" w:num="1">
            <w:col w:w="11240"/>
          </w:cols>
          <w:pgMar w:left="320" w:top="1342" w:right="339" w:bottom="1440" w:gutter="0" w:footer="0" w:header="0"/>
        </w:sectPr>
      </w:pPr>
    </w:p>
    <w:bookmarkStart w:id="184" w:name="page185"/>
    <w:bookmarkEnd w:id="184"/>
    <w:p>
      <w:pPr>
        <w:jc w:val="both"/>
        <w:spacing w:after="0" w:line="212" w:lineRule="auto"/>
        <w:rPr>
          <w:sz w:val="20"/>
          <w:szCs w:val="20"/>
          <w:color w:val="auto"/>
        </w:rPr>
      </w:pPr>
      <w:r>
        <w:rPr>
          <w:rFonts w:ascii="Times New Roman" w:cs="Times New Roman" w:eastAsia="Times New Roman" w:hAnsi="Times New Roman"/>
          <w:sz w:val="21"/>
          <w:szCs w:val="21"/>
          <w:color w:val="auto"/>
        </w:rPr>
        <w:t xml:space="preserve">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applicable Overnight Rate from time to time in effect, in the applicable currency of such recovery or payment. The obligations of the Lenders and the L/C Issuer under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of the preceding sentence shall survive the payment in full of the Obligations and the termination of this Agreement.</w:t>
      </w:r>
    </w:p>
    <w:p>
      <w:pPr>
        <w:spacing w:after="0" w:line="144" w:lineRule="exact"/>
        <w:rPr>
          <w:sz w:val="20"/>
          <w:szCs w:val="20"/>
          <w:color w:val="auto"/>
        </w:rPr>
      </w:pPr>
    </w:p>
    <w:p>
      <w:pPr>
        <w:ind w:left="620"/>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11.06</w:t>
      </w:r>
      <w:r>
        <w:rPr>
          <w:sz w:val="20"/>
          <w:szCs w:val="20"/>
          <w:color w:val="auto"/>
        </w:rPr>
        <w:tab/>
      </w:r>
      <w:r>
        <w:rPr>
          <w:rFonts w:ascii="Times New Roman" w:cs="Times New Roman" w:eastAsia="Times New Roman" w:hAnsi="Times New Roman"/>
          <w:sz w:val="20"/>
          <w:szCs w:val="20"/>
          <w:b w:val="1"/>
          <w:bCs w:val="1"/>
          <w:color w:val="auto"/>
        </w:rPr>
        <w:t>Successors and Assigns.</w:t>
      </w:r>
    </w:p>
    <w:p>
      <w:pPr>
        <w:spacing w:after="0" w:line="176" w:lineRule="exact"/>
        <w:rPr>
          <w:sz w:val="20"/>
          <w:szCs w:val="20"/>
          <w:color w:val="auto"/>
        </w:rPr>
      </w:pPr>
    </w:p>
    <w:p>
      <w:pPr>
        <w:jc w:val="both"/>
        <w:ind w:firstLine="1244"/>
        <w:spacing w:after="0" w:line="211" w:lineRule="auto"/>
        <w:tabs>
          <w:tab w:leader="none" w:pos="1676"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 Generally</w:t>
      </w:r>
      <w:r>
        <w:rPr>
          <w:rFonts w:ascii="Times New Roman" w:cs="Times New Roman" w:eastAsia="Times New Roman" w:hAnsi="Times New Roman"/>
          <w:sz w:val="21"/>
          <w:szCs w:val="21"/>
          <w:color w:val="auto"/>
        </w:rPr>
        <w:t xml:space="preserve">. The provisions of this Agreement shall be binding upon and inure to the benefit of the parties hereto and their respective successors and assigns permitted hereby, except that no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 xml:space="preserve"> of this Section, (ii) by way of participation in accordance with the provisions of </w:t>
      </w:r>
      <w:r>
        <w:rPr>
          <w:rFonts w:ascii="Times New Roman" w:cs="Times New Roman" w:eastAsia="Times New Roman" w:hAnsi="Times New Roman"/>
          <w:sz w:val="21"/>
          <w:szCs w:val="21"/>
          <w:u w:val="single" w:color="auto"/>
          <w:color w:val="auto"/>
        </w:rPr>
        <w:t>subsection (d)</w:t>
      </w:r>
      <w:r>
        <w:rPr>
          <w:rFonts w:ascii="Times New Roman" w:cs="Times New Roman" w:eastAsia="Times New Roman" w:hAnsi="Times New Roman"/>
          <w:sz w:val="21"/>
          <w:szCs w:val="21"/>
          <w:color w:val="auto"/>
        </w:rPr>
        <w:t xml:space="preserve"> of this Section, or (iii) by way of pledge or assignment of a security interest subject to the restrictions of </w:t>
      </w:r>
      <w:r>
        <w:rPr>
          <w:rFonts w:ascii="Times New Roman" w:cs="Times New Roman" w:eastAsia="Times New Roman" w:hAnsi="Times New Roman"/>
          <w:sz w:val="21"/>
          <w:szCs w:val="21"/>
          <w:u w:val="single" w:color="auto"/>
          <w:color w:val="auto"/>
        </w:rPr>
        <w:t>subsection (f)</w:t>
      </w:r>
      <w:r>
        <w:rPr>
          <w:rFonts w:ascii="Times New Roman" w:cs="Times New Roman" w:eastAsia="Times New Roman" w:hAnsi="Times New Roman"/>
          <w:sz w:val="21"/>
          <w:szCs w:val="21"/>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1"/>
          <w:szCs w:val="21"/>
          <w:u w:val="single" w:color="auto"/>
          <w:color w:val="auto"/>
        </w:rPr>
        <w:t>subsection (d)</w:t>
      </w:r>
      <w:r>
        <w:rPr>
          <w:rFonts w:ascii="Times New Roman" w:cs="Times New Roman" w:eastAsia="Times New Roman" w:hAnsi="Times New Roman"/>
          <w:sz w:val="21"/>
          <w:szCs w:val="21"/>
          <w:color w:val="auto"/>
        </w:rPr>
        <w:t xml:space="preserve"> of this Section and, to the extent expressly contemplated hereby, the Related Parties of each of the Administrative Agent, the L/C Issuer and the Lenders) any legal or equitable right, remedy or claim under or by reason of this Agreement.</w:t>
      </w:r>
    </w:p>
    <w:p>
      <w:pPr>
        <w:spacing w:after="0" w:line="145" w:lineRule="exact"/>
        <w:rPr>
          <w:rFonts w:ascii="Times New Roman" w:cs="Times New Roman" w:eastAsia="Times New Roman" w:hAnsi="Times New Roman"/>
          <w:sz w:val="21"/>
          <w:szCs w:val="21"/>
          <w:color w:val="auto"/>
        </w:rPr>
      </w:pPr>
    </w:p>
    <w:p>
      <w:pPr>
        <w:jc w:val="both"/>
        <w:ind w:firstLine="1244"/>
        <w:spacing w:after="0" w:line="220" w:lineRule="auto"/>
        <w:tabs>
          <w:tab w:leader="none" w:pos="1701" w:val="left"/>
        </w:tabs>
        <w:numPr>
          <w:ilvl w:val="0"/>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Assignments by Lenders</w:t>
      </w:r>
      <w:r>
        <w:rPr>
          <w:rFonts w:ascii="Times New Roman" w:cs="Times New Roman" w:eastAsia="Times New Roman" w:hAnsi="Times New Roman"/>
          <w:sz w:val="21"/>
          <w:szCs w:val="21"/>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cs="Times New Roman" w:eastAsia="Times New Roman" w:hAnsi="Times New Roman"/>
          <w:sz w:val="21"/>
          <w:szCs w:val="21"/>
          <w:u w:val="single" w:color="auto"/>
          <w:color w:val="auto"/>
        </w:rPr>
        <w:t>subsection (b)</w:t>
      </w:r>
      <w:r>
        <w:rPr>
          <w:rFonts w:ascii="Times New Roman" w:cs="Times New Roman" w:eastAsia="Times New Roman" w:hAnsi="Times New Roman"/>
          <w:sz w:val="21"/>
          <w:szCs w:val="21"/>
          <w:color w:val="auto"/>
        </w:rPr>
        <w:t xml:space="preserve">, participations in L/C Obligations and in Swing Line Loans) at the time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assignment shall be subject to the following conditions:</w:t>
      </w:r>
    </w:p>
    <w:p>
      <w:pPr>
        <w:spacing w:after="0" w:line="148" w:lineRule="exact"/>
        <w:rPr>
          <w:rFonts w:ascii="Times New Roman" w:cs="Times New Roman" w:eastAsia="Times New Roman" w:hAnsi="Times New Roman"/>
          <w:sz w:val="21"/>
          <w:szCs w:val="21"/>
          <w:color w:val="auto"/>
        </w:rPr>
      </w:pPr>
    </w:p>
    <w:p>
      <w:pPr>
        <w:ind w:left="2260" w:hanging="396"/>
        <w:spacing w:after="0"/>
        <w:tabs>
          <w:tab w:leader="none" w:pos="2260"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Minimum Amounts.</w:t>
      </w:r>
    </w:p>
    <w:p>
      <w:pPr>
        <w:spacing w:after="0" w:line="171" w:lineRule="exact"/>
        <w:rPr>
          <w:rFonts w:ascii="Times New Roman" w:cs="Times New Roman" w:eastAsia="Times New Roman" w:hAnsi="Times New Roman"/>
          <w:sz w:val="21"/>
          <w:szCs w:val="21"/>
          <w:color w:val="auto"/>
        </w:rPr>
      </w:pPr>
    </w:p>
    <w:p>
      <w:pPr>
        <w:jc w:val="both"/>
        <w:ind w:left="620" w:firstLine="1864"/>
        <w:spacing w:after="0" w:line="225" w:lineRule="auto"/>
        <w:tabs>
          <w:tab w:leader="none" w:pos="2982" w:val="left"/>
        </w:tabs>
        <w:numPr>
          <w:ilvl w:val="2"/>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assignment of the entire remaining amount of the assigning Lender’s Commitment and the Loans at the time owing to it under or in the case of an assignment to a Lender, an Affiliate of a Lender or an Approved Fund, no minimum amount need be assigned; and</w:t>
      </w:r>
    </w:p>
    <w:p>
      <w:pPr>
        <w:spacing w:after="0" w:line="147" w:lineRule="exact"/>
        <w:rPr>
          <w:rFonts w:ascii="Times New Roman" w:cs="Times New Roman" w:eastAsia="Times New Roman" w:hAnsi="Times New Roman"/>
          <w:sz w:val="21"/>
          <w:szCs w:val="21"/>
          <w:color w:val="auto"/>
        </w:rPr>
      </w:pPr>
    </w:p>
    <w:p>
      <w:pPr>
        <w:jc w:val="both"/>
        <w:ind w:left="620" w:firstLine="1864"/>
        <w:spacing w:after="0" w:line="214" w:lineRule="auto"/>
        <w:tabs>
          <w:tab w:leader="none" w:pos="3092" w:val="left"/>
        </w:tabs>
        <w:numPr>
          <w:ilvl w:val="2"/>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any case not described in </w:t>
      </w:r>
      <w:r>
        <w:rPr>
          <w:rFonts w:ascii="Times New Roman" w:cs="Times New Roman" w:eastAsia="Times New Roman" w:hAnsi="Times New Roman"/>
          <w:sz w:val="21"/>
          <w:szCs w:val="21"/>
          <w:u w:val="single" w:color="auto"/>
          <w:color w:val="auto"/>
        </w:rPr>
        <w:t>subsection (b)(i)(A)</w:t>
      </w:r>
      <w:r>
        <w:rPr>
          <w:rFonts w:ascii="Times New Roman" w:cs="Times New Roman" w:eastAsia="Times New Roman" w:hAnsi="Times New Roman"/>
          <w:sz w:val="21"/>
          <w:szCs w:val="21"/>
          <w:color w:val="auto"/>
        </w:rPr>
        <w:t xml:space="preserve"> of this Section, the aggregate amount of the applicable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the Term Facility, unless 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115</w:t>
      </w:r>
    </w:p>
    <w:p>
      <w:pPr>
        <w:sectPr>
          <w:pgSz w:w="11900" w:h="16838" w:orient="portrait"/>
          <w:cols w:equalWidth="0" w:num="1">
            <w:col w:w="11240"/>
          </w:cols>
          <w:pgMar w:left="320" w:top="1342" w:right="339" w:bottom="1440" w:gutter="0" w:footer="0" w:header="0"/>
        </w:sectPr>
      </w:pPr>
    </w:p>
    <w:bookmarkStart w:id="185" w:name="page186"/>
    <w:bookmarkEnd w:id="185"/>
    <w:p>
      <w:pPr>
        <w:jc w:val="both"/>
        <w:ind w:left="620"/>
        <w:spacing w:after="0" w:line="217" w:lineRule="auto"/>
        <w:rPr>
          <w:sz w:val="20"/>
          <w:szCs w:val="20"/>
          <w:color w:val="auto"/>
        </w:rPr>
      </w:pPr>
      <w:r>
        <w:rPr>
          <w:rFonts w:ascii="Times New Roman" w:cs="Times New Roman" w:eastAsia="Times New Roman" w:hAnsi="Times New Roman"/>
          <w:sz w:val="21"/>
          <w:szCs w:val="21"/>
          <w:color w:val="auto"/>
        </w:rPr>
        <w:t xml:space="preserve">the Administrative Agent and, so long as no Event of Default has occurred and is continuing, Toro otherwise consents (each such consent not to be unreasonably withheld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49" w:lineRule="exact"/>
        <w:rPr>
          <w:sz w:val="20"/>
          <w:szCs w:val="20"/>
          <w:color w:val="auto"/>
        </w:rPr>
      </w:pPr>
    </w:p>
    <w:p>
      <w:pPr>
        <w:jc w:val="both"/>
        <w:ind w:firstLine="1864"/>
        <w:spacing w:after="0" w:line="225" w:lineRule="auto"/>
        <w:tabs>
          <w:tab w:leader="none" w:pos="2346"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Proportionate Amounts</w:t>
      </w:r>
      <w:r>
        <w:rPr>
          <w:rFonts w:ascii="Times New Roman" w:cs="Times New Roman" w:eastAsia="Times New Roman" w:hAnsi="Times New Roman"/>
          <w:sz w:val="21"/>
          <w:szCs w:val="21"/>
          <w:color w:val="auto"/>
        </w:rPr>
        <w:t>. Each partial assignment shall be made as an assignment of a proportionate part of all the assigning Lender’s rights and obligations under this Agreement with respect to the Loans or the Commitment assigned, except that this clause (ii) shall not apply to the Swing Line Lender’s rights and obligations in respect of Swing Line Loans;</w:t>
      </w:r>
    </w:p>
    <w:p>
      <w:pPr>
        <w:spacing w:after="0" w:line="147" w:lineRule="exact"/>
        <w:rPr>
          <w:rFonts w:ascii="Times New Roman" w:cs="Times New Roman" w:eastAsia="Times New Roman" w:hAnsi="Times New Roman"/>
          <w:sz w:val="21"/>
          <w:szCs w:val="21"/>
          <w:color w:val="auto"/>
        </w:rPr>
      </w:pPr>
    </w:p>
    <w:p>
      <w:pPr>
        <w:ind w:firstLine="1864"/>
        <w:spacing w:after="0" w:line="236" w:lineRule="auto"/>
        <w:tabs>
          <w:tab w:leader="none" w:pos="2481"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Required Consents</w:t>
      </w:r>
      <w:r>
        <w:rPr>
          <w:rFonts w:ascii="Times New Roman" w:cs="Times New Roman" w:eastAsia="Times New Roman" w:hAnsi="Times New Roman"/>
          <w:sz w:val="21"/>
          <w:szCs w:val="21"/>
          <w:color w:val="auto"/>
        </w:rPr>
        <w:t xml:space="preserve">. No consent shall be required for any assignment except to the extent required by </w:t>
      </w:r>
      <w:r>
        <w:rPr>
          <w:rFonts w:ascii="Times New Roman" w:cs="Times New Roman" w:eastAsia="Times New Roman" w:hAnsi="Times New Roman"/>
          <w:sz w:val="21"/>
          <w:szCs w:val="21"/>
          <w:u w:val="single" w:color="auto"/>
          <w:color w:val="auto"/>
        </w:rPr>
        <w:t>subsection (b)(i)(B)</w:t>
      </w:r>
      <w:r>
        <w:rPr>
          <w:rFonts w:ascii="Times New Roman" w:cs="Times New Roman" w:eastAsia="Times New Roman" w:hAnsi="Times New Roman"/>
          <w:sz w:val="21"/>
          <w:szCs w:val="21"/>
          <w:color w:val="auto"/>
        </w:rPr>
        <w:t xml:space="preserve"> of this Section and, in addition:</w:t>
      </w:r>
    </w:p>
    <w:p>
      <w:pPr>
        <w:spacing w:after="0" w:line="145" w:lineRule="exact"/>
        <w:rPr>
          <w:rFonts w:ascii="Times New Roman" w:cs="Times New Roman" w:eastAsia="Times New Roman" w:hAnsi="Times New Roman"/>
          <w:sz w:val="21"/>
          <w:szCs w:val="21"/>
          <w:color w:val="auto"/>
        </w:rPr>
      </w:pPr>
    </w:p>
    <w:p>
      <w:pPr>
        <w:jc w:val="both"/>
        <w:ind w:left="620" w:firstLine="1864"/>
        <w:spacing w:after="0" w:line="215" w:lineRule="auto"/>
        <w:tabs>
          <w:tab w:leader="none" w:pos="3008"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consent of Toro (such consent not to be unreasonably withheld) shall be required unless (1)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Toro shall be deemed to have consented to any such assignment unless it shall object thereto by written notice to the Administrative Agent within ten (10) Business Days after having received notice thereof;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Toro’s consent shall be deemed reasonably withheld where such assignment would result in additional or increased costs to any Borrower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jc w:val="both"/>
        <w:ind w:left="620" w:firstLine="1864"/>
        <w:spacing w:after="0" w:line="225" w:lineRule="auto"/>
        <w:tabs>
          <w:tab w:leader="none" w:pos="2983"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consent of the Administrative Agent (such consent not to be unreasonably withheld or delayed) shall be required for assignments in respect of any Commitment if such assignment is to a Person that is not a Lender with a Commitment, an Affiliate of such Lender or an Approved Fund with respect to such Lender; and</w:t>
      </w:r>
    </w:p>
    <w:p>
      <w:pPr>
        <w:spacing w:after="0" w:line="147" w:lineRule="exact"/>
        <w:rPr>
          <w:rFonts w:ascii="Times New Roman" w:cs="Times New Roman" w:eastAsia="Times New Roman" w:hAnsi="Times New Roman"/>
          <w:sz w:val="21"/>
          <w:szCs w:val="21"/>
          <w:color w:val="auto"/>
        </w:rPr>
      </w:pPr>
    </w:p>
    <w:p>
      <w:pPr>
        <w:ind w:left="620" w:firstLine="1864"/>
        <w:spacing w:after="0" w:line="236" w:lineRule="auto"/>
        <w:tabs>
          <w:tab w:leader="none" w:pos="3059" w:val="left"/>
        </w:tabs>
        <w:numPr>
          <w:ilvl w:val="1"/>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consent of the L/C Issuer and the Swing Line Lender (such consent not to be unreasonably withheld or delayed) shall be required for any assignment in respect of the Revolving Credit Facility.</w:t>
      </w:r>
    </w:p>
    <w:p>
      <w:pPr>
        <w:spacing w:after="0" w:line="145" w:lineRule="exact"/>
        <w:rPr>
          <w:rFonts w:ascii="Times New Roman" w:cs="Times New Roman" w:eastAsia="Times New Roman" w:hAnsi="Times New Roman"/>
          <w:sz w:val="21"/>
          <w:szCs w:val="21"/>
          <w:color w:val="auto"/>
        </w:rPr>
      </w:pPr>
    </w:p>
    <w:p>
      <w:pPr>
        <w:jc w:val="both"/>
        <w:ind w:firstLine="1864"/>
        <w:spacing w:after="0" w:line="231" w:lineRule="auto"/>
        <w:tabs>
          <w:tab w:leader="none" w:pos="2650"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in the amount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48" w:lineRule="exact"/>
        <w:rPr>
          <w:rFonts w:ascii="Times New Roman" w:cs="Times New Roman" w:eastAsia="Times New Roman" w:hAnsi="Times New Roman"/>
          <w:sz w:val="20"/>
          <w:szCs w:val="20"/>
          <w:color w:val="auto"/>
        </w:rPr>
      </w:pPr>
    </w:p>
    <w:p>
      <w:pPr>
        <w:jc w:val="both"/>
        <w:ind w:firstLine="1864"/>
        <w:spacing w:after="0" w:line="220" w:lineRule="auto"/>
        <w:tabs>
          <w:tab w:leader="none" w:pos="2463"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Assignment to Certain Persons</w:t>
      </w:r>
      <w:r>
        <w:rPr>
          <w:rFonts w:ascii="Times New Roman" w:cs="Times New Roman" w:eastAsia="Times New Roman" w:hAnsi="Times New Roman"/>
          <w:sz w:val="21"/>
          <w:szCs w:val="21"/>
          <w:color w:val="auto"/>
        </w:rPr>
        <w:t xml:space="preserve">. No such assignment shall be made (A) to any Borrower or any Borrower’s Affiliates or Subsidiaries, or (B)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to a natural person (or a holding company, investment vehicle or trust for, or owned and operated for the primary benefit of one or more natural persons).</w:t>
      </w:r>
    </w:p>
    <w:p>
      <w:pPr>
        <w:spacing w:after="0" w:line="148" w:lineRule="exact"/>
        <w:rPr>
          <w:rFonts w:ascii="Times New Roman" w:cs="Times New Roman" w:eastAsia="Times New Roman" w:hAnsi="Times New Roman"/>
          <w:sz w:val="21"/>
          <w:szCs w:val="21"/>
          <w:color w:val="auto"/>
        </w:rPr>
      </w:pPr>
    </w:p>
    <w:p>
      <w:pPr>
        <w:jc w:val="both"/>
        <w:ind w:firstLine="1864"/>
        <w:spacing w:after="0" w:line="225" w:lineRule="auto"/>
        <w:tabs>
          <w:tab w:leader="none" w:pos="2560"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Additional Payments</w:t>
      </w:r>
      <w:r>
        <w:rPr>
          <w:rFonts w:ascii="Times New Roman" w:cs="Times New Roman" w:eastAsia="Times New Roman" w:hAnsi="Times New Roman"/>
          <w:sz w:val="21"/>
          <w:szCs w:val="21"/>
          <w:color w:val="auto"/>
        </w:rPr>
        <w:t>. In connection with any assignment of rights and obligations of any Defaulting Lender hereunder, no such assignment shall be effective unless and until, in addition to the other conditions thereto set forth herein,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116</w:t>
      </w:r>
    </w:p>
    <w:p>
      <w:pPr>
        <w:sectPr>
          <w:pgSz w:w="11900" w:h="16838" w:orient="portrait"/>
          <w:cols w:equalWidth="0" w:num="1">
            <w:col w:w="11240"/>
          </w:cols>
          <w:pgMar w:left="320" w:top="1342" w:right="339" w:bottom="1440" w:gutter="0" w:footer="0" w:header="0"/>
        </w:sectPr>
      </w:pPr>
    </w:p>
    <w:bookmarkStart w:id="186" w:name="page187"/>
    <w:bookmarkEnd w:id="186"/>
    <w:p>
      <w:pPr>
        <w:jc w:val="both"/>
        <w:spacing w:after="0" w:line="211" w:lineRule="auto"/>
        <w:rPr>
          <w:sz w:val="20"/>
          <w:szCs w:val="20"/>
          <w:color w:val="auto"/>
        </w:rPr>
      </w:pPr>
      <w:r>
        <w:rPr>
          <w:rFonts w:ascii="Times New Roman" w:cs="Times New Roman" w:eastAsia="Times New Roman" w:hAnsi="Times New Roman"/>
          <w:sz w:val="21"/>
          <w:szCs w:val="21"/>
          <w:color w:val="auto"/>
        </w:rPr>
        <w:t>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Toro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51" w:lineRule="exact"/>
        <w:rPr>
          <w:sz w:val="20"/>
          <w:szCs w:val="20"/>
          <w:color w:val="auto"/>
        </w:rPr>
      </w:pPr>
    </w:p>
    <w:p>
      <w:pPr>
        <w:jc w:val="both"/>
        <w:ind w:firstLine="620"/>
        <w:spacing w:after="0" w:line="210" w:lineRule="auto"/>
        <w:rPr>
          <w:sz w:val="20"/>
          <w:szCs w:val="20"/>
          <w:color w:val="auto"/>
        </w:rPr>
      </w:pPr>
      <w:r>
        <w:rPr>
          <w:rFonts w:ascii="Times New Roman" w:cs="Times New Roman" w:eastAsia="Times New Roman" w:hAnsi="Times New Roman"/>
          <w:sz w:val="21"/>
          <w:szCs w:val="21"/>
          <w:color w:val="auto"/>
        </w:rPr>
        <w:t xml:space="preserve">Subject to acceptance and recording thereof by the Administrative Agent pursuant to </w:t>
      </w:r>
      <w:r>
        <w:rPr>
          <w:rFonts w:ascii="Times New Roman" w:cs="Times New Roman" w:eastAsia="Times New Roman" w:hAnsi="Times New Roman"/>
          <w:sz w:val="21"/>
          <w:szCs w:val="21"/>
          <w:u w:val="single" w:color="auto"/>
          <w:color w:val="auto"/>
        </w:rPr>
        <w:t>subsection (c)</w:t>
      </w:r>
      <w:r>
        <w:rPr>
          <w:rFonts w:ascii="Times New Roman" w:cs="Times New Roman" w:eastAsia="Times New Roman" w:hAnsi="Times New Roman"/>
          <w:sz w:val="21"/>
          <w:szCs w:val="21"/>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11.04</w:t>
      </w:r>
      <w:r>
        <w:rPr>
          <w:rFonts w:ascii="Times New Roman" w:cs="Times New Roman" w:eastAsia="Times New Roman" w:hAnsi="Times New Roman"/>
          <w:sz w:val="21"/>
          <w:szCs w:val="21"/>
          <w:color w:val="auto"/>
        </w:rPr>
        <w:t xml:space="preserve"> with respect to facts and circumstances occurring prior to the effective date of such assignment;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 w:cs="Times New Roman" w:eastAsia="Times New Roman" w:hAnsi="Times New Roman"/>
          <w:sz w:val="21"/>
          <w:szCs w:val="21"/>
          <w:u w:val="single" w:color="auto"/>
          <w:color w:val="auto"/>
        </w:rPr>
        <w:t>subsection (d)</w:t>
      </w:r>
      <w:r>
        <w:rPr>
          <w:rFonts w:ascii="Times New Roman" w:cs="Times New Roman" w:eastAsia="Times New Roman" w:hAnsi="Times New Roman"/>
          <w:sz w:val="21"/>
          <w:szCs w:val="21"/>
          <w:color w:val="auto"/>
        </w:rPr>
        <w:t xml:space="preserve"> of this Section.</w:t>
      </w:r>
    </w:p>
    <w:p>
      <w:pPr>
        <w:spacing w:after="0" w:line="147" w:lineRule="exact"/>
        <w:rPr>
          <w:sz w:val="20"/>
          <w:szCs w:val="20"/>
          <w:color w:val="auto"/>
        </w:rPr>
      </w:pPr>
    </w:p>
    <w:p>
      <w:pPr>
        <w:jc w:val="both"/>
        <w:ind w:firstLine="1244"/>
        <w:spacing w:after="0" w:line="212" w:lineRule="auto"/>
        <w:tabs>
          <w:tab w:leader="none" w:pos="1702"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each of the Borrowers and any Lender, at any reasonable time and from time to time upon reasonable prior notice.</w:t>
      </w:r>
    </w:p>
    <w:p>
      <w:pPr>
        <w:spacing w:after="0" w:line="147" w:lineRule="exact"/>
        <w:rPr>
          <w:rFonts w:ascii="Times New Roman" w:cs="Times New Roman" w:eastAsia="Times New Roman" w:hAnsi="Times New Roman"/>
          <w:sz w:val="21"/>
          <w:szCs w:val="21"/>
          <w:color w:val="auto"/>
        </w:rPr>
      </w:pPr>
    </w:p>
    <w:p>
      <w:pPr>
        <w:jc w:val="both"/>
        <w:ind w:firstLine="1244"/>
        <w:spacing w:after="0" w:line="215" w:lineRule="auto"/>
        <w:tabs>
          <w:tab w:leader="none" w:pos="1908"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 Any Lender may at any time, without the consent of, or notice to, any Borrower or the Administrative Agent, sell participations to any Person (other than a natural Person, or a holding company, investment vehicle or trust for, or owned and operated for the primary benefit of one or more natural Persons, a Defaulting Lender or any Borrower or any Affiliate or Subsidiary of any Borrower) (each,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in all or a portion of such Lender’s rights and/or obligations under this Agreement (including all or a portion of its Commitment and/or the Loans (including such Lender’s participations in L/C Obligations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117</w:t>
      </w:r>
    </w:p>
    <w:p>
      <w:pPr>
        <w:sectPr>
          <w:pgSz w:w="11900" w:h="16838" w:orient="portrait"/>
          <w:cols w:equalWidth="0" w:num="1">
            <w:col w:w="11240"/>
          </w:cols>
          <w:pgMar w:left="320" w:top="1342" w:right="339" w:bottom="1440" w:gutter="0" w:footer="0" w:header="0"/>
        </w:sectPr>
      </w:pPr>
    </w:p>
    <w:bookmarkStart w:id="187" w:name="page188"/>
    <w:bookmarkEnd w:id="187"/>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Swing Line Loans)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1"/>
          <w:szCs w:val="21"/>
          <w:u w:val="single" w:color="auto"/>
          <w:color w:val="auto"/>
        </w:rPr>
        <w:t>Section 11.04(c)</w:t>
      </w:r>
      <w:r>
        <w:rPr>
          <w:rFonts w:ascii="Times New Roman" w:cs="Times New Roman" w:eastAsia="Times New Roman" w:hAnsi="Times New Roman"/>
          <w:sz w:val="21"/>
          <w:szCs w:val="21"/>
          <w:color w:val="auto"/>
        </w:rPr>
        <w:t xml:space="preserve"> without regard to the existence of any participation.</w:t>
      </w:r>
    </w:p>
    <w:p>
      <w:pPr>
        <w:spacing w:after="0" w:line="149" w:lineRule="exact"/>
        <w:rPr>
          <w:sz w:val="20"/>
          <w:szCs w:val="20"/>
          <w:color w:val="auto"/>
        </w:rPr>
      </w:pPr>
    </w:p>
    <w:p>
      <w:pPr>
        <w:jc w:val="both"/>
        <w:ind w:firstLine="620"/>
        <w:spacing w:after="0" w:line="209" w:lineRule="auto"/>
        <w:rPr>
          <w:sz w:val="20"/>
          <w:szCs w:val="20"/>
          <w:color w:val="auto"/>
        </w:rPr>
      </w:pPr>
      <w:r>
        <w:rPr>
          <w:rFonts w:ascii="Times New Roman" w:cs="Times New Roman" w:eastAsia="Times New Roman" w:hAnsi="Times New Roman"/>
          <w:sz w:val="21"/>
          <w:szCs w:val="21"/>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xml:space="preserve"> that affects such Participant. Subject to </w:t>
      </w:r>
      <w:r>
        <w:rPr>
          <w:rFonts w:ascii="Times New Roman" w:cs="Times New Roman" w:eastAsia="Times New Roman" w:hAnsi="Times New Roman"/>
          <w:sz w:val="21"/>
          <w:szCs w:val="21"/>
          <w:u w:val="single" w:color="auto"/>
          <w:color w:val="auto"/>
        </w:rPr>
        <w:t>subsection (e)</w:t>
      </w:r>
      <w:r>
        <w:rPr>
          <w:rFonts w:ascii="Times New Roman" w:cs="Times New Roman" w:eastAsia="Times New Roman" w:hAnsi="Times New Roman"/>
          <w:sz w:val="21"/>
          <w:szCs w:val="21"/>
          <w:color w:val="auto"/>
        </w:rPr>
        <w:t xml:space="preserve"> of this Section, each Borrower agrees that each Participant shall be entitled to the benefits of </w:t>
      </w:r>
      <w:r>
        <w:rPr>
          <w:rFonts w:ascii="Times New Roman" w:cs="Times New Roman" w:eastAsia="Times New Roman" w:hAnsi="Times New Roman"/>
          <w:sz w:val="21"/>
          <w:szCs w:val="21"/>
          <w:u w:val="single" w:color="auto"/>
          <w:color w:val="auto"/>
        </w:rPr>
        <w:t>Sections 3.01, 3.04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3.05</w:t>
      </w:r>
      <w:r>
        <w:rPr>
          <w:rFonts w:ascii="Times New Roman" w:cs="Times New Roman" w:eastAsia="Times New Roman" w:hAnsi="Times New Roman"/>
          <w:sz w:val="21"/>
          <w:szCs w:val="21"/>
          <w:color w:val="auto"/>
        </w:rPr>
        <w:t xml:space="preserve"> to the same extent as if it were a Lender and had acquired its interest by assignment pursuant to subsection (b) of this Section (it being understood that the documentation required under </w:t>
      </w:r>
      <w:r>
        <w:rPr>
          <w:rFonts w:ascii="Times New Roman" w:cs="Times New Roman" w:eastAsia="Times New Roman" w:hAnsi="Times New Roman"/>
          <w:sz w:val="21"/>
          <w:szCs w:val="21"/>
          <w:u w:val="single" w:color="auto"/>
          <w:color w:val="auto"/>
        </w:rPr>
        <w:t>Section 3.01(e)</w:t>
      </w:r>
      <w:r>
        <w:rPr>
          <w:rFonts w:ascii="Times New Roman" w:cs="Times New Roman" w:eastAsia="Times New Roman" w:hAnsi="Times New Roman"/>
          <w:sz w:val="21"/>
          <w:szCs w:val="21"/>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Section;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Participant (A) agrees to be subject to the provisions of </w:t>
      </w:r>
      <w:r>
        <w:rPr>
          <w:rFonts w:ascii="Times New Roman" w:cs="Times New Roman" w:eastAsia="Times New Roman" w:hAnsi="Times New Roman"/>
          <w:sz w:val="21"/>
          <w:szCs w:val="21"/>
          <w:u w:val="single" w:color="auto"/>
          <w:color w:val="auto"/>
        </w:rPr>
        <w:t>Sections 3.06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11.13</w:t>
      </w:r>
      <w:r>
        <w:rPr>
          <w:rFonts w:ascii="Times New Roman" w:cs="Times New Roman" w:eastAsia="Times New Roman" w:hAnsi="Times New Roman"/>
          <w:sz w:val="21"/>
          <w:szCs w:val="21"/>
          <w:color w:val="auto"/>
        </w:rPr>
        <w:t xml:space="preserve"> as if it were an assignee under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Section and (B) shall not be entitled to receive any greater payment under </w:t>
      </w:r>
      <w:r>
        <w:rPr>
          <w:rFonts w:ascii="Times New Roman" w:cs="Times New Roman" w:eastAsia="Times New Roman" w:hAnsi="Times New Roman"/>
          <w:sz w:val="21"/>
          <w:szCs w:val="21"/>
          <w:u w:val="single" w:color="auto"/>
          <w:color w:val="auto"/>
        </w:rPr>
        <w:t>Sections 3.01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Borrowers to effectuate the provisions of </w:t>
      </w:r>
      <w:r>
        <w:rPr>
          <w:rFonts w:ascii="Times New Roman" w:cs="Times New Roman" w:eastAsia="Times New Roman" w:hAnsi="Times New Roman"/>
          <w:sz w:val="21"/>
          <w:szCs w:val="21"/>
          <w:u w:val="single" w:color="auto"/>
          <w:color w:val="auto"/>
        </w:rPr>
        <w:t>Section 3.06</w:t>
      </w:r>
      <w:r>
        <w:rPr>
          <w:rFonts w:ascii="Times New Roman" w:cs="Times New Roman" w:eastAsia="Times New Roman" w:hAnsi="Times New Roman"/>
          <w:sz w:val="21"/>
          <w:szCs w:val="21"/>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1"/>
          <w:szCs w:val="21"/>
          <w:u w:val="single" w:color="auto"/>
          <w:color w:val="auto"/>
        </w:rPr>
        <w:t>Section 11.08</w:t>
      </w:r>
      <w:r>
        <w:rPr>
          <w:rFonts w:ascii="Times New Roman" w:cs="Times New Roman" w:eastAsia="Times New Roman" w:hAnsi="Times New Roman"/>
          <w:sz w:val="21"/>
          <w:szCs w:val="21"/>
          <w:color w:val="auto"/>
        </w:rPr>
        <w:t xml:space="preserve"> as though it were a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such Participant agrees to be subject to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as though it were a Lender.</w:t>
      </w:r>
    </w:p>
    <w:p>
      <w:pPr>
        <w:spacing w:after="0" w:line="150" w:lineRule="exact"/>
        <w:rPr>
          <w:sz w:val="20"/>
          <w:szCs w:val="20"/>
          <w:color w:val="auto"/>
        </w:rPr>
      </w:pPr>
    </w:p>
    <w:p>
      <w:pPr>
        <w:jc w:val="both"/>
        <w:ind w:firstLine="620"/>
        <w:spacing w:after="0" w:line="222" w:lineRule="auto"/>
        <w:rPr>
          <w:sz w:val="20"/>
          <w:szCs w:val="20"/>
          <w:color w:val="auto"/>
        </w:rPr>
      </w:pPr>
      <w:r>
        <w:rPr>
          <w:rFonts w:ascii="Times New Roman" w:cs="Times New Roman" w:eastAsia="Times New Roman" w:hAnsi="Times New Roman"/>
          <w:sz w:val="20"/>
          <w:szCs w:val="20"/>
          <w:color w:val="auto"/>
        </w:rPr>
        <w:t>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47" w:lineRule="exact"/>
        <w:rPr>
          <w:sz w:val="20"/>
          <w:szCs w:val="20"/>
          <w:color w:val="auto"/>
        </w:rPr>
      </w:pPr>
    </w:p>
    <w:p>
      <w:pPr>
        <w:jc w:val="both"/>
        <w:ind w:firstLine="1244"/>
        <w:spacing w:after="0" w:line="217" w:lineRule="auto"/>
        <w:tabs>
          <w:tab w:leader="none" w:pos="1676"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 upon Participant Rights</w:t>
      </w:r>
      <w:r>
        <w:rPr>
          <w:rFonts w:ascii="Times New Roman" w:cs="Times New Roman" w:eastAsia="Times New Roman" w:hAnsi="Times New Roman"/>
          <w:sz w:val="21"/>
          <w:szCs w:val="21"/>
          <w:color w:val="auto"/>
        </w:rPr>
        <w:t xml:space="preserve">. A Participant shall not be entitled to receive any greater payment under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3.01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3.04</w:t>
      </w:r>
      <w:r>
        <w:rPr>
          <w:rFonts w:ascii="Times New Roman" w:cs="Times New Roman" w:eastAsia="Times New Roman" w:hAnsi="Times New Roman"/>
          <w:sz w:val="21"/>
          <w:szCs w:val="21"/>
          <w:color w:val="auto"/>
        </w:rPr>
        <w:t xml:space="preserve"> than the applicable Lender would have been entitled to receive with respect to the participation sold to such Participant, unless the sale of the participation to such Participant is made with Toro’s prior written consent. A Participant that would be a Foreign Lender if it were a Lender shall not be entitled to the benefits of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xml:space="preserve"> unless Toro is notified of the participation sold to such Participant and such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118</w:t>
      </w:r>
    </w:p>
    <w:p>
      <w:pPr>
        <w:sectPr>
          <w:pgSz w:w="11900" w:h="16838" w:orient="portrait"/>
          <w:cols w:equalWidth="0" w:num="1">
            <w:col w:w="11240"/>
          </w:cols>
          <w:pgMar w:left="320" w:top="1342"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21"/>
          <w:szCs w:val="21"/>
          <w:color w:val="auto"/>
        </w:rPr>
        <w:t xml:space="preserve">agrees, for the benefit of the Borrowers, to comply with </w:t>
      </w:r>
      <w:r>
        <w:rPr>
          <w:rFonts w:ascii="Times New Roman" w:cs="Times New Roman" w:eastAsia="Times New Roman" w:hAnsi="Times New Roman"/>
          <w:sz w:val="21"/>
          <w:szCs w:val="21"/>
          <w:u w:val="single" w:color="auto"/>
          <w:color w:val="auto"/>
        </w:rPr>
        <w:t>Section 3.01(e)</w:t>
      </w:r>
      <w:r>
        <w:rPr>
          <w:rFonts w:ascii="Times New Roman" w:cs="Times New Roman" w:eastAsia="Times New Roman" w:hAnsi="Times New Roman"/>
          <w:sz w:val="21"/>
          <w:szCs w:val="21"/>
          <w:color w:val="auto"/>
        </w:rPr>
        <w:t xml:space="preserve"> as though it were a Lender.</w:t>
      </w:r>
    </w:p>
    <w:p>
      <w:pPr>
        <w:spacing w:after="0" w:line="172" w:lineRule="exact"/>
        <w:rPr>
          <w:sz w:val="20"/>
          <w:szCs w:val="20"/>
          <w:color w:val="auto"/>
        </w:rPr>
      </w:pPr>
    </w:p>
    <w:p>
      <w:pPr>
        <w:jc w:val="both"/>
        <w:ind w:firstLine="1244"/>
        <w:spacing w:after="0" w:line="220" w:lineRule="auto"/>
        <w:tabs>
          <w:tab w:leader="none" w:pos="1679"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Pledges</w:t>
      </w:r>
      <w:r>
        <w:rPr>
          <w:rFonts w:ascii="Times New Roman" w:cs="Times New Roman" w:eastAsia="Times New Roman" w:hAnsi="Times New Roman"/>
          <w:sz w:val="21"/>
          <w:szCs w:val="21"/>
          <w:color w:val="auto"/>
        </w:rPr>
        <w:t>. Any Lender may at any time pledge or assign a security interest in all or any portion of its rights under this Agreement (including under its Note(s), if any)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148" w:lineRule="exact"/>
        <w:rPr>
          <w:rFonts w:ascii="Times New Roman" w:cs="Times New Roman" w:eastAsia="Times New Roman" w:hAnsi="Times New Roman"/>
          <w:sz w:val="21"/>
          <w:szCs w:val="21"/>
          <w:color w:val="auto"/>
        </w:rPr>
      </w:pPr>
    </w:p>
    <w:p>
      <w:pPr>
        <w:jc w:val="both"/>
        <w:ind w:firstLine="1244"/>
        <w:spacing w:after="0" w:line="219" w:lineRule="auto"/>
        <w:tabs>
          <w:tab w:leader="none" w:pos="1804"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as L/C Issuer or Swing Line Lender after Assignment.</w:t>
      </w:r>
      <w:r>
        <w:rPr>
          <w:rFonts w:ascii="Times New Roman" w:cs="Times New Roman" w:eastAsia="Times New Roman" w:hAnsi="Times New Roman"/>
          <w:sz w:val="20"/>
          <w:szCs w:val="20"/>
          <w:color w:val="auto"/>
        </w:rPr>
        <w:t xml:space="preserve"> Notwithstanding anything to the contrary contained herein, if at any time Bank of America assigns all of its Commitment and Loans pursuant to subsection (b) above, Bank of America may, (i) upon 30 days’ notice to Toro and the Lenders, resign as L/C Issuer and/or (ii) upon 30 days’ notice to Toro, resign as Swing Line Lender. In the event of any such resignation as L/C Issuer or Swing Line Lender, Toro shall be entitled to appoint from among the Lenders a successor L/C Issuer or Swing Line Lender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no failure by Toro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2.04(c)</w:t>
      </w:r>
      <w:r>
        <w:rPr>
          <w:rFonts w:ascii="Times New Roman" w:cs="Times New Roman" w:eastAsia="Times New Roman" w:hAnsi="Times New Roman"/>
          <w:sz w:val="20"/>
          <w:szCs w:val="20"/>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 whereupon such substitute letters of credit or other arrangements shall be deemed to be, and the Letters of Credit issued by the retiring L/C Issuer shall cease to be Letters of Credit hereunder.</w:t>
      </w:r>
    </w:p>
    <w:p>
      <w:pPr>
        <w:spacing w:after="0" w:line="147" w:lineRule="exact"/>
        <w:rPr>
          <w:sz w:val="20"/>
          <w:szCs w:val="20"/>
          <w:color w:val="auto"/>
        </w:rPr>
      </w:pPr>
    </w:p>
    <w:p>
      <w:pPr>
        <w:jc w:val="both"/>
        <w:ind w:firstLine="620"/>
        <w:spacing w:after="0" w:line="210" w:lineRule="auto"/>
        <w:rPr>
          <w:sz w:val="20"/>
          <w:szCs w:val="20"/>
          <w:color w:val="auto"/>
        </w:rPr>
      </w:pPr>
      <w:r>
        <w:rPr>
          <w:rFonts w:ascii="Times New Roman" w:cs="Times New Roman" w:eastAsia="Times New Roman" w:hAnsi="Times New Roman"/>
          <w:sz w:val="21"/>
          <w:szCs w:val="21"/>
          <w:b w:val="1"/>
          <w:bCs w:val="1"/>
          <w:color w:val="auto"/>
        </w:rPr>
        <w:t>11.07 Treatment of Certain Information; Confidentiality</w:t>
      </w:r>
      <w:r>
        <w:rPr>
          <w:rFonts w:ascii="Times New Roman" w:cs="Times New Roman" w:eastAsia="Times New Roman" w:hAnsi="Times New Roman"/>
          <w:sz w:val="21"/>
          <w:szCs w:val="21"/>
          <w:color w:val="auto"/>
        </w:rPr>
        <w:t>. Each of the Administrative Agent, the Lenders and the L/C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Issuer agrees to maintain the confidentiality of the Information (as defined below), except that Information may be disclosed (a) to its Affiliates, its auditors and to its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Times New Roman" w:cs="Times New Roman" w:eastAsia="Times New Roman" w:hAnsi="Times New Roman"/>
          <w:sz w:val="21"/>
          <w:szCs w:val="21"/>
          <w:u w:val="single" w:color="auto"/>
          <w:color w:val="auto"/>
        </w:rPr>
        <w:t>Section 2.14</w:t>
      </w:r>
      <w:r>
        <w:rPr>
          <w:rFonts w:ascii="Times New Roman" w:cs="Times New Roman" w:eastAsia="Times New Roman" w:hAnsi="Times New Roman"/>
          <w:sz w:val="21"/>
          <w:szCs w:val="21"/>
          <w:color w:val="auto"/>
        </w:rPr>
        <w:t xml:space="preserve"> or (ii) any actual or prospective counterparty (or its advisors) to any swap or derivative transaction relating to a Borrower and its obligations, (g) on a confidential basis to (i) any rating agency in connection with rating Toro or its Subsidiaries or the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119</w:t>
      </w:r>
    </w:p>
    <w:p>
      <w:pPr>
        <w:sectPr>
          <w:pgSz w:w="11900" w:h="16838" w:orient="portrait"/>
          <w:cols w:equalWidth="0" w:num="1">
            <w:col w:w="11240"/>
          </w:cols>
          <w:pgMar w:left="320" w:top="1342" w:right="339" w:bottom="1440" w:gutter="0" w:footer="0" w:header="0"/>
        </w:sectPr>
      </w:pPr>
    </w:p>
    <w:bookmarkStart w:id="189" w:name="page190"/>
    <w:bookmarkEnd w:id="189"/>
    <w:p>
      <w:pPr>
        <w:jc w:val="both"/>
        <w:spacing w:after="0" w:line="217" w:lineRule="auto"/>
        <w:rPr>
          <w:sz w:val="20"/>
          <w:szCs w:val="20"/>
          <w:color w:val="auto"/>
        </w:rPr>
      </w:pPr>
      <w:r>
        <w:rPr>
          <w:rFonts w:ascii="Times New Roman" w:cs="Times New Roman" w:eastAsia="Times New Roman" w:hAnsi="Times New Roman"/>
          <w:sz w:val="21"/>
          <w:szCs w:val="21"/>
          <w:color w:val="auto"/>
        </w:rPr>
        <w:t>provided hereunder or (ii) the CUSIP Service Bureau or any similar agency in connection with the issuance and monitoring of CUSIP numbers or other market identifiers with respect to the credit facilities provided hereunder, (h) with the consent of Toro or (i) to the extent such Information (x) becomes publicly available other than as a result of a breach of this Section or (y) becomes available to the Administrative Agent, any Lender, the L/C Issuer or any of their respective Affiliates on a nonconfidential basis from a source other than any Borrower.</w:t>
      </w:r>
    </w:p>
    <w:p>
      <w:pPr>
        <w:spacing w:after="0" w:line="149" w:lineRule="exact"/>
        <w:rPr>
          <w:sz w:val="20"/>
          <w:szCs w:val="20"/>
          <w:color w:val="auto"/>
        </w:rPr>
      </w:pPr>
    </w:p>
    <w:p>
      <w:pPr>
        <w:jc w:val="both"/>
        <w:ind w:firstLine="620"/>
        <w:spacing w:after="0" w:line="215" w:lineRule="auto"/>
        <w:rPr>
          <w:sz w:val="20"/>
          <w:szCs w:val="20"/>
          <w:color w:val="auto"/>
        </w:rPr>
      </w:pPr>
      <w:r>
        <w:rPr>
          <w:rFonts w:ascii="Times New Roman" w:cs="Times New Roman" w:eastAsia="Times New Roman" w:hAnsi="Times New Roman"/>
          <w:sz w:val="21"/>
          <w:szCs w:val="21"/>
          <w:color w:val="auto"/>
        </w:rPr>
        <w:t>For purposes of this Section,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means all information received from any Borrower or any Subsidiary relating to any Borrower or any Subsidiary or any of their respective businesses, other than any such information that is available to the Administrative Agent, any Lender or the L/C Issuer on a nonconfidential basis prior to disclosure by any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49" w:lineRule="exact"/>
        <w:rPr>
          <w:sz w:val="20"/>
          <w:szCs w:val="20"/>
          <w:color w:val="auto"/>
        </w:rPr>
      </w:pPr>
    </w:p>
    <w:p>
      <w:pPr>
        <w:jc w:val="both"/>
        <w:ind w:firstLine="620"/>
        <w:spacing w:after="0" w:line="220" w:lineRule="auto"/>
        <w:rPr>
          <w:sz w:val="20"/>
          <w:szCs w:val="20"/>
          <w:color w:val="auto"/>
        </w:rPr>
      </w:pPr>
      <w:r>
        <w:rPr>
          <w:rFonts w:ascii="Times New Roman" w:cs="Times New Roman" w:eastAsia="Times New Roman" w:hAnsi="Times New Roman"/>
          <w:sz w:val="21"/>
          <w:szCs w:val="21"/>
          <w:color w:val="auto"/>
        </w:rPr>
        <w:t>Each of the Administrative Agent, the Lenders and the L/C Issuer acknowledges that (a) the Information may include material non-public information concerning any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44" w:lineRule="exact"/>
        <w:rPr>
          <w:sz w:val="20"/>
          <w:szCs w:val="20"/>
          <w:color w:val="auto"/>
        </w:rPr>
      </w:pPr>
    </w:p>
    <w:p>
      <w:pPr>
        <w:jc w:val="both"/>
        <w:ind w:firstLine="620"/>
        <w:spacing w:after="0" w:line="219" w:lineRule="auto"/>
        <w:rPr>
          <w:sz w:val="20"/>
          <w:szCs w:val="20"/>
          <w:color w:val="auto"/>
        </w:rPr>
      </w:pPr>
      <w:r>
        <w:rPr>
          <w:rFonts w:ascii="Times New Roman" w:cs="Times New Roman" w:eastAsia="Times New Roman" w:hAnsi="Times New Roman"/>
          <w:sz w:val="20"/>
          <w:szCs w:val="20"/>
          <w:b w:val="1"/>
          <w:bCs w:val="1"/>
          <w:color w:val="auto"/>
        </w:rPr>
        <w:t>11.08 Right of Setoff</w:t>
      </w:r>
      <w:r>
        <w:rPr>
          <w:rFonts w:ascii="Times New Roman" w:cs="Times New Roman" w:eastAsia="Times New Roman" w:hAnsi="Times New Roman"/>
          <w:sz w:val="20"/>
          <w:szCs w:val="20"/>
          <w:color w:val="auto"/>
        </w:rPr>
        <w:t>. If an Event of Default shall have occurred and be continuing, each Lender, the L/C Issuer and each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their respective Affiliates is hereby authorized at any time and from time to time, after obtaining the prior written consent of the Administrative Agent,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Borrower or any other Loan Party against any and all of the obligations of such Borrower or such Loan Party now or hereafter existing under this Agreement or any other Loan Document to such Lender or the L/C Issuer, irrespective of whether or not such Lender or the L/C Issuer shall have made any demand under this Agreement or any other Loan Document and although such obligations of such Borrower or such Loan Party may be contingent or unmatured or are owed to a branch or office of such Lender or the L/C Issuer different from the branch or office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Toro and the Administrative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51" w:lineRule="exact"/>
        <w:rPr>
          <w:sz w:val="20"/>
          <w:szCs w:val="20"/>
          <w:color w:val="auto"/>
        </w:rPr>
      </w:pPr>
    </w:p>
    <w:p>
      <w:pPr>
        <w:jc w:val="both"/>
        <w:ind w:firstLine="620"/>
        <w:spacing w:after="0" w:line="221" w:lineRule="auto"/>
        <w:rPr>
          <w:sz w:val="20"/>
          <w:szCs w:val="20"/>
          <w:color w:val="auto"/>
        </w:rPr>
      </w:pPr>
      <w:r>
        <w:rPr>
          <w:rFonts w:ascii="Times New Roman" w:cs="Times New Roman" w:eastAsia="Times New Roman" w:hAnsi="Times New Roman"/>
          <w:sz w:val="21"/>
          <w:szCs w:val="21"/>
          <w:b w:val="1"/>
          <w:bCs w:val="1"/>
          <w:color w:val="auto"/>
        </w:rPr>
        <w:t>11.09 Interest Rate Limitation</w:t>
      </w:r>
      <w:r>
        <w:rPr>
          <w:rFonts w:ascii="Times New Roman" w:cs="Times New Roman" w:eastAsia="Times New Roman" w:hAnsi="Times New Roman"/>
          <w:sz w:val="21"/>
          <w:szCs w:val="21"/>
          <w:color w:val="auto"/>
        </w:rPr>
        <w:t>. Notwithstanding anything to the contrary contained in any Loan Document, the interest paid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agreed to be paid under the Loan Documents shall not exceed the maximum rate of non-usurious interest permitted by Applicable Law (the “</w:t>
      </w:r>
      <w:r>
        <w:rPr>
          <w:rFonts w:ascii="Times New Roman" w:cs="Times New Roman" w:eastAsia="Times New Roman" w:hAnsi="Times New Roman"/>
          <w:sz w:val="21"/>
          <w:szCs w:val="21"/>
          <w:u w:val="single" w:color="auto"/>
          <w:color w:val="auto"/>
        </w:rPr>
        <w:t>Maximum Rate</w:t>
      </w:r>
      <w:r>
        <w:rPr>
          <w:rFonts w:ascii="Times New Roman" w:cs="Times New Roman" w:eastAsia="Times New Roman" w:hAnsi="Times New Roman"/>
          <w:sz w:val="21"/>
          <w:szCs w:val="21"/>
          <w:color w:val="auto"/>
        </w:rPr>
        <w:t>”). If the Administrative Agent or any Lender shall receive interest in an amount that exceeds the Maximum Rate, the excess interest shall be applied to the principal of the Loans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120</w:t>
      </w:r>
    </w:p>
    <w:p>
      <w:pPr>
        <w:sectPr>
          <w:pgSz w:w="11900" w:h="16838" w:orient="portrait"/>
          <w:cols w:equalWidth="0" w:num="1">
            <w:col w:w="11240"/>
          </w:cols>
          <w:pgMar w:left="320" w:top="1342" w:right="339" w:bottom="1440" w:gutter="0" w:footer="0" w:header="0"/>
        </w:sectPr>
      </w:pPr>
    </w:p>
    <w:bookmarkStart w:id="190" w:name="page191"/>
    <w:bookmarkEnd w:id="190"/>
    <w:p>
      <w:pPr>
        <w:jc w:val="both"/>
        <w:spacing w:after="0" w:line="217" w:lineRule="auto"/>
        <w:rPr>
          <w:sz w:val="20"/>
          <w:szCs w:val="20"/>
          <w:color w:val="auto"/>
        </w:rPr>
      </w:pPr>
      <w:r>
        <w:rPr>
          <w:rFonts w:ascii="Times New Roman" w:cs="Times New Roman" w:eastAsia="Times New Roman" w:hAnsi="Times New Roman"/>
          <w:sz w:val="21"/>
          <w:szCs w:val="21"/>
          <w:color w:val="auto"/>
        </w:rPr>
        <w:t>if it exceeds such unpaid principal, refunded to the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45" w:lineRule="exact"/>
        <w:rPr>
          <w:sz w:val="20"/>
          <w:szCs w:val="20"/>
          <w:color w:val="auto"/>
        </w:rPr>
      </w:pPr>
    </w:p>
    <w:p>
      <w:pPr>
        <w:jc w:val="both"/>
        <w:ind w:firstLine="620"/>
        <w:spacing w:after="0" w:line="214" w:lineRule="auto"/>
        <w:rPr>
          <w:sz w:val="20"/>
          <w:szCs w:val="20"/>
          <w:color w:val="auto"/>
        </w:rPr>
      </w:pPr>
      <w:r>
        <w:rPr>
          <w:rFonts w:ascii="Times New Roman" w:cs="Times New Roman" w:eastAsia="Times New Roman" w:hAnsi="Times New Roman"/>
          <w:sz w:val="21"/>
          <w:szCs w:val="21"/>
          <w:b w:val="1"/>
          <w:bCs w:val="1"/>
          <w:color w:val="auto"/>
        </w:rPr>
        <w:t>11.10 Integration; Effectiveness</w:t>
      </w:r>
      <w:r>
        <w:rPr>
          <w:rFonts w:ascii="Times New Roman" w:cs="Times New Roman" w:eastAsia="Times New Roman" w:hAnsi="Times New Roman"/>
          <w:sz w:val="21"/>
          <w:szCs w:val="21"/>
          <w:color w:val="auto"/>
        </w:rPr>
        <w:t>. This Agreement, the other Loan Documents, and any separate letter agreements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respect 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1"/>
          <w:szCs w:val="21"/>
          <w:u w:val="single" w:color="auto"/>
          <w:color w:val="auto"/>
        </w:rPr>
        <w:t>Section 4.01</w:t>
      </w:r>
      <w:r>
        <w:rPr>
          <w:rFonts w:ascii="Times New Roman" w:cs="Times New Roman" w:eastAsia="Times New Roman" w:hAnsi="Times New Roman"/>
          <w:sz w:val="21"/>
          <w:szCs w:val="21"/>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47" w:lineRule="exact"/>
        <w:rPr>
          <w:sz w:val="20"/>
          <w:szCs w:val="20"/>
          <w:color w:val="auto"/>
        </w:rPr>
      </w:pPr>
    </w:p>
    <w:p>
      <w:pPr>
        <w:jc w:val="both"/>
        <w:ind w:firstLine="620"/>
        <w:spacing w:after="0" w:line="214" w:lineRule="auto"/>
        <w:rPr>
          <w:sz w:val="20"/>
          <w:szCs w:val="20"/>
          <w:color w:val="auto"/>
        </w:rPr>
      </w:pPr>
      <w:r>
        <w:rPr>
          <w:rFonts w:ascii="Times New Roman" w:cs="Times New Roman" w:eastAsia="Times New Roman" w:hAnsi="Times New Roman"/>
          <w:sz w:val="21"/>
          <w:szCs w:val="21"/>
          <w:b w:val="1"/>
          <w:bCs w:val="1"/>
          <w:color w:val="auto"/>
        </w:rPr>
        <w:t>11.11 Survival of Representations and Warranties</w:t>
      </w:r>
      <w:r>
        <w:rPr>
          <w:rFonts w:ascii="Times New Roman" w:cs="Times New Roman" w:eastAsia="Times New Roman" w:hAnsi="Times New Roman"/>
          <w:sz w:val="21"/>
          <w:szCs w:val="21"/>
          <w:color w:val="auto"/>
        </w:rPr>
        <w:t>. All representations and warranties made hereunder and in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47" w:lineRule="exact"/>
        <w:rPr>
          <w:sz w:val="20"/>
          <w:szCs w:val="20"/>
          <w:color w:val="auto"/>
        </w:rPr>
      </w:pPr>
    </w:p>
    <w:p>
      <w:pPr>
        <w:jc w:val="both"/>
        <w:ind w:firstLine="620"/>
        <w:spacing w:after="0" w:line="212" w:lineRule="auto"/>
        <w:rPr>
          <w:sz w:val="20"/>
          <w:szCs w:val="20"/>
          <w:color w:val="auto"/>
        </w:rPr>
      </w:pPr>
      <w:r>
        <w:rPr>
          <w:rFonts w:ascii="Times New Roman" w:cs="Times New Roman" w:eastAsia="Times New Roman" w:hAnsi="Times New Roman"/>
          <w:sz w:val="21"/>
          <w:szCs w:val="21"/>
          <w:b w:val="1"/>
          <w:bCs w:val="1"/>
          <w:color w:val="auto"/>
        </w:rPr>
        <w:t>11.12 Severability</w:t>
      </w:r>
      <w:r>
        <w:rPr>
          <w:rFonts w:ascii="Times New Roman" w:cs="Times New Roman" w:eastAsia="Times New Roman" w:hAnsi="Times New Roman"/>
          <w:sz w:val="21"/>
          <w:szCs w:val="21"/>
          <w:color w:val="auto"/>
        </w:rPr>
        <w:t>. If any provision of this Agreement or the other Loan Documents is held to be illegal, invalid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21"/>
          <w:szCs w:val="21"/>
          <w:u w:val="single" w:color="auto"/>
          <w:color w:val="auto"/>
        </w:rPr>
        <w:t>Section 11.12</w:t>
      </w:r>
      <w:r>
        <w:rPr>
          <w:rFonts w:ascii="Times New Roman" w:cs="Times New Roman" w:eastAsia="Times New Roman" w:hAnsi="Times New Roman"/>
          <w:sz w:val="21"/>
          <w:szCs w:val="21"/>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48"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21"/>
          <w:szCs w:val="21"/>
          <w:b w:val="1"/>
          <w:bCs w:val="1"/>
          <w:color w:val="auto"/>
        </w:rPr>
        <w:t>11.13 Replacement of Lenders</w:t>
      </w:r>
      <w:r>
        <w:rPr>
          <w:rFonts w:ascii="Times New Roman" w:cs="Times New Roman" w:eastAsia="Times New Roman" w:hAnsi="Times New Roman"/>
          <w:sz w:val="21"/>
          <w:szCs w:val="21"/>
          <w:color w:val="auto"/>
        </w:rPr>
        <w:t>. If (i) any Lender requests compensation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(ii) any Borrower is required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to pay any additional amount to any Lender or any Governmental Authority for the account of any Lender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3"/>
        <w:spacing w:after="0" w:line="213" w:lineRule="auto"/>
        <w:tabs>
          <w:tab w:leader="none" w:pos="373" w:val="left"/>
        </w:tabs>
        <w:numPr>
          <w:ilvl w:val="0"/>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Lender is a Non-Consenting Lender (as defined below), or (iv) any Lender is a Defaulting Lender, then Toro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1"/>
          <w:szCs w:val="21"/>
          <w:u w:val="single" w:color="auto"/>
          <w:color w:val="auto"/>
        </w:rPr>
        <w:t>Section 11.06</w:t>
      </w:r>
      <w:r>
        <w:rPr>
          <w:rFonts w:ascii="Times New Roman" w:cs="Times New Roman" w:eastAsia="Times New Roman" w:hAnsi="Times New Roman"/>
          <w:sz w:val="21"/>
          <w:szCs w:val="21"/>
          <w:color w:val="auto"/>
        </w:rPr>
        <w:t xml:space="preserve">), all of its interests, rights and obligations under this Agreement and the related Loan Documents to an assignee that shall assume such obligations (which assignee may be another Lender, if a Lender accepts such assignment),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121</w:t>
      </w:r>
    </w:p>
    <w:p>
      <w:pPr>
        <w:sectPr>
          <w:pgSz w:w="11900" w:h="16838" w:orient="portrait"/>
          <w:cols w:equalWidth="0" w:num="1">
            <w:col w:w="11240"/>
          </w:cols>
          <w:pgMar w:left="320" w:top="1342" w:right="339" w:bottom="1440" w:gutter="0" w:footer="0" w:header="0"/>
        </w:sectPr>
      </w:pPr>
    </w:p>
    <w:bookmarkStart w:id="191" w:name="page192"/>
    <w:bookmarkEnd w:id="191"/>
    <w:p>
      <w:pPr>
        <w:ind w:left="1680" w:hanging="436"/>
        <w:spacing w:after="0"/>
        <w:tabs>
          <w:tab w:leader="none" w:pos="168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Borrowers shall have paid to the Administrative Agent the assignment fee specified in </w:t>
      </w:r>
      <w:r>
        <w:rPr>
          <w:rFonts w:ascii="Times New Roman" w:cs="Times New Roman" w:eastAsia="Times New Roman" w:hAnsi="Times New Roman"/>
          <w:sz w:val="21"/>
          <w:szCs w:val="21"/>
          <w:u w:val="single" w:color="auto"/>
          <w:color w:val="auto"/>
        </w:rPr>
        <w:t>Section 11.06(b)</w:t>
      </w:r>
      <w:r>
        <w:rPr>
          <w:rFonts w:ascii="Times New Roman" w:cs="Times New Roman" w:eastAsia="Times New Roman" w:hAnsi="Times New Roman"/>
          <w:sz w:val="21"/>
          <w:szCs w:val="21"/>
          <w:color w:val="auto"/>
        </w:rPr>
        <w:t>;</w:t>
      </w:r>
    </w:p>
    <w:p>
      <w:pPr>
        <w:spacing w:after="0" w:line="171" w:lineRule="exact"/>
        <w:rPr>
          <w:rFonts w:ascii="Times New Roman" w:cs="Times New Roman" w:eastAsia="Times New Roman" w:hAnsi="Times New Roman"/>
          <w:sz w:val="21"/>
          <w:szCs w:val="21"/>
          <w:color w:val="auto"/>
        </w:rPr>
      </w:pPr>
    </w:p>
    <w:p>
      <w:pPr>
        <w:jc w:val="both"/>
        <w:ind w:firstLine="1244"/>
        <w:spacing w:after="0" w:line="220" w:lineRule="auto"/>
        <w:tabs>
          <w:tab w:leader="none" w:pos="1763"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1"/>
          <w:szCs w:val="21"/>
          <w:u w:val="single" w:color="auto"/>
          <w:color w:val="auto"/>
        </w:rPr>
        <w:t>Section 3.05</w:t>
      </w:r>
      <w:r>
        <w:rPr>
          <w:rFonts w:ascii="Times New Roman" w:cs="Times New Roman" w:eastAsia="Times New Roman" w:hAnsi="Times New Roman"/>
          <w:sz w:val="21"/>
          <w:szCs w:val="21"/>
          <w:color w:val="auto"/>
        </w:rPr>
        <w:t>) from the assignee (to the extent of such outstanding principal and accrued interest and fees) or the Borrowers (in the case of all other amounts);</w:t>
      </w:r>
    </w:p>
    <w:p>
      <w:pPr>
        <w:spacing w:after="0" w:line="148" w:lineRule="exact"/>
        <w:rPr>
          <w:rFonts w:ascii="Times New Roman" w:cs="Times New Roman" w:eastAsia="Times New Roman" w:hAnsi="Times New Roman"/>
          <w:sz w:val="21"/>
          <w:szCs w:val="21"/>
          <w:color w:val="auto"/>
        </w:rPr>
      </w:pPr>
    </w:p>
    <w:p>
      <w:pPr>
        <w:ind w:firstLine="1244"/>
        <w:spacing w:after="0" w:line="236" w:lineRule="auto"/>
        <w:tabs>
          <w:tab w:leader="none" w:pos="180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any such assignment resulting from a claim for compensation under </w:t>
      </w:r>
      <w:r>
        <w:rPr>
          <w:rFonts w:ascii="Times New Roman" w:cs="Times New Roman" w:eastAsia="Times New Roman" w:hAnsi="Times New Roman"/>
          <w:sz w:val="21"/>
          <w:szCs w:val="21"/>
          <w:u w:val="single" w:color="auto"/>
          <w:color w:val="auto"/>
        </w:rPr>
        <w:t>Section 3.04</w:t>
      </w:r>
      <w:r>
        <w:rPr>
          <w:rFonts w:ascii="Times New Roman" w:cs="Times New Roman" w:eastAsia="Times New Roman" w:hAnsi="Times New Roman"/>
          <w:sz w:val="21"/>
          <w:szCs w:val="21"/>
          <w:color w:val="auto"/>
        </w:rPr>
        <w:t xml:space="preserve"> or payments required to be made pursuant to </w:t>
      </w:r>
      <w:r>
        <w:rPr>
          <w:rFonts w:ascii="Times New Roman" w:cs="Times New Roman" w:eastAsia="Times New Roman" w:hAnsi="Times New Roman"/>
          <w:sz w:val="21"/>
          <w:szCs w:val="21"/>
          <w:u w:val="single" w:color="auto"/>
          <w:color w:val="auto"/>
        </w:rPr>
        <w:t>Section 3.01</w:t>
      </w:r>
      <w:r>
        <w:rPr>
          <w:rFonts w:ascii="Times New Roman" w:cs="Times New Roman" w:eastAsia="Times New Roman" w:hAnsi="Times New Roman"/>
          <w:sz w:val="21"/>
          <w:szCs w:val="21"/>
          <w:color w:val="auto"/>
        </w:rPr>
        <w:t>, such assignment will result in a reduction in such compensation or payments thereafter;</w:t>
      </w:r>
    </w:p>
    <w:p>
      <w:pPr>
        <w:spacing w:after="0" w:line="145" w:lineRule="exact"/>
        <w:rPr>
          <w:rFonts w:ascii="Times New Roman" w:cs="Times New Roman" w:eastAsia="Times New Roman" w:hAnsi="Times New Roman"/>
          <w:sz w:val="21"/>
          <w:szCs w:val="21"/>
          <w:color w:val="auto"/>
        </w:rPr>
      </w:pPr>
    </w:p>
    <w:p>
      <w:pPr>
        <w:ind w:left="1700" w:hanging="456"/>
        <w:spacing w:after="0"/>
        <w:tabs>
          <w:tab w:leader="none" w:pos="170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assignment does not conflict with Applicable Laws; and</w:t>
      </w:r>
    </w:p>
    <w:p>
      <w:pPr>
        <w:spacing w:after="0" w:line="171" w:lineRule="exact"/>
        <w:rPr>
          <w:rFonts w:ascii="Times New Roman" w:cs="Times New Roman" w:eastAsia="Times New Roman" w:hAnsi="Times New Roman"/>
          <w:sz w:val="21"/>
          <w:szCs w:val="21"/>
          <w:color w:val="auto"/>
        </w:rPr>
      </w:pPr>
    </w:p>
    <w:p>
      <w:pPr>
        <w:ind w:firstLine="1244"/>
        <w:spacing w:after="0" w:line="236" w:lineRule="auto"/>
        <w:tabs>
          <w:tab w:leader="none" w:pos="1708"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assignment resulting from a Lender becoming a Non-Consenting Lender, the applicable assignee shall have consented to the applicable amendment, waiver or consent.</w:t>
      </w:r>
    </w:p>
    <w:p>
      <w:pPr>
        <w:spacing w:after="0" w:line="145" w:lineRule="exact"/>
        <w:rPr>
          <w:sz w:val="20"/>
          <w:szCs w:val="20"/>
          <w:color w:val="auto"/>
        </w:rPr>
      </w:pPr>
    </w:p>
    <w:p>
      <w:pPr>
        <w:jc w:val="both"/>
        <w:ind w:firstLine="620"/>
        <w:spacing w:after="0" w:line="236" w:lineRule="auto"/>
        <w:rPr>
          <w:sz w:val="20"/>
          <w:szCs w:val="20"/>
          <w:color w:val="auto"/>
        </w:rPr>
      </w:pPr>
      <w:r>
        <w:rPr>
          <w:rFonts w:ascii="Times New Roman" w:cs="Times New Roman" w:eastAsia="Times New Roman" w:hAnsi="Times New Roman"/>
          <w:sz w:val="21"/>
          <w:szCs w:val="21"/>
          <w:color w:val="auto"/>
        </w:rPr>
        <w:t>A Lender shall not be required to make any such assignment or delegation if, prior thereto, as a result of a waiver by such Lender or otherwise, the circumstances entitling Toro to require such assignment and delegation cease to apply.</w:t>
      </w:r>
    </w:p>
    <w:p>
      <w:pPr>
        <w:spacing w:after="0" w:line="145" w:lineRule="exact"/>
        <w:rPr>
          <w:sz w:val="20"/>
          <w:szCs w:val="20"/>
          <w:color w:val="auto"/>
        </w:rPr>
      </w:pPr>
    </w:p>
    <w:p>
      <w:pPr>
        <w:jc w:val="both"/>
        <w:ind w:firstLine="620"/>
        <w:spacing w:after="0" w:line="225" w:lineRule="auto"/>
        <w:rPr>
          <w:sz w:val="20"/>
          <w:szCs w:val="20"/>
          <w:color w:val="auto"/>
        </w:rPr>
      </w:pPr>
      <w:r>
        <w:rPr>
          <w:rFonts w:ascii="Times New Roman" w:cs="Times New Roman" w:eastAsia="Times New Roman" w:hAnsi="Times New Roman"/>
          <w:sz w:val="21"/>
          <w:szCs w:val="21"/>
          <w:color w:val="auto"/>
        </w:rPr>
        <w:t xml:space="preserve">For the purposes of this </w:t>
      </w:r>
      <w:r>
        <w:rPr>
          <w:rFonts w:ascii="Times New Roman" w:cs="Times New Roman" w:eastAsia="Times New Roman" w:hAnsi="Times New Roman"/>
          <w:sz w:val="21"/>
          <w:szCs w:val="21"/>
          <w:u w:val="single" w:color="auto"/>
          <w:color w:val="auto"/>
        </w:rPr>
        <w:t>Section 11.13</w:t>
      </w:r>
      <w:r>
        <w:rPr>
          <w:rFonts w:ascii="Times New Roman" w:cs="Times New Roman" w:eastAsia="Times New Roman" w:hAnsi="Times New Roman"/>
          <w:sz w:val="21"/>
          <w:szCs w:val="21"/>
          <w:color w:val="auto"/>
        </w:rPr>
        <w:t xml:space="preserve">, a “Non-Consenting Lender” means a Lender that fails to approve an amendment, waiver or consent requested by Toro that (a) requires the approval of all Lenders or all affected Lenders in accordance with the terms of </w:t>
      </w:r>
      <w:r>
        <w:rPr>
          <w:rFonts w:ascii="Times New Roman" w:cs="Times New Roman" w:eastAsia="Times New Roman" w:hAnsi="Times New Roman"/>
          <w:sz w:val="21"/>
          <w:szCs w:val="21"/>
          <w:u w:val="single" w:color="auto"/>
          <w:color w:val="auto"/>
        </w:rPr>
        <w:t>Section 11.01</w:t>
      </w:r>
      <w:r>
        <w:rPr>
          <w:rFonts w:ascii="Times New Roman" w:cs="Times New Roman" w:eastAsia="Times New Roman" w:hAnsi="Times New Roman"/>
          <w:sz w:val="21"/>
          <w:szCs w:val="21"/>
          <w:color w:val="auto"/>
        </w:rPr>
        <w:t xml:space="preserve"> and (b) has been approved by the Required Lenders.</w:t>
      </w:r>
    </w:p>
    <w:p>
      <w:pPr>
        <w:spacing w:after="0" w:line="144" w:lineRule="exact"/>
        <w:rPr>
          <w:sz w:val="20"/>
          <w:szCs w:val="20"/>
          <w:color w:val="auto"/>
        </w:rPr>
      </w:pPr>
    </w:p>
    <w:p>
      <w:pPr>
        <w:ind w:left="620"/>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11.14</w:t>
      </w:r>
      <w:r>
        <w:rPr>
          <w:sz w:val="20"/>
          <w:szCs w:val="20"/>
          <w:color w:val="auto"/>
        </w:rPr>
        <w:tab/>
      </w:r>
      <w:r>
        <w:rPr>
          <w:rFonts w:ascii="Times New Roman" w:cs="Times New Roman" w:eastAsia="Times New Roman" w:hAnsi="Times New Roman"/>
          <w:sz w:val="20"/>
          <w:szCs w:val="20"/>
          <w:b w:val="1"/>
          <w:bCs w:val="1"/>
          <w:color w:val="auto"/>
        </w:rPr>
        <w:t>Governing Law; Jurisdiction; Etc.</w:t>
      </w:r>
    </w:p>
    <w:p>
      <w:pPr>
        <w:spacing w:after="0" w:line="176" w:lineRule="exact"/>
        <w:rPr>
          <w:sz w:val="20"/>
          <w:szCs w:val="20"/>
          <w:color w:val="auto"/>
        </w:rPr>
      </w:pPr>
    </w:p>
    <w:p>
      <w:pPr>
        <w:jc w:val="both"/>
        <w:ind w:firstLine="1244"/>
        <w:spacing w:after="0" w:line="215" w:lineRule="auto"/>
        <w:tabs>
          <w:tab w:leader="none" w:pos="1780"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49" w:lineRule="exact"/>
        <w:rPr>
          <w:rFonts w:ascii="Times New Roman" w:cs="Times New Roman" w:eastAsia="Times New Roman" w:hAnsi="Times New Roman"/>
          <w:sz w:val="21"/>
          <w:szCs w:val="21"/>
          <w:color w:val="auto"/>
        </w:rPr>
      </w:pPr>
    </w:p>
    <w:p>
      <w:pPr>
        <w:jc w:val="both"/>
        <w:ind w:firstLine="1244"/>
        <w:spacing w:after="0" w:line="221" w:lineRule="auto"/>
        <w:tabs>
          <w:tab w:leader="none" w:pos="2127"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EACH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122</w:t>
      </w:r>
    </w:p>
    <w:p>
      <w:pPr>
        <w:sectPr>
          <w:pgSz w:w="11900" w:h="16838" w:orient="portrait"/>
          <w:cols w:equalWidth="0" w:num="1">
            <w:col w:w="11240"/>
          </w:cols>
          <w:pgMar w:left="320" w:top="1342" w:right="339" w:bottom="1440" w:gutter="0" w:footer="0" w:header="0"/>
        </w:sectPr>
      </w:pPr>
    </w:p>
    <w:bookmarkStart w:id="192" w:name="page193"/>
    <w:bookmarkEnd w:id="192"/>
    <w:p>
      <w:pPr>
        <w:jc w:val="both"/>
        <w:spacing w:after="0" w:line="214" w:lineRule="auto"/>
        <w:rPr>
          <w:sz w:val="20"/>
          <w:szCs w:val="20"/>
          <w:color w:val="auto"/>
        </w:rPr>
      </w:pPr>
      <w:r>
        <w:rPr>
          <w:rFonts w:ascii="Times New Roman" w:cs="Times New Roman" w:eastAsia="Times New Roman" w:hAnsi="Times New Roman"/>
          <w:sz w:val="21"/>
          <w:szCs w:val="21"/>
          <w:color w:val="auto"/>
        </w:rPr>
        <w:t>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BORROWER OR ANY OTHER LOAN PARTY OR ITS PROPERTIES IN THE COURTS OF ANY JURISDICTION.</w:t>
      </w:r>
    </w:p>
    <w:p>
      <w:pPr>
        <w:spacing w:after="0" w:line="147" w:lineRule="exact"/>
        <w:rPr>
          <w:sz w:val="20"/>
          <w:szCs w:val="20"/>
          <w:color w:val="auto"/>
        </w:rPr>
      </w:pPr>
    </w:p>
    <w:p>
      <w:pPr>
        <w:jc w:val="both"/>
        <w:ind w:firstLine="1244"/>
        <w:spacing w:after="0" w:line="214" w:lineRule="auto"/>
        <w:tabs>
          <w:tab w:leader="none" w:pos="1832"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VENUE</w:t>
      </w:r>
      <w:r>
        <w:rPr>
          <w:rFonts w:ascii="Times New Roman" w:cs="Times New Roman" w:eastAsia="Times New Roman" w:hAnsi="Times New Roman"/>
          <w:sz w:val="21"/>
          <w:szCs w:val="21"/>
          <w:color w:val="auto"/>
        </w:rPr>
        <w:t>. EACH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46" w:lineRule="exact"/>
        <w:rPr>
          <w:rFonts w:ascii="Times New Roman" w:cs="Times New Roman" w:eastAsia="Times New Roman" w:hAnsi="Times New Roman"/>
          <w:sz w:val="21"/>
          <w:szCs w:val="21"/>
          <w:color w:val="auto"/>
        </w:rPr>
      </w:pPr>
    </w:p>
    <w:p>
      <w:pPr>
        <w:jc w:val="both"/>
        <w:ind w:firstLine="1244"/>
        <w:spacing w:after="0" w:line="237" w:lineRule="auto"/>
        <w:tabs>
          <w:tab w:leader="none" w:pos="171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EACH PARTY HERETO IRREVOCABLY CONSENTS TO SERVICE OF PROCESS IN THE MANNER PROVIDED FOR NOTICES IN SECTION 11.02. NOTHING IN THIS AGREEMENT WILL AFFECT THE RIGHT OF ANY PARTY HERETO TO SERVE PROCESS IN ANY OTHER MANNER PERMITTED BY APPLICABLE LAW.</w:t>
      </w:r>
    </w:p>
    <w:p>
      <w:pPr>
        <w:spacing w:after="0" w:line="142" w:lineRule="exact"/>
        <w:rPr>
          <w:sz w:val="20"/>
          <w:szCs w:val="20"/>
          <w:color w:val="auto"/>
        </w:rPr>
      </w:pPr>
    </w:p>
    <w:p>
      <w:pPr>
        <w:jc w:val="both"/>
        <w:ind w:firstLine="620"/>
        <w:spacing w:after="0" w:line="211" w:lineRule="auto"/>
        <w:rPr>
          <w:sz w:val="20"/>
          <w:szCs w:val="20"/>
          <w:color w:val="auto"/>
        </w:rPr>
      </w:pPr>
      <w:r>
        <w:rPr>
          <w:rFonts w:ascii="Times New Roman" w:cs="Times New Roman" w:eastAsia="Times New Roman" w:hAnsi="Times New Roman"/>
          <w:sz w:val="21"/>
          <w:szCs w:val="21"/>
          <w:b w:val="1"/>
          <w:bCs w:val="1"/>
          <w:color w:val="auto"/>
        </w:rPr>
        <w:t>11.15 Waiver of Jury Trial</w:t>
      </w:r>
      <w:r>
        <w:rPr>
          <w:rFonts w:ascii="Times New Roman" w:cs="Times New Roman" w:eastAsia="Times New Roman" w:hAnsi="Times New Roman"/>
          <w:sz w:val="21"/>
          <w:szCs w:val="21"/>
          <w:color w:val="auto"/>
        </w:rPr>
        <w:t>. EACH PARTY HERETO HEREBY IRREVOCABLY WAIVES, TO THE FULLEST EXTENT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51" w:lineRule="exact"/>
        <w:rPr>
          <w:sz w:val="20"/>
          <w:szCs w:val="20"/>
          <w:color w:val="auto"/>
        </w:rPr>
      </w:pPr>
    </w:p>
    <w:p>
      <w:pPr>
        <w:jc w:val="both"/>
        <w:ind w:firstLine="620"/>
        <w:spacing w:after="0" w:line="214" w:lineRule="auto"/>
        <w:rPr>
          <w:sz w:val="20"/>
          <w:szCs w:val="20"/>
          <w:color w:val="auto"/>
        </w:rPr>
      </w:pPr>
      <w:r>
        <w:rPr>
          <w:rFonts w:ascii="Times New Roman" w:cs="Times New Roman" w:eastAsia="Times New Roman" w:hAnsi="Times New Roman"/>
          <w:sz w:val="21"/>
          <w:szCs w:val="21"/>
          <w:b w:val="1"/>
          <w:bCs w:val="1"/>
          <w:color w:val="auto"/>
        </w:rPr>
        <w:t>11.16 USA PATRIOT Act Notice</w:t>
      </w:r>
      <w:r>
        <w:rPr>
          <w:rFonts w:ascii="Times New Roman" w:cs="Times New Roman" w:eastAsia="Times New Roman" w:hAnsi="Times New Roman"/>
          <w:sz w:val="21"/>
          <w:szCs w:val="21"/>
          <w:color w:val="auto"/>
        </w:rPr>
        <w:t>. Each Lender that is subject to the Act and the Administrative Agent (for itself and not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behalf of any Lender) hereby notifies the Borrowers that pursuant to the requirements of the Act,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123</w:t>
      </w:r>
    </w:p>
    <w:p>
      <w:pPr>
        <w:sectPr>
          <w:pgSz w:w="11900" w:h="16838" w:orient="portrait"/>
          <w:cols w:equalWidth="0" w:num="1">
            <w:col w:w="11240"/>
          </w:cols>
          <w:pgMar w:left="320" w:top="1342" w:right="339" w:bottom="1440" w:gutter="0" w:footer="0" w:header="0"/>
        </w:sectPr>
      </w:pPr>
    </w:p>
    <w:bookmarkStart w:id="193" w:name="page194"/>
    <w:bookmarkEnd w:id="193"/>
    <w:p>
      <w:pPr>
        <w:ind w:left="620"/>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11.17</w:t>
      </w:r>
      <w:r>
        <w:rPr>
          <w:sz w:val="20"/>
          <w:szCs w:val="20"/>
          <w:color w:val="auto"/>
        </w:rPr>
        <w:tab/>
      </w:r>
      <w:r>
        <w:rPr>
          <w:rFonts w:ascii="Times New Roman" w:cs="Times New Roman" w:eastAsia="Times New Roman" w:hAnsi="Times New Roman"/>
          <w:sz w:val="20"/>
          <w:szCs w:val="20"/>
          <w:b w:val="1"/>
          <w:bCs w:val="1"/>
          <w:color w:val="auto"/>
        </w:rPr>
        <w:t>Liability of the Borrowers.</w:t>
      </w:r>
    </w:p>
    <w:p>
      <w:pPr>
        <w:spacing w:after="0" w:line="176" w:lineRule="exact"/>
        <w:rPr>
          <w:sz w:val="20"/>
          <w:szCs w:val="20"/>
          <w:color w:val="auto"/>
        </w:rPr>
      </w:pPr>
    </w:p>
    <w:p>
      <w:pPr>
        <w:jc w:val="both"/>
        <w:ind w:firstLine="1244"/>
        <w:spacing w:after="0" w:line="212" w:lineRule="auto"/>
        <w:tabs>
          <w:tab w:leader="none" w:pos="1697"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TCC becomes a Borrower pursuant to </w:t>
      </w:r>
      <w:r>
        <w:rPr>
          <w:rFonts w:ascii="Times New Roman" w:cs="Times New Roman" w:eastAsia="Times New Roman" w:hAnsi="Times New Roman"/>
          <w:sz w:val="21"/>
          <w:szCs w:val="21"/>
          <w:u w:val="single" w:color="auto"/>
          <w:color w:val="auto"/>
        </w:rPr>
        <w:t>Section 2.17</w:t>
      </w:r>
      <w:r>
        <w:rPr>
          <w:rFonts w:ascii="Times New Roman" w:cs="Times New Roman" w:eastAsia="Times New Roman" w:hAnsi="Times New Roman"/>
          <w:sz w:val="21"/>
          <w:szCs w:val="21"/>
          <w:color w:val="auto"/>
        </w:rPr>
        <w:t>, all obligations of Toro and TCC or either one of them under this Agreement and the other Loan Documents to which they are a party, shall be joint and several obligations of Toro and TCC (each of the foregoing, a “</w:t>
      </w:r>
      <w:r>
        <w:rPr>
          <w:rFonts w:ascii="Times New Roman" w:cs="Times New Roman" w:eastAsia="Times New Roman" w:hAnsi="Times New Roman"/>
          <w:sz w:val="21"/>
          <w:szCs w:val="21"/>
          <w:u w:val="single" w:color="auto"/>
          <w:color w:val="auto"/>
        </w:rPr>
        <w:t>Joint Borrower</w:t>
      </w:r>
      <w:r>
        <w:rPr>
          <w:rFonts w:ascii="Times New Roman" w:cs="Times New Roman" w:eastAsia="Times New Roman" w:hAnsi="Times New Roman"/>
          <w:sz w:val="21"/>
          <w:szCs w:val="21"/>
          <w:color w:val="auto"/>
        </w:rPr>
        <w:t xml:space="preserve">”). Only Toro shall be liable as a guarantor under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xml:space="preserve"> hereof for the obligations of the Subsidiary Borrowers under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hereof. All obligations of the Subsidiary Borrowers (other than TCC) under this Agreement and all of the other Loan Documents shall be several and not joint, the result of which shall be that each such Subsidiary Borrower is obligated to repay only those Loans made by the Lenders to such Subsidiary Borrower and interest, fees, expenses and other obligations owing by such Subsidiary Borrower in connection with such Loans; and no Subsidiary Borrower (other than TCC) shall be liable, jointly with the Borrowers or otherwise, in respect of any Credit Extensions made to, or on behalf of, the Borrowers, or any interest, costs, fees, expenses, taxes, and indemnities related to such Credit Extensions.</w:t>
      </w:r>
    </w:p>
    <w:p>
      <w:pPr>
        <w:spacing w:after="0" w:line="147" w:lineRule="exact"/>
        <w:rPr>
          <w:rFonts w:ascii="Times New Roman" w:cs="Times New Roman" w:eastAsia="Times New Roman" w:hAnsi="Times New Roman"/>
          <w:sz w:val="21"/>
          <w:szCs w:val="21"/>
          <w:color w:val="auto"/>
        </w:rPr>
      </w:pPr>
    </w:p>
    <w:p>
      <w:pPr>
        <w:jc w:val="both"/>
        <w:ind w:firstLine="1244"/>
        <w:spacing w:after="0" w:line="221" w:lineRule="auto"/>
        <w:tabs>
          <w:tab w:leader="none" w:pos="170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TCC becomes a Borrower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each Joint Borrower agrees that no Lender shall have any responsibility to inquire into the apportionment, allocation or disposition of the proceeds of any Credit Extension as among the Joint Borrowers, and acknowledges that its liability hereunder shall not be reduced or diminished by the identity of the Joint Borrower giving or receiving of notices and other communications, making requests for, or effecting conversions or continuations of, Loans or Letters of Credit, executing and delivering certificates, or receiving or allocating disbursements from the Lenders. Each Joint Borrower acknowledges that the handling of this credit facility on a joint borrowing basis as set forth in this Agreement is solely an accommodation to Joint Borrowers and is done at their request. Each Joint Borrower agrees that no Lender shall incur any liability to any Joint Borrower as a result thereof. Each Joint Borrower represents and warrants to the Lenders that the request for joint handling of the Loans, L/C Obligations and other Obligations made hereunder was made because the Joint Borrowers are engaged in related operations and are interdependent. Each Joint Borrower expects to derive benefit, directly or indirectly, from such availability because the successful operation of Joint Borrowers is dependent on the continued successful performance of the functions of the group.</w:t>
      </w:r>
    </w:p>
    <w:p>
      <w:pPr>
        <w:spacing w:after="0" w:line="151" w:lineRule="exact"/>
        <w:rPr>
          <w:rFonts w:ascii="Times New Roman" w:cs="Times New Roman" w:eastAsia="Times New Roman" w:hAnsi="Times New Roman"/>
          <w:sz w:val="20"/>
          <w:szCs w:val="20"/>
          <w:color w:val="auto"/>
        </w:rPr>
      </w:pPr>
    </w:p>
    <w:p>
      <w:pPr>
        <w:jc w:val="both"/>
        <w:ind w:firstLine="1244"/>
        <w:spacing w:after="0" w:line="213" w:lineRule="auto"/>
        <w:tabs>
          <w:tab w:leader="none" w:pos="1817"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Borrower (including each Subsidiary Borrower) irrevocably appoints Toro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Borrower hereunder. Any acknowledgment, consent, direction, certification or other action which might otherwise be valid or effective only if given or taken by all Borrowers, or by each Borrower acting singly, shall be valid and effective if given or taken only by Toro, whether or not any such other Borrower joins therein. Any notice, demand, consent, acknowledgement, direction, certification or other communication delivered to Toro in accordance with the terms of this Agreement or any other Loan Document shall be deemed to have been delivered to each Borrower.</w:t>
      </w:r>
    </w:p>
    <w:p>
      <w:pPr>
        <w:spacing w:after="0" w:line="142" w:lineRule="exact"/>
        <w:rPr>
          <w:sz w:val="20"/>
          <w:szCs w:val="20"/>
          <w:color w:val="auto"/>
        </w:rPr>
      </w:pPr>
    </w:p>
    <w:p>
      <w:pPr>
        <w:jc w:val="both"/>
        <w:ind w:firstLine="620"/>
        <w:spacing w:after="0" w:line="216" w:lineRule="auto"/>
        <w:rPr>
          <w:sz w:val="20"/>
          <w:szCs w:val="20"/>
          <w:color w:val="auto"/>
        </w:rPr>
      </w:pPr>
      <w:r>
        <w:rPr>
          <w:rFonts w:ascii="Times New Roman" w:cs="Times New Roman" w:eastAsia="Times New Roman" w:hAnsi="Times New Roman"/>
          <w:sz w:val="21"/>
          <w:szCs w:val="21"/>
          <w:b w:val="1"/>
          <w:bCs w:val="1"/>
          <w:color w:val="auto"/>
        </w:rPr>
        <w:t>11.18 Judgment Currency</w:t>
      </w:r>
      <w:r>
        <w:rPr>
          <w:rFonts w:ascii="Times New Roman" w:cs="Times New Roman" w:eastAsia="Times New Roman" w:hAnsi="Times New Roman"/>
          <w:sz w:val="21"/>
          <w:szCs w:val="21"/>
          <w:color w:val="auto"/>
        </w:rPr>
        <w:t>. If, for the purposes of obtaining judgment in any court, it is necessary to convert a sum due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the L/C Issuer or any Lender hereunder or under the other Loan Documents shall, notwithstanding any judgment in a currency (the “</w:t>
      </w:r>
      <w:r>
        <w:rPr>
          <w:rFonts w:ascii="Times New Roman" w:cs="Times New Roman" w:eastAsia="Times New Roman" w:hAnsi="Times New Roman"/>
          <w:sz w:val="21"/>
          <w:szCs w:val="21"/>
          <w:u w:val="single" w:color="auto"/>
          <w:color w:val="auto"/>
        </w:rPr>
        <w:t>Judgment Currency</w:t>
      </w:r>
      <w:r>
        <w:rPr>
          <w:rFonts w:ascii="Times New Roman" w:cs="Times New Roman" w:eastAsia="Times New Roman" w:hAnsi="Times New Roman"/>
          <w:sz w:val="21"/>
          <w:szCs w:val="21"/>
          <w:color w:val="auto"/>
        </w:rPr>
        <w:t>”) other than that in which such sum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124</w:t>
      </w:r>
    </w:p>
    <w:p>
      <w:pPr>
        <w:sectPr>
          <w:pgSz w:w="11900" w:h="16838" w:orient="portrait"/>
          <w:cols w:equalWidth="0" w:num="1">
            <w:col w:w="11240"/>
          </w:cols>
          <w:pgMar w:left="320" w:top="1338" w:right="339" w:bottom="1440" w:gutter="0" w:footer="0" w:header="0"/>
        </w:sectPr>
      </w:pPr>
    </w:p>
    <w:bookmarkStart w:id="194" w:name="page195"/>
    <w:bookmarkEnd w:id="194"/>
    <w:p>
      <w:pPr>
        <w:jc w:val="both"/>
        <w:spacing w:after="0" w:line="211" w:lineRule="auto"/>
        <w:rPr>
          <w:sz w:val="20"/>
          <w:szCs w:val="20"/>
          <w:color w:val="auto"/>
        </w:rPr>
      </w:pPr>
      <w:r>
        <w:rPr>
          <w:rFonts w:ascii="Times New Roman" w:cs="Times New Roman" w:eastAsia="Times New Roman" w:hAnsi="Times New Roman"/>
          <w:sz w:val="21"/>
          <w:szCs w:val="21"/>
          <w:color w:val="auto"/>
        </w:rPr>
        <w:t>denominated in accordance with the applicable provisions of this Agreement (the “</w:t>
      </w:r>
      <w:r>
        <w:rPr>
          <w:rFonts w:ascii="Times New Roman" w:cs="Times New Roman" w:eastAsia="Times New Roman" w:hAnsi="Times New Roman"/>
          <w:sz w:val="21"/>
          <w:szCs w:val="21"/>
          <w:u w:val="single" w:color="auto"/>
          <w:color w:val="auto"/>
        </w:rPr>
        <w:t>Agreement Currency</w:t>
      </w:r>
      <w:r>
        <w:rPr>
          <w:rFonts w:ascii="Times New Roman" w:cs="Times New Roman" w:eastAsia="Times New Roman" w:hAnsi="Times New Roman"/>
          <w:sz w:val="21"/>
          <w:szCs w:val="21"/>
          <w:color w:val="auto"/>
        </w:rPr>
        <w:t>”), be discharged only to the extent that on the Business Day following receipt by the Administrative Agent, the L/C Issuer or such Lender, as the case may be, of any sum adjudged to be so due in the Judgment Currency, the Administrative Agent, the L/C Issuer or such Lender, as the case may be, may in accordance with normal banking procedures purchase the Agreement Currency with the Judgment Currency. If the amount of the Agreement Currency so purchased is less than the sum originally due to the Administrative Agent, the L/C Issuer or any Lender from any Borrower in the Agreement Currency, such Borrower agrees, as a separate obligation and notwithstanding any such judgment, to indemnify the Administrative Agent, the L/C Issuer or such Lender, as the case may be, against such loss. If the amount of the Agreement Currency so purchased is greater than the sum originally due to the Administrative Agent, the L/C Issuer or any Lender in such currency, the Administrative Agent, the L/C Issuer or such Lender, as the case may be, agrees to return the amount of any excess to such Borrower (or to any other Person who may be entitled thereto under Applicable Law).</w:t>
      </w:r>
    </w:p>
    <w:p>
      <w:pPr>
        <w:spacing w:after="0" w:line="147" w:lineRule="exact"/>
        <w:rPr>
          <w:sz w:val="20"/>
          <w:szCs w:val="20"/>
          <w:color w:val="auto"/>
        </w:rPr>
      </w:pPr>
    </w:p>
    <w:p>
      <w:pPr>
        <w:jc w:val="both"/>
        <w:ind w:firstLine="620"/>
        <w:spacing w:after="0" w:line="213" w:lineRule="auto"/>
        <w:rPr>
          <w:sz w:val="20"/>
          <w:szCs w:val="20"/>
          <w:color w:val="auto"/>
        </w:rPr>
      </w:pPr>
      <w:r>
        <w:rPr>
          <w:rFonts w:ascii="Times New Roman" w:cs="Times New Roman" w:eastAsia="Times New Roman" w:hAnsi="Times New Roman"/>
          <w:sz w:val="21"/>
          <w:szCs w:val="21"/>
          <w:b w:val="1"/>
          <w:bCs w:val="1"/>
          <w:color w:val="auto"/>
        </w:rPr>
        <w:t>11.19 Automatic Debits of Principal, Interest, Fees</w:t>
      </w:r>
      <w:r>
        <w:rPr>
          <w:rFonts w:ascii="Times New Roman" w:cs="Times New Roman" w:eastAsia="Times New Roman" w:hAnsi="Times New Roman"/>
          <w:sz w:val="21"/>
          <w:szCs w:val="21"/>
          <w:color w:val="auto"/>
        </w:rPr>
        <w:t>. With respect to any principal, any interest, the Facility Fee,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arrangement fee, any letter of credit fee or any other fee, or any other cost or expense (including Attorney Costs) due and payable to the Administrative Agent, Bank of America, the Swing Line Lender, the L/C Issuer or any Arranger under the Loan Documents, the Borrowers hereby irrevocably authorize Bank of America to debit any deposit account of any Borrower with Bank of America in an amount such that the aggregate amount debited from all such deposit accounts does not exceed such principal, interest, fee or other cost or expense. If there are insufficient funds in such deposit accounts to cover the amount of the fee or other cost or expense then due, such debits will be reversed (in whole or in part, in Bank of America’s sole discretion) and such amount not debited shall be deemed to be unpaid. No such debit under this Section shall be deemed a set-off.</w:t>
      </w:r>
    </w:p>
    <w:p>
      <w:pPr>
        <w:spacing w:after="0" w:line="146"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21"/>
          <w:szCs w:val="21"/>
          <w:b w:val="1"/>
          <w:bCs w:val="1"/>
          <w:color w:val="auto"/>
        </w:rPr>
        <w:t>11.20 Termination of Existing Term Loan Credit Agreement</w:t>
      </w:r>
      <w:r>
        <w:rPr>
          <w:rFonts w:ascii="Times New Roman" w:cs="Times New Roman" w:eastAsia="Times New Roman" w:hAnsi="Times New Roman"/>
          <w:sz w:val="21"/>
          <w:szCs w:val="21"/>
          <w:color w:val="auto"/>
        </w:rPr>
        <w:t>. In connection with the delivery of evidence of termination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Existing Term Loan Credit Agreement required as a condition to the effectiveness of this Agreement pursuant to Section 4.01(a)(x), each of the Lenders, upon delivery of such evidence, in its capacity as a Lender under the Existing Term Loan Credit Agreement, waives any notice requirement under the Existing Term Loan Credit Agreement with which the Borrowers would otherwise be obligated to comply in order to terminate the Existing Term Loan Credit Agreement.</w:t>
      </w:r>
    </w:p>
    <w:p>
      <w:pPr>
        <w:spacing w:after="0" w:line="144" w:lineRule="exact"/>
        <w:rPr>
          <w:sz w:val="20"/>
          <w:szCs w:val="20"/>
          <w:color w:val="auto"/>
        </w:rPr>
      </w:pPr>
    </w:p>
    <w:p>
      <w:pPr>
        <w:jc w:val="both"/>
        <w:ind w:firstLine="620"/>
        <w:spacing w:after="0" w:line="210" w:lineRule="auto"/>
        <w:rPr>
          <w:sz w:val="20"/>
          <w:szCs w:val="20"/>
          <w:color w:val="auto"/>
        </w:rPr>
      </w:pPr>
      <w:r>
        <w:rPr>
          <w:rFonts w:ascii="Times New Roman" w:cs="Times New Roman" w:eastAsia="Times New Roman" w:hAnsi="Times New Roman"/>
          <w:sz w:val="21"/>
          <w:szCs w:val="21"/>
          <w:b w:val="1"/>
          <w:bCs w:val="1"/>
          <w:color w:val="auto"/>
        </w:rPr>
        <w:t>11.21 No Advisory or Fiduciary Responsibility</w:t>
      </w:r>
      <w:r>
        <w:rPr>
          <w:rFonts w:ascii="Times New Roman" w:cs="Times New Roman" w:eastAsia="Times New Roman" w:hAnsi="Times New Roman"/>
          <w:sz w:val="21"/>
          <w:szCs w:val="21"/>
          <w:color w:val="auto"/>
        </w:rPr>
        <w:t>. In connection with all aspects of each transaction contemplated hereby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(including in connection with any amendment, waiver or other modification hereof or of any other Loan Document), each Borrower and each other Loan Party acknowledges and agrees, and acknowledges its Affiliates’ understanding, that: (i) (A) the arranging and other services regarding this Agreement provided by the Administrative Agent and the Arrangers are arm’s-length commercial transactions between such Borrower, each other Loan Party and their respective Affiliates, on the one hand, and the Administrative Agent and the Arrangers on the other hand, (B) each of such Borrower and the other Loan Parties has consulted its own legal, accounting, regulatory and tax advisors to the extent it has deemed appropriate, and (C) such Borrower and each other Loan Party is capable of evaluating, and understands and accepts, the terms, risks and conditions of the transactions contemplated hereby and by the other Loan Documents; (ii)(A) the Administrative Agent and the Arrangers each is and has been acting solely as a principal and, except as expressly agreed in writing by the relevant parties, has not been, is not, and will not be acting as an advisor, agent or fiduciary for such Borrower, any other Loan Party or any of their respective Affiliates or any other Person and (B) neither the Administrative Agent nor the Arrangers has any obligation to such Borrower, any other Loan Party or any of their respective Affiliates with respect to the transactions contemplated hereby except those obligations expressly set forth herein and in the other Loan Documents; and (iii) the Administrative Agent and the Arrangers and their respective Affiliates may be engaged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125</w:t>
      </w:r>
    </w:p>
    <w:p>
      <w:pPr>
        <w:sectPr>
          <w:pgSz w:w="11900" w:h="16838" w:orient="portrait"/>
          <w:cols w:equalWidth="0" w:num="1">
            <w:col w:w="11240"/>
          </w:cols>
          <w:pgMar w:left="320" w:top="1342" w:right="339" w:bottom="1440" w:gutter="0" w:footer="0" w:header="0"/>
        </w:sectPr>
      </w:pPr>
    </w:p>
    <w:bookmarkStart w:id="195" w:name="page196"/>
    <w:bookmarkEnd w:id="195"/>
    <w:p>
      <w:pPr>
        <w:jc w:val="both"/>
        <w:spacing w:after="0" w:line="228" w:lineRule="auto"/>
        <w:rPr>
          <w:sz w:val="20"/>
          <w:szCs w:val="20"/>
          <w:color w:val="auto"/>
        </w:rPr>
      </w:pPr>
      <w:r>
        <w:rPr>
          <w:rFonts w:ascii="Times New Roman" w:cs="Times New Roman" w:eastAsia="Times New Roman" w:hAnsi="Times New Roman"/>
          <w:sz w:val="20"/>
          <w:szCs w:val="20"/>
          <w:color w:val="auto"/>
        </w:rPr>
        <w:t>broad range of transactions that involve interests that differ from those of such Borrower, the other Loan Parties and their respective Affiliates, and neither the Administrative Agent nor the Arrangers has any obligation to disclose any of such interests to such Borrower, any other Loan Party or any of their respective Affiliates. To the fullest extent permitted by law, each of the Borrowers and each other Loan Party hereby waives and releases any claims that it may have against the Administrative Agent or any Arranger with respect to any breach or alleged breach of agency or fiduciary duty in connection with any aspect of any transaction contemplated hereby.</w:t>
      </w:r>
    </w:p>
    <w:p>
      <w:pPr>
        <w:spacing w:after="0" w:line="144" w:lineRule="exact"/>
        <w:rPr>
          <w:sz w:val="20"/>
          <w:szCs w:val="20"/>
          <w:color w:val="auto"/>
        </w:rPr>
      </w:pPr>
    </w:p>
    <w:p>
      <w:pPr>
        <w:jc w:val="both"/>
        <w:ind w:firstLine="620"/>
        <w:spacing w:after="0" w:line="208" w:lineRule="auto"/>
        <w:rPr>
          <w:sz w:val="20"/>
          <w:szCs w:val="20"/>
          <w:color w:val="auto"/>
        </w:rPr>
      </w:pPr>
      <w:r>
        <w:rPr>
          <w:rFonts w:ascii="Times New Roman" w:cs="Times New Roman" w:eastAsia="Times New Roman" w:hAnsi="Times New Roman"/>
          <w:sz w:val="21"/>
          <w:szCs w:val="21"/>
          <w:b w:val="1"/>
          <w:bCs w:val="1"/>
          <w:color w:val="auto"/>
        </w:rPr>
        <w:t>11.22 Electronic Execution of Assignments and Certain Other Documents</w:t>
      </w:r>
      <w:r>
        <w:rPr>
          <w:rFonts w:ascii="Times New Roman" w:cs="Times New Roman" w:eastAsia="Times New Roman" w:hAnsi="Times New Roman"/>
          <w:sz w:val="21"/>
          <w:szCs w:val="21"/>
          <w:color w:val="auto"/>
        </w:rPr>
        <w:t>. This Agreement, any Loan Document and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Communication, including Communications required to be in writing, may be in the form of an Electronic Record and may be executed using Electronic Signatures. Each of the Loan Parties and each of the Administrative Agent and each Credit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Credit Parties may, at its option, create one or more copies of any Communication in the form of an imaged Electronic Record (“</w:t>
      </w:r>
      <w:r>
        <w:rPr>
          <w:rFonts w:ascii="Times New Roman" w:cs="Times New Roman" w:eastAsia="Times New Roman" w:hAnsi="Times New Roman"/>
          <w:sz w:val="21"/>
          <w:szCs w:val="21"/>
          <w:u w:val="single" w:color="auto"/>
          <w:color w:val="auto"/>
        </w:rPr>
        <w:t>Electronic Copy</w:t>
      </w:r>
      <w:r>
        <w:rPr>
          <w:rFonts w:ascii="Times New Roman" w:cs="Times New Roman" w:eastAsia="Times New Roman" w:hAnsi="Times New Roman"/>
          <w:sz w:val="21"/>
          <w:szCs w:val="21"/>
          <w:color w:val="auto"/>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the L/C Issuer nor Swing Line Lender is under any obligation to accept an Electronic Signature in any form or in any format unless expressly agreed to by such Person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without limiting the foregoing, (a) to the extent the Administrative Agent, L/C Issuer and/or Swing Line Lender has agreed to accept such Electronic Signature, the Administrative Agent and each of the Credit Parties shall be entitled to rely on any such Electronic Signature purportedly given by or on behalf of any Loan Party and/or any Credit Party without further verification and (b) upon the request of the Administrative Agent or any Credit Party, any Electronic Signature shall be promptly followed by such manually executed counterpart.</w:t>
      </w:r>
    </w:p>
    <w:p>
      <w:pPr>
        <w:spacing w:after="0" w:line="155" w:lineRule="exact"/>
        <w:rPr>
          <w:sz w:val="20"/>
          <w:szCs w:val="20"/>
          <w:color w:val="auto"/>
        </w:rPr>
      </w:pPr>
    </w:p>
    <w:p>
      <w:pPr>
        <w:jc w:val="both"/>
        <w:ind w:firstLine="620"/>
        <w:spacing w:after="0" w:line="212" w:lineRule="auto"/>
        <w:rPr>
          <w:sz w:val="20"/>
          <w:szCs w:val="20"/>
          <w:color w:val="auto"/>
        </w:rPr>
      </w:pPr>
      <w:r>
        <w:rPr>
          <w:rFonts w:ascii="Times New Roman" w:cs="Times New Roman" w:eastAsia="Times New Roman" w:hAnsi="Times New Roman"/>
          <w:sz w:val="21"/>
          <w:szCs w:val="21"/>
          <w:color w:val="auto"/>
        </w:rPr>
        <w:t>Neither the Administrative Agent, L/C Issuer nor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 Line Lender’s reliance on any Electronic Signature transmitted by telecopy, emailed .pdf or any other electronic means). The Administrative Agent, L/C Issuer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126</w:t>
      </w:r>
    </w:p>
    <w:p>
      <w:pPr>
        <w:sectPr>
          <w:pgSz w:w="11900" w:h="16838" w:orient="portrait"/>
          <w:cols w:equalWidth="0" w:num="1">
            <w:col w:w="11240"/>
          </w:cols>
          <w:pgMar w:left="320" w:top="1342" w:right="339" w:bottom="1440" w:gutter="0" w:footer="0" w:header="0"/>
        </w:sectPr>
      </w:pPr>
    </w:p>
    <w:bookmarkStart w:id="196" w:name="page197"/>
    <w:bookmarkEnd w:id="196"/>
    <w:p>
      <w:pPr>
        <w:jc w:val="both"/>
        <w:ind w:firstLine="620"/>
        <w:spacing w:after="0" w:line="215" w:lineRule="auto"/>
        <w:rPr>
          <w:sz w:val="20"/>
          <w:szCs w:val="20"/>
          <w:color w:val="auto"/>
        </w:rPr>
      </w:pPr>
      <w:r>
        <w:rPr>
          <w:rFonts w:ascii="Times New Roman" w:cs="Times New Roman" w:eastAsia="Times New Roman" w:hAnsi="Times New Roman"/>
          <w:sz w:val="21"/>
          <w:szCs w:val="21"/>
          <w:color w:val="auto"/>
        </w:rPr>
        <w:t>Each of the Loan Parties and each Credit Party hereby waives (i) any argument, defense or right to contest the legal effect, validity or enforceability of this Agreement and any other Loan Document based solely on the lack of paper original copies of this Agreement and/or such other Loan Document, and (ii) waives any claim against the Administrative Agent, each Credit Party and each Related Party for any liabilities arising solely from the Administrative Agent’s and/or any Credit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45" w:lineRule="exact"/>
        <w:rPr>
          <w:sz w:val="20"/>
          <w:szCs w:val="20"/>
          <w:color w:val="auto"/>
        </w:rPr>
      </w:pPr>
    </w:p>
    <w:p>
      <w:pPr>
        <w:jc w:val="both"/>
        <w:ind w:firstLine="620"/>
        <w:spacing w:after="0" w:line="221" w:lineRule="auto"/>
        <w:rPr>
          <w:sz w:val="20"/>
          <w:szCs w:val="20"/>
          <w:color w:val="auto"/>
        </w:rPr>
      </w:pPr>
      <w:r>
        <w:rPr>
          <w:rFonts w:ascii="Times New Roman" w:cs="Times New Roman" w:eastAsia="Times New Roman" w:hAnsi="Times New Roman"/>
          <w:sz w:val="21"/>
          <w:szCs w:val="21"/>
          <w:b w:val="1"/>
          <w:bCs w:val="1"/>
          <w:color w:val="auto"/>
        </w:rPr>
        <w:t>11.23 ENTIRE AGREEMENT</w:t>
      </w:r>
      <w:r>
        <w:rPr>
          <w:rFonts w:ascii="Times New Roman" w:cs="Times New Roman" w:eastAsia="Times New Roman" w:hAnsi="Times New Roman"/>
          <w:sz w:val="21"/>
          <w:szCs w:val="21"/>
          <w:color w:val="auto"/>
        </w:rPr>
        <w:t>. THIS AGREEMENT AND THE OTHER LOAN DOCUMENTS REPRESENT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FINAL AGREEMENT AMONG THE PARTIES AND MAY NOT BE CONTRADICTED BY EVIDENCE OF PRIOR, CONTEMPORANEOUS, OR SUBSEQUENT ORAL AGREEMENTS OF THE PARTIES. THERE ARE NO UNWRITTEN ORAL AGREEMENTS AMONG THE PARTIES.</w:t>
      </w:r>
    </w:p>
    <w:p>
      <w:pPr>
        <w:spacing w:after="0" w:line="144" w:lineRule="exact"/>
        <w:rPr>
          <w:sz w:val="20"/>
          <w:szCs w:val="20"/>
          <w:color w:val="auto"/>
        </w:rPr>
      </w:pPr>
    </w:p>
    <w:p>
      <w:pPr>
        <w:jc w:val="both"/>
        <w:ind w:firstLine="620"/>
        <w:spacing w:after="0" w:line="218" w:lineRule="auto"/>
        <w:rPr>
          <w:sz w:val="20"/>
          <w:szCs w:val="20"/>
          <w:color w:val="auto"/>
        </w:rPr>
      </w:pPr>
      <w:r>
        <w:rPr>
          <w:rFonts w:ascii="Times New Roman" w:cs="Times New Roman" w:eastAsia="Times New Roman" w:hAnsi="Times New Roman"/>
          <w:sz w:val="21"/>
          <w:szCs w:val="21"/>
          <w:b w:val="1"/>
          <w:bCs w:val="1"/>
          <w:color w:val="auto"/>
        </w:rPr>
        <w:t>11.24 Acknowledgement and Consent to Bail-In of Affected Financial Institutions</w:t>
      </w:r>
      <w:r>
        <w:rPr>
          <w:rFonts w:ascii="Times New Roman" w:cs="Times New Roman" w:eastAsia="Times New Roman" w:hAnsi="Times New Roman"/>
          <w:sz w:val="21"/>
          <w:szCs w:val="21"/>
          <w:color w:val="auto"/>
        </w:rPr>
        <w:t>. Notwithstanding anything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48" w:lineRule="exact"/>
        <w:rPr>
          <w:sz w:val="20"/>
          <w:szCs w:val="20"/>
          <w:color w:val="auto"/>
        </w:rPr>
      </w:pPr>
    </w:p>
    <w:p>
      <w:pPr>
        <w:ind w:firstLine="1244"/>
        <w:spacing w:after="0" w:line="236" w:lineRule="auto"/>
        <w:tabs>
          <w:tab w:leader="none" w:pos="1761"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145" w:lineRule="exact"/>
        <w:rPr>
          <w:rFonts w:ascii="Times New Roman" w:cs="Times New Roman" w:eastAsia="Times New Roman" w:hAnsi="Times New Roman"/>
          <w:sz w:val="21"/>
          <w:szCs w:val="21"/>
          <w:color w:val="auto"/>
        </w:rPr>
      </w:pPr>
    </w:p>
    <w:p>
      <w:pPr>
        <w:ind w:left="1700" w:hanging="456"/>
        <w:spacing w:after="0"/>
        <w:tabs>
          <w:tab w:leader="none" w:pos="1700"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effects of any Bail-In Action on any such liability, including, if applicable:</w:t>
      </w:r>
    </w:p>
    <w:p>
      <w:pPr>
        <w:spacing w:after="0" w:line="171" w:lineRule="exact"/>
        <w:rPr>
          <w:rFonts w:ascii="Times New Roman" w:cs="Times New Roman" w:eastAsia="Times New Roman" w:hAnsi="Times New Roman"/>
          <w:sz w:val="21"/>
          <w:szCs w:val="21"/>
          <w:color w:val="auto"/>
        </w:rPr>
      </w:pPr>
    </w:p>
    <w:p>
      <w:pPr>
        <w:ind w:left="2260" w:hanging="396"/>
        <w:spacing w:after="0"/>
        <w:tabs>
          <w:tab w:leader="none" w:pos="2260"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full or in part or cancellation of any such liability;</w:t>
      </w:r>
    </w:p>
    <w:p>
      <w:pPr>
        <w:spacing w:after="0" w:line="171" w:lineRule="exact"/>
        <w:rPr>
          <w:rFonts w:ascii="Times New Roman" w:cs="Times New Roman" w:eastAsia="Times New Roman" w:hAnsi="Times New Roman"/>
          <w:sz w:val="21"/>
          <w:szCs w:val="21"/>
          <w:color w:val="auto"/>
        </w:rPr>
      </w:pPr>
    </w:p>
    <w:p>
      <w:pPr>
        <w:jc w:val="both"/>
        <w:ind w:firstLine="1864"/>
        <w:spacing w:after="0" w:line="220" w:lineRule="auto"/>
        <w:tabs>
          <w:tab w:leader="none" w:pos="2407"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8" w:lineRule="exact"/>
        <w:rPr>
          <w:rFonts w:ascii="Times New Roman" w:cs="Times New Roman" w:eastAsia="Times New Roman" w:hAnsi="Times New Roman"/>
          <w:sz w:val="21"/>
          <w:szCs w:val="21"/>
          <w:color w:val="auto"/>
        </w:rPr>
      </w:pPr>
    </w:p>
    <w:p>
      <w:pPr>
        <w:ind w:firstLine="1864"/>
        <w:spacing w:after="0" w:line="236" w:lineRule="auto"/>
        <w:tabs>
          <w:tab w:leader="none" w:pos="2545"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variation of the terms of such liability in connection with the exercise of the Write-Down and Conversion Powers of the applicable Resolution Authority.</w:t>
      </w:r>
    </w:p>
    <w:p>
      <w:pPr>
        <w:spacing w:after="0" w:line="141" w:lineRule="exact"/>
        <w:rPr>
          <w:sz w:val="20"/>
          <w:szCs w:val="20"/>
          <w:color w:val="auto"/>
        </w:rPr>
      </w:pPr>
    </w:p>
    <w:p>
      <w:pPr>
        <w:jc w:val="both"/>
        <w:ind w:firstLine="620"/>
        <w:spacing w:after="0" w:line="213" w:lineRule="auto"/>
        <w:rPr>
          <w:sz w:val="20"/>
          <w:szCs w:val="20"/>
          <w:color w:val="auto"/>
        </w:rPr>
      </w:pPr>
      <w:r>
        <w:rPr>
          <w:rFonts w:ascii="Times New Roman" w:cs="Times New Roman" w:eastAsia="Times New Roman" w:hAnsi="Times New Roman"/>
          <w:sz w:val="21"/>
          <w:szCs w:val="21"/>
          <w:b w:val="1"/>
          <w:bCs w:val="1"/>
          <w:color w:val="auto"/>
        </w:rPr>
        <w:t>11.25 Acknowledgement Regarding Any Supported QFCs</w:t>
      </w:r>
      <w:r>
        <w:rPr>
          <w:rFonts w:ascii="Times New Roman" w:cs="Times New Roman" w:eastAsia="Times New Roman" w:hAnsi="Times New Roman"/>
          <w:sz w:val="21"/>
          <w:szCs w:val="21"/>
          <w:color w:val="auto"/>
        </w:rPr>
        <w:t>. To the extent that the Loan Documents provide support,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through a guarantee or otherwise, for any Swap Contract or any other agreement or instrument that is a QFC (such support, “</w:t>
      </w:r>
      <w:r>
        <w:rPr>
          <w:rFonts w:ascii="Times New Roman" w:cs="Times New Roman" w:eastAsia="Times New Roman" w:hAnsi="Times New Roman"/>
          <w:sz w:val="21"/>
          <w:szCs w:val="21"/>
          <w:u w:val="single" w:color="auto"/>
          <w:color w:val="auto"/>
        </w:rPr>
        <w:t>QFC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Credit Support</w:t>
      </w:r>
      <w:r>
        <w:rPr>
          <w:rFonts w:ascii="Times New Roman" w:cs="Times New Roman" w:eastAsia="Times New Roman" w:hAnsi="Times New Roman"/>
          <w:sz w:val="21"/>
          <w:szCs w:val="21"/>
          <w:color w:val="auto"/>
        </w:rPr>
        <w:t>”, and each such QFC, a “</w:t>
      </w:r>
      <w:r>
        <w:rPr>
          <w:rFonts w:ascii="Times New Roman" w:cs="Times New Roman" w:eastAsia="Times New Roman" w:hAnsi="Times New Roman"/>
          <w:sz w:val="21"/>
          <w:szCs w:val="21"/>
          <w:u w:val="single" w:color="auto"/>
          <w:color w:val="auto"/>
        </w:rPr>
        <w:t>Supported QFC</w:t>
      </w:r>
      <w:r>
        <w:rPr>
          <w:rFonts w:ascii="Times New Roman" w:cs="Times New Roman" w:eastAsia="Times New Roman" w:hAnsi="Times New Roman"/>
          <w:sz w:val="21"/>
          <w:szCs w:val="21"/>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1"/>
          <w:szCs w:val="21"/>
          <w:u w:val="single" w:color="auto"/>
          <w:color w:val="auto"/>
        </w:rPr>
        <w:t>U.S. Special Resolution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Regimes</w:t>
      </w:r>
      <w:r>
        <w:rPr>
          <w:rFonts w:ascii="Times New Roman" w:cs="Times New Roman" w:eastAsia="Times New Roman" w:hAnsi="Times New Roman"/>
          <w:sz w:val="21"/>
          <w:szCs w:val="21"/>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127</w:t>
      </w:r>
    </w:p>
    <w:p>
      <w:pPr>
        <w:sectPr>
          <w:pgSz w:w="11900" w:h="16838" w:orient="portrait"/>
          <w:cols w:equalWidth="0" w:num="1">
            <w:col w:w="11240"/>
          </w:cols>
          <w:pgMar w:left="320" w:top="1342" w:right="339" w:bottom="1440" w:gutter="0" w:footer="0" w:header="0"/>
        </w:sectPr>
      </w:pPr>
    </w:p>
    <w:bookmarkStart w:id="197" w:name="page198"/>
    <w:bookmarkEnd w:id="197"/>
    <w:p>
      <w:pPr>
        <w:jc w:val="both"/>
        <w:ind w:firstLine="1244"/>
        <w:spacing w:after="0" w:line="210" w:lineRule="auto"/>
        <w:tabs>
          <w:tab w:leader="none" w:pos="1750"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Covered Entity that is party to a Supported QFC (each, a “</w:t>
      </w:r>
      <w:r>
        <w:rPr>
          <w:rFonts w:ascii="Times New Roman" w:cs="Times New Roman" w:eastAsia="Times New Roman" w:hAnsi="Times New Roman"/>
          <w:sz w:val="21"/>
          <w:szCs w:val="21"/>
          <w:u w:val="single" w:color="auto"/>
          <w:color w:val="auto"/>
        </w:rPr>
        <w:t>Covered Party</w:t>
      </w:r>
      <w:r>
        <w:rPr>
          <w:rFonts w:ascii="Times New Roman" w:cs="Times New Roman" w:eastAsia="Times New Roman" w:hAnsi="Times New Roman"/>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47" w:lineRule="exact"/>
        <w:rPr>
          <w:rFonts w:ascii="Times New Roman" w:cs="Times New Roman" w:eastAsia="Times New Roman" w:hAnsi="Times New Roman"/>
          <w:sz w:val="21"/>
          <w:szCs w:val="21"/>
          <w:color w:val="auto"/>
        </w:rPr>
      </w:pPr>
    </w:p>
    <w:p>
      <w:pPr>
        <w:ind w:left="1680" w:hanging="436"/>
        <w:spacing w:after="0"/>
        <w:tabs>
          <w:tab w:leader="none" w:pos="1680"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used in this </w:t>
      </w:r>
      <w:r>
        <w:rPr>
          <w:rFonts w:ascii="Times New Roman" w:cs="Times New Roman" w:eastAsia="Times New Roman" w:hAnsi="Times New Roman"/>
          <w:sz w:val="21"/>
          <w:szCs w:val="21"/>
          <w:u w:val="single" w:color="auto"/>
          <w:color w:val="auto"/>
        </w:rPr>
        <w:t>Section 11.25</w:t>
      </w:r>
      <w:r>
        <w:rPr>
          <w:rFonts w:ascii="Times New Roman" w:cs="Times New Roman" w:eastAsia="Times New Roman" w:hAnsi="Times New Roman"/>
          <w:sz w:val="21"/>
          <w:szCs w:val="21"/>
          <w:color w:val="auto"/>
        </w:rPr>
        <w:t>, the following terms have the following meanings:</w:t>
      </w:r>
    </w:p>
    <w:p>
      <w:pPr>
        <w:spacing w:after="0" w:line="171" w:lineRule="exact"/>
        <w:rPr>
          <w:rFonts w:ascii="Times New Roman" w:cs="Times New Roman" w:eastAsia="Times New Roman" w:hAnsi="Times New Roman"/>
          <w:sz w:val="21"/>
          <w:szCs w:val="21"/>
          <w:color w:val="auto"/>
        </w:rPr>
      </w:pPr>
    </w:p>
    <w:p>
      <w:pPr>
        <w:ind w:firstLine="1864"/>
        <w:spacing w:after="0" w:line="236" w:lineRule="auto"/>
        <w:tabs>
          <w:tab w:leader="none" w:pos="2379"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BHC Act Affiliate</w:t>
      </w:r>
      <w:r>
        <w:rPr>
          <w:rFonts w:ascii="Times New Roman" w:cs="Times New Roman" w:eastAsia="Times New Roman" w:hAnsi="Times New Roman"/>
          <w:sz w:val="21"/>
          <w:szCs w:val="21"/>
          <w:color w:val="auto"/>
        </w:rPr>
        <w:t>” of a party means an “affiliate” (as such term is defined under, and interpreted in accordance with, 12 U.S.C. 1841(k)) of such party.</w:t>
      </w:r>
    </w:p>
    <w:p>
      <w:pPr>
        <w:spacing w:after="0" w:line="145" w:lineRule="exact"/>
        <w:rPr>
          <w:rFonts w:ascii="Times New Roman" w:cs="Times New Roman" w:eastAsia="Times New Roman" w:hAnsi="Times New Roman"/>
          <w:sz w:val="21"/>
          <w:szCs w:val="21"/>
          <w:color w:val="auto"/>
        </w:rPr>
      </w:pPr>
    </w:p>
    <w:p>
      <w:pPr>
        <w:ind w:firstLine="1864"/>
        <w:spacing w:after="0" w:line="236" w:lineRule="auto"/>
        <w:tabs>
          <w:tab w:leader="none" w:pos="2359"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 Right</w:t>
      </w:r>
      <w:r>
        <w:rPr>
          <w:rFonts w:ascii="Times New Roman" w:cs="Times New Roman" w:eastAsia="Times New Roman" w:hAnsi="Times New Roman"/>
          <w:sz w:val="21"/>
          <w:szCs w:val="21"/>
          <w:color w:val="auto"/>
        </w:rPr>
        <w:t>” has the meaning assigned to that term in, and shall be interpreted in accordance with, 12 C.F.R. §§ 252.81, 47.2 or 382.1, as applicable.</w:t>
      </w:r>
    </w:p>
    <w:p>
      <w:pPr>
        <w:spacing w:after="0" w:line="145" w:lineRule="exact"/>
        <w:rPr>
          <w:rFonts w:ascii="Times New Roman" w:cs="Times New Roman" w:eastAsia="Times New Roman" w:hAnsi="Times New Roman"/>
          <w:sz w:val="21"/>
          <w:szCs w:val="21"/>
          <w:color w:val="auto"/>
        </w:rPr>
      </w:pPr>
    </w:p>
    <w:p>
      <w:pPr>
        <w:ind w:firstLine="1864"/>
        <w:spacing w:after="0" w:line="236" w:lineRule="auto"/>
        <w:tabs>
          <w:tab w:leader="none" w:pos="2416" w:val="left"/>
        </w:tabs>
        <w:numPr>
          <w:ilvl w:val="1"/>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QFC</w:t>
      </w:r>
      <w:r>
        <w:rPr>
          <w:rFonts w:ascii="Times New Roman" w:cs="Times New Roman" w:eastAsia="Times New Roman" w:hAnsi="Times New Roman"/>
          <w:sz w:val="21"/>
          <w:szCs w:val="21"/>
          <w:color w:val="auto"/>
        </w:rPr>
        <w:t>” has the meaning assigned to the term “qualified financial contract” in, and shall be interpreted in accordance with, 12 U.S.C. 5390(c)(8)(D).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Pages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128</w:t>
      </w:r>
    </w:p>
    <w:p>
      <w:pPr>
        <w:sectPr>
          <w:pgSz w:w="11900" w:h="16838" w:orient="portrait"/>
          <w:cols w:equalWidth="0" w:num="1">
            <w:col w:w="11240"/>
          </w:cols>
          <w:pgMar w:left="320" w:top="1342" w:right="339" w:bottom="1440" w:gutter="0" w:footer="0" w:header="0"/>
        </w:sectPr>
      </w:pPr>
    </w:p>
    <w:bookmarkStart w:id="198" w:name="page199"/>
    <w:bookmarkEnd w:id="198"/>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(to Amendment No. 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[See attached Form of Loan Notice.]</w:t>
      </w:r>
    </w:p>
    <w:p>
      <w:pPr>
        <w:sectPr>
          <w:pgSz w:w="11900" w:h="16838" w:orient="portrait"/>
          <w:cols w:equalWidth="0" w:num="1">
            <w:col w:w="9019"/>
          </w:cols>
          <w:pgMar w:left="1440" w:top="1338" w:right="1440"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21"/>
          <w:szCs w:val="21"/>
          <w:b w:val="1"/>
          <w:bCs w:val="1"/>
          <w:i w:val="1"/>
          <w:iCs w:val="1"/>
          <w:color w:val="auto"/>
        </w:rPr>
        <w:t>EXHIBIT A</w:t>
      </w:r>
    </w:p>
    <w:p>
      <w:pPr>
        <w:spacing w:after="0" w:line="17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b w:val="1"/>
          <w:bCs w:val="1"/>
          <w:color w:val="auto"/>
        </w:rPr>
        <w:t>FORM OF LOAN NOTICE</w:t>
      </w:r>
    </w:p>
    <w:p>
      <w:pPr>
        <w:spacing w:after="0" w:line="176"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1"/>
          <w:szCs w:val="21"/>
          <w:color w:val="auto"/>
        </w:rPr>
        <w:t>To:</w:t>
      </w:r>
      <w:r>
        <w:rPr>
          <w:sz w:val="20"/>
          <w:szCs w:val="20"/>
          <w:color w:val="auto"/>
        </w:rPr>
        <w:tab/>
      </w:r>
      <w:r>
        <w:rPr>
          <w:rFonts w:ascii="Times New Roman" w:cs="Times New Roman" w:eastAsia="Times New Roman" w:hAnsi="Times New Roman"/>
          <w:sz w:val="20"/>
          <w:szCs w:val="20"/>
          <w:color w:val="auto"/>
        </w:rPr>
        <w:t>Bank of America, N.A., as Administrative Agent Ladies and Gentlemen:</w:t>
      </w:r>
    </w:p>
    <w:p>
      <w:pPr>
        <w:spacing w:after="0" w:line="172"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21"/>
          <w:szCs w:val="21"/>
          <w:color w:val="auto"/>
        </w:rPr>
        <w:t>Date: ______________, ____</w:t>
      </w:r>
    </w:p>
    <w:p>
      <w:pPr>
        <w:spacing w:after="0" w:line="172" w:lineRule="exact"/>
        <w:rPr>
          <w:sz w:val="20"/>
          <w:szCs w:val="20"/>
          <w:color w:val="auto"/>
        </w:rPr>
      </w:pPr>
    </w:p>
    <w:p>
      <w:pPr>
        <w:jc w:val="both"/>
        <w:ind w:firstLine="620"/>
        <w:spacing w:after="0" w:line="217" w:lineRule="auto"/>
        <w:rPr>
          <w:sz w:val="20"/>
          <w:szCs w:val="20"/>
          <w:color w:val="auto"/>
        </w:rPr>
      </w:pPr>
      <w:r>
        <w:rPr>
          <w:rFonts w:ascii="Times New Roman" w:cs="Times New Roman" w:eastAsia="Times New Roman" w:hAnsi="Times New Roman"/>
          <w:sz w:val="21"/>
          <w:szCs w:val="21"/>
          <w:color w:val="auto"/>
        </w:rPr>
        <w:t>Reference is made to that certain Amended and Restated Credit Agreement, dated as of October 5, 2021 (as amended, restated, amended and restated, extended, supplemented or otherwise modified in writing from time to time,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the capitalized terms defined therein being used herein as therein defined), among The Toro Company (“</w:t>
      </w:r>
      <w:r>
        <w:rPr>
          <w:rFonts w:ascii="Times New Roman" w:cs="Times New Roman" w:eastAsia="Times New Roman" w:hAnsi="Times New Roman"/>
          <w:sz w:val="21"/>
          <w:szCs w:val="21"/>
          <w:u w:val="single" w:color="auto"/>
          <w:color w:val="auto"/>
        </w:rPr>
        <w:t>Toro</w:t>
      </w:r>
      <w:r>
        <w:rPr>
          <w:rFonts w:ascii="Times New Roman" w:cs="Times New Roman" w:eastAsia="Times New Roman" w:hAnsi="Times New Roman"/>
          <w:sz w:val="21"/>
          <w:szCs w:val="21"/>
          <w:color w:val="auto"/>
        </w:rPr>
        <w:t>”), Toro Luxembourg S.A.R.L., the Designated Borrowers from time to time party thereto (collectively with Toro, the “</w:t>
      </w:r>
      <w:r>
        <w:rPr>
          <w:rFonts w:ascii="Times New Roman" w:cs="Times New Roman" w:eastAsia="Times New Roman" w:hAnsi="Times New Roman"/>
          <w:sz w:val="21"/>
          <w:szCs w:val="21"/>
          <w:u w:val="single" w:color="auto"/>
          <w:color w:val="auto"/>
        </w:rPr>
        <w:t>Borrowers</w:t>
      </w:r>
      <w:r>
        <w:rPr>
          <w:rFonts w:ascii="Times New Roman" w:cs="Times New Roman" w:eastAsia="Times New Roman" w:hAnsi="Times New Roman"/>
          <w:sz w:val="21"/>
          <w:szCs w:val="21"/>
          <w:color w:val="auto"/>
        </w:rPr>
        <w:t>”), the Lenders from time to time party thereto, and Bank of America, N.A., as Administrative Agent, Swing Line Lender and L/C Issuer.</w:t>
      </w:r>
    </w:p>
    <w:p>
      <w:pPr>
        <w:spacing w:after="0" w:line="1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Toro hereby requests, on behalf of itself or a Subsidiary Borrower (select one):</w:t>
      </w:r>
    </w:p>
    <w:p>
      <w:pPr>
        <w:sectPr>
          <w:pgSz w:w="11900" w:h="16838" w:orient="portrait"/>
          <w:cols w:equalWidth="0" w:num="1">
            <w:col w:w="11240"/>
          </w:cols>
          <w:pgMar w:left="320" w:top="1336" w:right="339" w:bottom="1440" w:gutter="0" w:footer="0" w:header="0"/>
        </w:sectPr>
      </w:pPr>
    </w:p>
    <w:p>
      <w:pPr>
        <w:spacing w:after="0" w:line="190" w:lineRule="exact"/>
        <w:rPr>
          <w:sz w:val="20"/>
          <w:szCs w:val="20"/>
          <w:color w:val="auto"/>
        </w:rPr>
      </w:pPr>
    </w:p>
    <w:p>
      <w:pPr>
        <w:ind w:left="58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Revolving Credit Borrowing</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conversion or continuation 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Credit Loans</w:t>
      </w:r>
    </w:p>
    <w:p>
      <w:pPr>
        <w:spacing w:after="0" w:line="200" w:lineRule="exact"/>
        <w:rPr>
          <w:sz w:val="20"/>
          <w:szCs w:val="20"/>
          <w:color w:val="auto"/>
        </w:rPr>
      </w:pPr>
    </w:p>
    <w:p>
      <w:pPr>
        <w:sectPr>
          <w:pgSz w:w="11900" w:h="16838" w:orient="portrait"/>
          <w:cols w:equalWidth="0" w:num="3">
            <w:col w:w="5220" w:space="720"/>
            <w:col w:w="2880" w:space="240"/>
            <w:col w:w="2180"/>
          </w:cols>
          <w:pgMar w:left="320" w:top="1336" w:right="339" w:bottom="1440" w:gutter="0" w:footer="0" w:header="0"/>
          <w:type w:val="continuous"/>
        </w:sectPr>
      </w:pPr>
    </w:p>
    <w:p>
      <w:pPr>
        <w:spacing w:after="0" w:line="2" w:lineRule="exact"/>
        <w:rPr>
          <w:sz w:val="20"/>
          <w:szCs w:val="20"/>
          <w:color w:val="auto"/>
        </w:rPr>
      </w:pPr>
    </w:p>
    <w:p>
      <w:pPr>
        <w:ind w:left="58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Term Borrowing</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conversion of continuation of Term</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Loans</w:t>
      </w:r>
    </w:p>
    <w:p>
      <w:pPr>
        <w:spacing w:after="0" w:line="200" w:lineRule="exact"/>
        <w:rPr>
          <w:sz w:val="20"/>
          <w:szCs w:val="20"/>
          <w:color w:val="auto"/>
        </w:rPr>
      </w:pPr>
    </w:p>
    <w:p>
      <w:pPr>
        <w:sectPr>
          <w:pgSz w:w="11900" w:h="16838" w:orient="portrait"/>
          <w:cols w:equalWidth="0" w:num="3">
            <w:col w:w="5220" w:space="720"/>
            <w:col w:w="3360" w:space="260"/>
            <w:col w:w="1680"/>
          </w:cols>
          <w:pgMar w:left="320" w:top="1336" w:right="339" w:bottom="1440" w:gutter="0" w:footer="0" w:header="0"/>
          <w:type w:val="continuous"/>
        </w:sectPr>
      </w:pPr>
    </w:p>
    <w:p>
      <w:pPr>
        <w:spacing w:after="0" w:line="199" w:lineRule="exact"/>
        <w:rPr>
          <w:sz w:val="20"/>
          <w:szCs w:val="20"/>
          <w:color w:val="auto"/>
        </w:rPr>
      </w:pPr>
    </w:p>
    <w:p>
      <w:pPr>
        <w:ind w:left="980" w:hanging="356"/>
        <w:spacing w:after="0"/>
        <w:tabs>
          <w:tab w:leader="none" w:pos="98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behalf of ______________________________ [</w:t>
      </w:r>
      <w:r>
        <w:rPr>
          <w:rFonts w:ascii="Times New Roman" w:cs="Times New Roman" w:eastAsia="Times New Roman" w:hAnsi="Times New Roman"/>
          <w:sz w:val="21"/>
          <w:szCs w:val="21"/>
          <w:i w:val="1"/>
          <w:iCs w:val="1"/>
          <w:color w:val="auto"/>
        </w:rPr>
        <w:t>insert name of applicable Borrower</w:t>
      </w:r>
      <w:r>
        <w:rPr>
          <w:rFonts w:ascii="Times New Roman" w:cs="Times New Roman" w:eastAsia="Times New Roman" w:hAnsi="Times New Roman"/>
          <w:sz w:val="21"/>
          <w:szCs w:val="21"/>
          <w:color w:val="auto"/>
        </w:rPr>
        <w:t>].</w:t>
      </w:r>
    </w:p>
    <w:p>
      <w:pPr>
        <w:spacing w:after="0" w:line="175" w:lineRule="exact"/>
        <w:rPr>
          <w:rFonts w:ascii="Times New Roman" w:cs="Times New Roman" w:eastAsia="Times New Roman" w:hAnsi="Times New Roman"/>
          <w:sz w:val="21"/>
          <w:szCs w:val="21"/>
          <w:color w:val="auto"/>
        </w:rPr>
      </w:pPr>
    </w:p>
    <w:p>
      <w:pPr>
        <w:ind w:left="980" w:hanging="356"/>
        <w:spacing w:after="0"/>
        <w:tabs>
          <w:tab w:leader="none" w:pos="98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_______________________ (a Business Day).</w:t>
      </w:r>
    </w:p>
    <w:p>
      <w:pPr>
        <w:spacing w:after="0" w:line="171" w:lineRule="exact"/>
        <w:rPr>
          <w:rFonts w:ascii="Times New Roman" w:cs="Times New Roman" w:eastAsia="Times New Roman" w:hAnsi="Times New Roman"/>
          <w:sz w:val="21"/>
          <w:szCs w:val="21"/>
          <w:color w:val="auto"/>
        </w:rPr>
      </w:pPr>
    </w:p>
    <w:p>
      <w:pPr>
        <w:ind w:left="980" w:hanging="356"/>
        <w:spacing w:after="0"/>
        <w:tabs>
          <w:tab w:leader="none" w:pos="98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amount of ______________________.</w:t>
      </w:r>
    </w:p>
    <w:p>
      <w:pPr>
        <w:spacing w:after="0" w:line="171" w:lineRule="exact"/>
        <w:rPr>
          <w:rFonts w:ascii="Times New Roman" w:cs="Times New Roman" w:eastAsia="Times New Roman" w:hAnsi="Times New Roman"/>
          <w:sz w:val="21"/>
          <w:szCs w:val="21"/>
          <w:color w:val="auto"/>
        </w:rPr>
      </w:pPr>
    </w:p>
    <w:p>
      <w:pPr>
        <w:ind w:left="980" w:hanging="356"/>
        <w:spacing w:after="0"/>
        <w:tabs>
          <w:tab w:leader="none" w:pos="98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Comprised of ________________________ [Type of Loan requested].</w:t>
      </w:r>
    </w:p>
    <w:p>
      <w:pPr>
        <w:spacing w:after="0" w:line="171" w:lineRule="exact"/>
        <w:rPr>
          <w:rFonts w:ascii="Times New Roman" w:cs="Times New Roman" w:eastAsia="Times New Roman" w:hAnsi="Times New Roman"/>
          <w:sz w:val="21"/>
          <w:szCs w:val="21"/>
          <w:color w:val="auto"/>
        </w:rPr>
      </w:pPr>
    </w:p>
    <w:p>
      <w:pPr>
        <w:ind w:left="980" w:hanging="356"/>
        <w:spacing w:after="0"/>
        <w:tabs>
          <w:tab w:leader="none" w:pos="98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following currency: _______________.</w:t>
      </w:r>
    </w:p>
    <w:p>
      <w:pPr>
        <w:spacing w:after="0" w:line="171" w:lineRule="exact"/>
        <w:rPr>
          <w:rFonts w:ascii="Times New Roman" w:cs="Times New Roman" w:eastAsia="Times New Roman" w:hAnsi="Times New Roman"/>
          <w:sz w:val="21"/>
          <w:szCs w:val="21"/>
          <w:color w:val="auto"/>
        </w:rPr>
      </w:pPr>
    </w:p>
    <w:p>
      <w:pPr>
        <w:ind w:left="980" w:hanging="356"/>
        <w:spacing w:after="0"/>
        <w:tabs>
          <w:tab w:leader="none" w:pos="98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Term SOFR Loans or Alternative Currency Term Rate Loans: with an Interest Period of ____ month[s].</w:t>
      </w:r>
    </w:p>
    <w:p>
      <w:pPr>
        <w:spacing w:after="0" w:line="172" w:lineRule="exact"/>
        <w:rPr>
          <w:sz w:val="20"/>
          <w:szCs w:val="20"/>
          <w:color w:val="auto"/>
        </w:rPr>
      </w:pPr>
    </w:p>
    <w:p>
      <w:pPr>
        <w:ind w:firstLine="620"/>
        <w:spacing w:after="0" w:line="236" w:lineRule="auto"/>
        <w:rPr>
          <w:sz w:val="20"/>
          <w:szCs w:val="20"/>
          <w:color w:val="auto"/>
        </w:rPr>
      </w:pPr>
      <w:r>
        <w:rPr>
          <w:rFonts w:ascii="Times New Roman" w:cs="Times New Roman" w:eastAsia="Times New Roman" w:hAnsi="Times New Roman"/>
          <w:sz w:val="21"/>
          <w:szCs w:val="21"/>
          <w:color w:val="auto"/>
        </w:rPr>
        <w:t xml:space="preserve">The Borrowing, if any, requested herein complies with the provisos to the first sentence of </w:t>
      </w:r>
      <w:r>
        <w:rPr>
          <w:rFonts w:ascii="Times New Roman" w:cs="Times New Roman" w:eastAsia="Times New Roman" w:hAnsi="Times New Roman"/>
          <w:sz w:val="21"/>
          <w:szCs w:val="21"/>
          <w:u w:val="single" w:color="auto"/>
          <w:color w:val="auto"/>
        </w:rPr>
        <w:t>Section 2.01</w:t>
      </w:r>
      <w:r>
        <w:rPr>
          <w:rFonts w:ascii="Times New Roman" w:cs="Times New Roman" w:eastAsia="Times New Roman" w:hAnsi="Times New Roman"/>
          <w:sz w:val="21"/>
          <w:szCs w:val="21"/>
          <w:color w:val="auto"/>
        </w:rPr>
        <w:t xml:space="preserve"> of the Credit Agreement.</w:t>
      </w:r>
    </w:p>
    <w:p>
      <w:pPr>
        <w:spacing w:after="0" w:line="14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b w:val="1"/>
          <w:bCs w:val="1"/>
          <w:color w:val="auto"/>
        </w:rPr>
        <w:t>THE TORO COMPANY</w:t>
      </w:r>
    </w:p>
    <w:p>
      <w:pPr>
        <w:spacing w:after="0" w:line="16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1"/>
          <w:szCs w:val="21"/>
          <w:color w:val="auto"/>
        </w:rPr>
        <w:t>By:</w:t>
      </w:r>
    </w:p>
    <w:p>
      <w:pPr>
        <w:ind w:left="3720"/>
        <w:spacing w:after="0" w:line="205" w:lineRule="auto"/>
        <w:rPr>
          <w:sz w:val="20"/>
          <w:szCs w:val="20"/>
          <w:color w:val="auto"/>
        </w:rPr>
      </w:pPr>
      <w:r>
        <w:rPr>
          <w:rFonts w:ascii="Times New Roman" w:cs="Times New Roman" w:eastAsia="Times New Roman" w:hAnsi="Times New Roman"/>
          <w:sz w:val="21"/>
          <w:szCs w:val="21"/>
          <w:color w:val="auto"/>
        </w:rPr>
        <w:t>Name:</w:t>
      </w:r>
    </w:p>
    <w:p>
      <w:pPr>
        <w:ind w:left="3720"/>
        <w:spacing w:after="0"/>
        <w:rPr>
          <w:sz w:val="20"/>
          <w:szCs w:val="20"/>
          <w:color w:val="auto"/>
        </w:rPr>
      </w:pPr>
      <w:r>
        <w:rPr>
          <w:rFonts w:ascii="Times New Roman" w:cs="Times New Roman" w:eastAsia="Times New Roman" w:hAnsi="Times New Roman"/>
          <w:sz w:val="21"/>
          <w:szCs w:val="21"/>
          <w:color w:val="auto"/>
        </w:rPr>
        <w:t>Title:</w:t>
      </w:r>
    </w:p>
    <w:p>
      <w:pPr>
        <w:sectPr>
          <w:pgSz w:w="11900" w:h="16838" w:orient="portrait"/>
          <w:cols w:equalWidth="0" w:num="1">
            <w:col w:w="11240"/>
          </w:cols>
          <w:pgMar w:left="320" w:top="1336" w:right="339" w:bottom="1440" w:gutter="0" w:footer="0" w:header="0"/>
          <w:type w:val="continuous"/>
        </w:sectPr>
      </w:pPr>
    </w:p>
    <w:bookmarkStart w:id="200" w:name="page201"/>
    <w:bookmarkEnd w:id="20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Richard M. Olson, certify that:</w:t>
      </w:r>
    </w:p>
    <w:p>
      <w:pPr>
        <w:spacing w:after="0" w:line="218" w:lineRule="exact"/>
        <w:rPr>
          <w:sz w:val="20"/>
          <w:szCs w:val="20"/>
          <w:color w:val="auto"/>
        </w:rPr>
      </w:pPr>
    </w:p>
    <w:p>
      <w:pPr>
        <w:ind w:left="620" w:hanging="307"/>
        <w:spacing w:after="0"/>
        <w:tabs>
          <w:tab w:leader="none" w:pos="62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17"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June 2, 2022</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Renee J. Peterson, certify that:</w:t>
      </w:r>
    </w:p>
    <w:p>
      <w:pPr>
        <w:spacing w:after="0" w:line="218" w:lineRule="exact"/>
        <w:rPr>
          <w:sz w:val="20"/>
          <w:szCs w:val="20"/>
          <w:color w:val="auto"/>
        </w:rPr>
      </w:pPr>
    </w:p>
    <w:p>
      <w:pPr>
        <w:ind w:left="620" w:hanging="307"/>
        <w:spacing w:after="0"/>
        <w:tabs>
          <w:tab w:leader="none" w:pos="62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The Toro Company;</w:t>
      </w:r>
    </w:p>
    <w:p>
      <w:pPr>
        <w:spacing w:after="0" w:line="243"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30"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53" w:lineRule="auto"/>
        <w:tabs>
          <w:tab w:leader="none" w:pos="1240"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7"/>
          <w:szCs w:val="17"/>
          <w:color w:val="auto"/>
        </w:rPr>
      </w:pPr>
    </w:p>
    <w:p>
      <w:pPr>
        <w:ind w:left="1240" w:hanging="306"/>
        <w:spacing w:after="0" w:line="253" w:lineRule="auto"/>
        <w:tabs>
          <w:tab w:leader="none" w:pos="1230"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jc w:val="both"/>
        <w:ind w:left="1240" w:hanging="306"/>
        <w:spacing w:after="0" w:line="260" w:lineRule="auto"/>
        <w:tabs>
          <w:tab w:leader="none" w:pos="1240"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7"/>
          <w:szCs w:val="17"/>
          <w:color w:val="auto"/>
        </w:rPr>
      </w:pPr>
    </w:p>
    <w:p>
      <w:pPr>
        <w:ind w:left="620" w:hanging="307"/>
        <w:spacing w:after="0" w:line="288" w:lineRule="auto"/>
        <w:tabs>
          <w:tab w:leader="none" w:pos="620"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1240" w:hanging="306"/>
        <w:spacing w:after="0" w:line="264" w:lineRule="auto"/>
        <w:tabs>
          <w:tab w:leader="none" w:pos="1230"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40" w:hanging="306"/>
        <w:spacing w:after="0" w:line="267" w:lineRule="auto"/>
        <w:tabs>
          <w:tab w:leader="none" w:pos="1240" w:val="left"/>
        </w:tabs>
        <w:numPr>
          <w:ilvl w:val="1"/>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June 2, 2022</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Renee J. Peterson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313055</wp:posOffset>
            </wp:positionV>
            <wp:extent cx="713803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connection with the Quarterly Report of The Toro Company (the “Company”) on Form 10-Q for the quarterly period ended April 29, 2022 as filed with the Securities and Exchange Commission on the date hereof (the “Report”), we, Richard M. Olson, Chairman of the Board, President and Chief Executive Officer of the Company, and Renee J. Peterson, Vice President, Chief Financial Officer of the Company, certify, pursuant to 18 U.S.C. Section 1350, as adopted pursuant to Section 906 of the Sarbanes-Oxley Act of 2002, that to our knowledge:</w:t>
      </w:r>
    </w:p>
    <w:p>
      <w:pPr>
        <w:spacing w:after="0" w:line="170" w:lineRule="exact"/>
        <w:rPr>
          <w:sz w:val="20"/>
          <w:szCs w:val="20"/>
          <w:color w:val="auto"/>
        </w:rPr>
      </w:pPr>
    </w:p>
    <w:p>
      <w:pPr>
        <w:ind w:left="620" w:hanging="307"/>
        <w:spacing w:after="0"/>
        <w:tabs>
          <w:tab w:leader="none" w:pos="62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Richard M. Olson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June 2, 2022</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wp:posOffset>
            </wp:positionV>
            <wp:extent cx="29457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Renee J. Peterson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Vice President, 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June 2, 2022</w:t>
      </w:r>
    </w:p>
    <w:p>
      <w:pPr>
        <w:spacing w:after="0" w:line="200" w:lineRule="exact"/>
        <w:rPr>
          <w:sz w:val="20"/>
          <w:szCs w:val="20"/>
          <w:color w:val="auto"/>
        </w:rPr>
      </w:pPr>
    </w:p>
    <w:p>
      <w:pPr>
        <w:spacing w:after="0" w:line="263"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3803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40"/>
      </w:cols>
      <w:pgMar w:left="320" w:top="8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A1821B"/>
    <w:multiLevelType w:val="hybridMultilevel"/>
    <w:lvl w:ilvl="0">
      <w:lvlJc w:val="left"/>
      <w:lvlText w:val="☒"/>
      <w:numFmt w:val="bullet"/>
      <w:start w:val="1"/>
    </w:lvl>
  </w:abstractNum>
  <w:abstractNum w:abstractNumId="1">
    <w:nsid w:val="7DE67713"/>
    <w:multiLevelType w:val="hybridMultilevel"/>
    <w:lvl w:ilvl="0">
      <w:lvlJc w:val="left"/>
      <w:lvlText w:val="☐"/>
      <w:numFmt w:val="bullet"/>
      <w:start w:val="1"/>
    </w:lvl>
  </w:abstractNum>
  <w:abstractNum w:abstractNumId="2">
    <w:nsid w:val="555C55B5"/>
    <w:multiLevelType w:val="hybridMultilevel"/>
    <w:lvl w:ilvl="0">
      <w:lvlJc w:val="left"/>
      <w:lvlText w:val="•"/>
      <w:numFmt w:val="bullet"/>
      <w:start w:val="1"/>
    </w:lvl>
  </w:abstractNum>
  <w:abstractNum w:abstractNumId="3">
    <w:nsid w:val="3FA62ACA"/>
    <w:multiLevelType w:val="hybridMultilevel"/>
    <w:lvl w:ilvl="0">
      <w:lvlJc w:val="left"/>
      <w:lvlText w:val="•"/>
      <w:numFmt w:val="bullet"/>
      <w:start w:val="1"/>
    </w:lvl>
  </w:abstractNum>
  <w:abstractNum w:abstractNumId="4">
    <w:nsid w:val="14FCE74E"/>
    <w:multiLevelType w:val="hybridMultilevel"/>
    <w:lvl w:ilvl="0">
      <w:lvlJc w:val="left"/>
      <w:lvlText w:val="1"/>
      <w:numFmt w:val="bullet"/>
      <w:start w:val="1"/>
    </w:lvl>
  </w:abstractNum>
  <w:abstractNum w:abstractNumId="5">
    <w:nsid w:val="6A3DD3E8"/>
    <w:multiLevelType w:val="hybridMultilevel"/>
    <w:lvl w:ilvl="0">
      <w:lvlJc w:val="left"/>
      <w:lvlText w:val="2"/>
      <w:numFmt w:val="bullet"/>
      <w:start w:val="1"/>
    </w:lvl>
  </w:abstractNum>
  <w:abstractNum w:abstractNumId="6">
    <w:nsid w:val="71C91298"/>
    <w:multiLevelType w:val="hybridMultilevel"/>
    <w:lvl w:ilvl="0">
      <w:lvlJc w:val="left"/>
      <w:lvlText w:val="3"/>
      <w:numFmt w:val="bullet"/>
      <w:start w:val="1"/>
    </w:lvl>
  </w:abstractNum>
  <w:abstractNum w:abstractNumId="7">
    <w:nsid w:val="9DAF632"/>
    <w:multiLevelType w:val="hybridMultilevel"/>
    <w:lvl w:ilvl="0">
      <w:lvlJc w:val="left"/>
      <w:lvlText w:val="4"/>
      <w:numFmt w:val="bullet"/>
      <w:start w:val="1"/>
    </w:lvl>
  </w:abstractNum>
  <w:abstractNum w:abstractNumId="8">
    <w:nsid w:val="53299938"/>
    <w:multiLevelType w:val="hybridMultilevel"/>
    <w:lvl w:ilvl="0">
      <w:lvlJc w:val="left"/>
      <w:lvlText w:val="5"/>
      <w:numFmt w:val="bullet"/>
      <w:start w:val="1"/>
    </w:lvl>
  </w:abstractNum>
  <w:abstractNum w:abstractNumId="9">
    <w:nsid w:val="1FBFE8E0"/>
    <w:multiLevelType w:val="hybridMultilevel"/>
    <w:lvl w:ilvl="0">
      <w:lvlJc w:val="left"/>
      <w:lvlText w:val="7"/>
      <w:numFmt w:val="bullet"/>
      <w:start w:val="1"/>
    </w:lvl>
  </w:abstractNum>
  <w:abstractNum w:abstractNumId="10">
    <w:nsid w:val="5092CA79"/>
    <w:multiLevelType w:val="hybridMultilevel"/>
    <w:lvl w:ilvl="0">
      <w:lvlJc w:val="left"/>
      <w:lvlText w:val="8"/>
      <w:numFmt w:val="bullet"/>
      <w:start w:val="1"/>
    </w:lvl>
  </w:abstractNum>
  <w:abstractNum w:abstractNumId="11">
    <w:nsid w:val="1D545C4D"/>
    <w:multiLevelType w:val="hybridMultilevel"/>
    <w:lvl w:ilvl="0">
      <w:lvlJc w:val="left"/>
      <w:lvlText w:val="9"/>
      <w:numFmt w:val="bullet"/>
      <w:start w:val="1"/>
    </w:lvl>
  </w:abstractNum>
  <w:abstractNum w:abstractNumId="12">
    <w:nsid w:val="59ADEA3D"/>
    <w:multiLevelType w:val="hybridMultilevel"/>
    <w:lvl w:ilvl="0">
      <w:lvlJc w:val="left"/>
      <w:lvlText w:val="•"/>
      <w:numFmt w:val="bullet"/>
      <w:start w:val="1"/>
    </w:lvl>
  </w:abstractNum>
  <w:abstractNum w:abstractNumId="13">
    <w:nsid w:val="288F1A34"/>
    <w:multiLevelType w:val="hybridMultilevel"/>
    <w:lvl w:ilvl="0">
      <w:lvlJc w:val="left"/>
      <w:lvlText w:val="1"/>
      <w:numFmt w:val="bullet"/>
      <w:start w:val="1"/>
    </w:lvl>
  </w:abstractNum>
  <w:abstractNum w:abstractNumId="14">
    <w:nsid w:val="2A155DBC"/>
    <w:multiLevelType w:val="hybridMultilevel"/>
    <w:lvl w:ilvl="0">
      <w:lvlJc w:val="left"/>
      <w:lvlText w:val="2"/>
      <w:numFmt w:val="bullet"/>
      <w:start w:val="1"/>
    </w:lvl>
  </w:abstractNum>
  <w:abstractNum w:abstractNumId="15">
    <w:nsid w:val="1D9F6E5F"/>
    <w:multiLevelType w:val="hybridMultilevel"/>
    <w:lvl w:ilvl="0">
      <w:lvlJc w:val="left"/>
      <w:lvlText w:val="3"/>
      <w:numFmt w:val="bullet"/>
      <w:start w:val="1"/>
    </w:lvl>
  </w:abstractNum>
  <w:abstractNum w:abstractNumId="16">
    <w:nsid w:val="97E1B4E"/>
    <w:multiLevelType w:val="hybridMultilevel"/>
    <w:lvl w:ilvl="0">
      <w:lvlJc w:val="left"/>
      <w:lvlText w:val="•"/>
      <w:numFmt w:val="bullet"/>
      <w:start w:val="1"/>
    </w:lvl>
  </w:abstractNum>
  <w:abstractNum w:abstractNumId="17">
    <w:nsid w:val="51088277"/>
    <w:multiLevelType w:val="hybridMultilevel"/>
    <w:lvl w:ilvl="0">
      <w:lvlJc w:val="left"/>
      <w:lvlText w:val="1"/>
      <w:numFmt w:val="bullet"/>
      <w:start w:val="1"/>
    </w:lvl>
  </w:abstractNum>
  <w:abstractNum w:abstractNumId="18">
    <w:nsid w:val="1CA0C5FA"/>
    <w:multiLevelType w:val="hybridMultilevel"/>
    <w:lvl w:ilvl="0">
      <w:lvlJc w:val="left"/>
      <w:lvlText w:val="2"/>
      <w:numFmt w:val="bullet"/>
      <w:start w:val="1"/>
    </w:lvl>
  </w:abstractNum>
  <w:abstractNum w:abstractNumId="19">
    <w:nsid w:val="53584BCB"/>
    <w:multiLevelType w:val="hybridMultilevel"/>
    <w:lvl w:ilvl="0">
      <w:lvlJc w:val="left"/>
      <w:lvlText w:val="%1"/>
      <w:numFmt w:val="decimal"/>
      <w:start w:val="101"/>
    </w:lvl>
  </w:abstractNum>
  <w:abstractNum w:abstractNumId="20">
    <w:nsid w:val="415E286C"/>
    <w:multiLevelType w:val="hybridMultilevel"/>
    <w:lvl w:ilvl="0">
      <w:lvlJc w:val="left"/>
      <w:lvlText w:val="%1"/>
      <w:numFmt w:val="decimal"/>
      <w:start w:val="104"/>
    </w:lvl>
  </w:abstractNum>
  <w:abstractNum w:abstractNumId="21">
    <w:nsid w:val="7C58FD05"/>
    <w:multiLevelType w:val="hybridMultilevel"/>
    <w:lvl w:ilvl="0">
      <w:lvlJc w:val="left"/>
      <w:lvlText w:val="%1."/>
      <w:numFmt w:val="decimal"/>
      <w:start w:val="1"/>
    </w:lvl>
    <w:lvl w:ilvl="1">
      <w:lvlJc w:val="left"/>
      <w:lvlText w:val="(%2)"/>
      <w:numFmt w:val="lowerLetter"/>
      <w:start w:val="1"/>
    </w:lvl>
  </w:abstractNum>
  <w:abstractNum w:abstractNumId="22">
    <w:nsid w:val="23D86AAC"/>
    <w:multiLevelType w:val="hybridMultilevel"/>
    <w:lvl w:ilvl="0">
      <w:lvlJc w:val="left"/>
      <w:lvlText w:val="%1"/>
      <w:numFmt w:val="decimal"/>
      <w:start w:val="1"/>
    </w:lvl>
    <w:lvl w:ilvl="1">
      <w:lvlJc w:val="left"/>
      <w:lvlText w:val="(%2)"/>
      <w:numFmt w:val="lowerLetter"/>
      <w:start w:val="2"/>
    </w:lvl>
  </w:abstractNum>
  <w:abstractNum w:abstractNumId="23">
    <w:nsid w:val="45E6D486"/>
    <w:multiLevelType w:val="hybridMultilevel"/>
    <w:lvl w:ilvl="0">
      <w:lvlJc w:val="left"/>
      <w:lvlText w:val="%1."/>
      <w:numFmt w:val="decimal"/>
      <w:start w:val="3"/>
    </w:lvl>
    <w:lvl w:ilvl="1">
      <w:lvlJc w:val="left"/>
      <w:lvlText w:val="(%2)"/>
      <w:numFmt w:val="lowerLetter"/>
      <w:start w:val="1"/>
    </w:lvl>
  </w:abstractNum>
  <w:abstractNum w:abstractNumId="24">
    <w:nsid w:val="5C10FE21"/>
    <w:multiLevelType w:val="hybridMultilevel"/>
    <w:lvl w:ilvl="0">
      <w:lvlJc w:val="left"/>
      <w:lvlText w:val="%1."/>
      <w:numFmt w:val="decimal"/>
      <w:start w:val="5"/>
    </w:lvl>
  </w:abstractNum>
  <w:abstractNum w:abstractNumId="25">
    <w:nsid w:val="E7FFA2B"/>
    <w:multiLevelType w:val="hybridMultilevel"/>
    <w:lvl w:ilvl="0">
      <w:lvlJc w:val="left"/>
      <w:lvlText w:val="1"/>
      <w:numFmt w:val="bullet"/>
      <w:start w:val="1"/>
    </w:lvl>
  </w:abstractNum>
  <w:abstractNum w:abstractNumId="26">
    <w:nsid w:val="3C5991AA"/>
    <w:multiLevelType w:val="hybridMultilevel"/>
    <w:lvl w:ilvl="0">
      <w:lvlJc w:val="left"/>
      <w:lvlText w:val="A"/>
      <w:numFmt w:val="bullet"/>
      <w:start w:val="1"/>
    </w:lvl>
  </w:abstractNum>
  <w:abstractNum w:abstractNumId="27">
    <w:nsid w:val="4BD8591A"/>
    <w:multiLevelType w:val="hybridMultilevel"/>
    <w:lvl w:ilvl="0">
      <w:lvlJc w:val="left"/>
      <w:lvlText w:val="(%1)"/>
      <w:numFmt w:val="lowerLetter"/>
      <w:start w:val="1"/>
    </w:lvl>
  </w:abstractNum>
  <w:abstractNum w:abstractNumId="28">
    <w:nsid w:val="78DF6A55"/>
    <w:multiLevelType w:val="hybridMultilevel"/>
    <w:lvl w:ilvl="0">
      <w:lvlJc w:val="left"/>
      <w:lvlText w:val="(%1)"/>
      <w:numFmt w:val="lowerLetter"/>
      <w:start w:val="1"/>
    </w:lvl>
  </w:abstractNum>
  <w:abstractNum w:abstractNumId="29">
    <w:nsid w:val="39B7AAA2"/>
    <w:multiLevelType w:val="hybridMultilevel"/>
    <w:lvl w:ilvl="0">
      <w:lvlJc w:val="left"/>
      <w:lvlText w:val="(%1)"/>
      <w:numFmt w:val="lowerRoman"/>
      <w:start w:val="4"/>
    </w:lvl>
  </w:abstractNum>
  <w:abstractNum w:abstractNumId="30">
    <w:nsid w:val="2B0D8DBE"/>
    <w:multiLevelType w:val="hybridMultilevel"/>
    <w:lvl w:ilvl="0">
      <w:lvlJc w:val="left"/>
      <w:lvlText w:val="(%1)"/>
      <w:numFmt w:val="lowerLetter"/>
      <w:start w:val="2"/>
    </w:lvl>
  </w:abstractNum>
  <w:abstractNum w:abstractNumId="31">
    <w:nsid w:val="6C80EC70"/>
    <w:multiLevelType w:val="hybridMultilevel"/>
    <w:lvl w:ilvl="0">
      <w:lvlJc w:val="left"/>
      <w:lvlText w:val="(%1)"/>
      <w:numFmt w:val="lowerLetter"/>
      <w:start w:val="1"/>
    </w:lvl>
  </w:abstractNum>
  <w:abstractNum w:abstractNumId="32">
    <w:nsid w:val="379E21B5"/>
    <w:multiLevelType w:val="hybridMultilevel"/>
    <w:lvl w:ilvl="0">
      <w:lvlJc w:val="left"/>
      <w:lvlText w:val="(%1)"/>
      <w:numFmt w:val="lowerLetter"/>
      <w:start w:val="2"/>
    </w:lvl>
  </w:abstractNum>
  <w:abstractNum w:abstractNumId="33">
    <w:nsid w:val="69E373"/>
    <w:multiLevelType w:val="hybridMultilevel"/>
    <w:lvl w:ilvl="0">
      <w:lvlJc w:val="left"/>
      <w:lvlText w:val="(%1)"/>
      <w:numFmt w:val="lowerLetter"/>
      <w:start w:val="1"/>
    </w:lvl>
  </w:abstractNum>
  <w:abstractNum w:abstractNumId="34">
    <w:nsid w:val="2C27173B"/>
    <w:multiLevelType w:val="hybridMultilevel"/>
    <w:lvl w:ilvl="0">
      <w:lvlJc w:val="left"/>
      <w:lvlText w:val="(%1)"/>
      <w:numFmt w:val="decimal"/>
      <w:start w:val="3"/>
    </w:lvl>
  </w:abstractNum>
  <w:abstractNum w:abstractNumId="35">
    <w:nsid w:val="4C9B0904"/>
    <w:multiLevelType w:val="hybridMultilevel"/>
    <w:lvl w:ilvl="0">
      <w:lvlJc w:val="left"/>
      <w:lvlText w:val="(%1)"/>
      <w:numFmt w:val="lowerLetter"/>
      <w:start w:val="2"/>
    </w:lvl>
  </w:abstractNum>
  <w:abstractNum w:abstractNumId="36">
    <w:nsid w:val="6AA7B75C"/>
    <w:multiLevelType w:val="hybridMultilevel"/>
    <w:lvl w:ilvl="0">
      <w:lvlJc w:val="left"/>
      <w:lvlText w:val="(%1)"/>
      <w:numFmt w:val="lowerLetter"/>
      <w:start w:val="1"/>
    </w:lvl>
  </w:abstractNum>
  <w:abstractNum w:abstractNumId="37">
    <w:nsid w:val="1DF029D3"/>
    <w:multiLevelType w:val="hybridMultilevel"/>
    <w:lvl w:ilvl="0">
      <w:lvlJc w:val="left"/>
      <w:lvlText w:val="(%1)"/>
      <w:numFmt w:val="lowerLetter"/>
      <w:start w:val="5"/>
    </w:lvl>
  </w:abstractNum>
  <w:abstractNum w:abstractNumId="38">
    <w:nsid w:val="5675FF36"/>
    <w:multiLevelType w:val="hybridMultilevel"/>
    <w:lvl w:ilvl="0">
      <w:lvlJc w:val="left"/>
      <w:lvlText w:val="(%1)"/>
      <w:numFmt w:val="lowerRoman"/>
      <w:start w:val="1"/>
    </w:lvl>
  </w:abstractNum>
  <w:abstractNum w:abstractNumId="39">
    <w:nsid w:val="3DD15094"/>
    <w:multiLevelType w:val="hybridMultilevel"/>
    <w:lvl w:ilvl="0">
      <w:lvlJc w:val="left"/>
      <w:lvlText w:val="(%1)"/>
      <w:numFmt w:val="lowerLetter"/>
      <w:start w:val="2"/>
    </w:lvl>
  </w:abstractNum>
  <w:abstractNum w:abstractNumId="40">
    <w:nsid w:val="3DB012B3"/>
    <w:multiLevelType w:val="hybridMultilevel"/>
    <w:lvl w:ilvl="0">
      <w:lvlJc w:val="left"/>
      <w:lvlText w:val="(%1)"/>
      <w:numFmt w:val="lowerRoman"/>
      <w:start w:val="3"/>
    </w:lvl>
  </w:abstractNum>
  <w:abstractNum w:abstractNumId="41">
    <w:nsid w:val="2708C9AF"/>
    <w:multiLevelType w:val="hybridMultilevel"/>
    <w:lvl w:ilvl="0">
      <w:lvlJc w:val="left"/>
      <w:lvlText w:val="(%1)"/>
      <w:numFmt w:val="lowerLetter"/>
      <w:start w:val="1"/>
    </w:lvl>
  </w:abstractNum>
  <w:abstractNum w:abstractNumId="42">
    <w:nsid w:val="5B25ACE2"/>
    <w:multiLevelType w:val="hybridMultilevel"/>
    <w:lvl w:ilvl="0">
      <w:lvlJc w:val="left"/>
      <w:lvlText w:val="(%1)"/>
      <w:numFmt w:val="lowerLetter"/>
      <w:start w:val="2"/>
    </w:lvl>
  </w:abstractNum>
  <w:abstractNum w:abstractNumId="43">
    <w:nsid w:val="175DFCF0"/>
    <w:multiLevelType w:val="hybridMultilevel"/>
    <w:lvl w:ilvl="0">
      <w:lvlJc w:val="left"/>
      <w:lvlText w:val="(%1)"/>
      <w:numFmt w:val="lowerLetter"/>
      <w:start w:val="1"/>
    </w:lvl>
  </w:abstractNum>
  <w:abstractNum w:abstractNumId="44">
    <w:nsid w:val="4F97E3E4"/>
    <w:multiLevelType w:val="hybridMultilevel"/>
    <w:lvl w:ilvl="0">
      <w:lvlJc w:val="left"/>
      <w:lvlText w:val="(%1)"/>
      <w:numFmt w:val="lowerLetter"/>
      <w:start w:val="2"/>
    </w:lvl>
  </w:abstractNum>
  <w:abstractNum w:abstractNumId="45">
    <w:nsid w:val="53B0A9E"/>
    <w:multiLevelType w:val="hybridMultilevel"/>
    <w:lvl w:ilvl="0">
      <w:lvlJc w:val="left"/>
      <w:lvlText w:val="(%1)"/>
      <w:numFmt w:val="lowerLetter"/>
      <w:start w:val="1"/>
    </w:lvl>
  </w:abstractNum>
  <w:abstractNum w:abstractNumId="46">
    <w:nsid w:val="34FD6B4F"/>
    <w:multiLevelType w:val="hybridMultilevel"/>
    <w:lvl w:ilvl="0">
      <w:lvlJc w:val="left"/>
      <w:lvlText w:val="(%1)"/>
      <w:numFmt w:val="lowerLetter"/>
      <w:start w:val="3"/>
    </w:lvl>
    <w:lvl w:ilvl="1">
      <w:lvlJc w:val="left"/>
      <w:lvlText w:val="(%2)"/>
      <w:numFmt w:val="lowerRoman"/>
      <w:start w:val="1"/>
    </w:lvl>
  </w:abstractNum>
  <w:abstractNum w:abstractNumId="47">
    <w:nsid w:val="5915FF32"/>
    <w:multiLevelType w:val="hybridMultilevel"/>
    <w:lvl w:ilvl="0">
      <w:lvlJc w:val="left"/>
      <w:lvlText w:val="(%1)"/>
      <w:numFmt w:val="lowerLetter"/>
      <w:start w:val="6"/>
    </w:lvl>
  </w:abstractNum>
  <w:abstractNum w:abstractNumId="48">
    <w:nsid w:val="56438D15"/>
    <w:multiLevelType w:val="hybridMultilevel"/>
    <w:lvl w:ilvl="0">
      <w:lvlJc w:val="left"/>
      <w:lvlText w:val="(%1)"/>
      <w:numFmt w:val="lowerLetter"/>
      <w:start w:val="1"/>
    </w:lvl>
  </w:abstractNum>
  <w:abstractNum w:abstractNumId="49">
    <w:nsid w:val="519E3149"/>
    <w:multiLevelType w:val="hybridMultilevel"/>
    <w:lvl w:ilvl="0">
      <w:lvlJc w:val="left"/>
      <w:lvlText w:val="(%1)"/>
      <w:numFmt w:val="lowerLetter"/>
      <w:start w:val="1"/>
    </w:lvl>
  </w:abstractNum>
  <w:abstractNum w:abstractNumId="50">
    <w:nsid w:val="2C6E4AFD"/>
    <w:multiLevelType w:val="hybridMultilevel"/>
    <w:lvl w:ilvl="0">
      <w:lvlJc w:val="left"/>
      <w:lvlText w:val="(%1)"/>
      <w:numFmt w:val="lowerLetter"/>
      <w:start w:val="1"/>
    </w:lvl>
  </w:abstractNum>
  <w:abstractNum w:abstractNumId="51">
    <w:nsid w:val="17A1B582"/>
    <w:multiLevelType w:val="hybridMultilevel"/>
    <w:lvl w:ilvl="0">
      <w:lvlJc w:val="left"/>
      <w:lvlText w:val="(%1)"/>
      <w:numFmt w:val="lowerLetter"/>
      <w:start w:val="2"/>
    </w:lvl>
  </w:abstractNum>
  <w:abstractNum w:abstractNumId="52">
    <w:nsid w:val="4DF72E4E"/>
    <w:multiLevelType w:val="hybridMultilevel"/>
    <w:lvl w:ilvl="0">
      <w:lvlJc w:val="left"/>
      <w:lvlText w:val="(%1)"/>
      <w:numFmt w:val="lowerLetter"/>
      <w:start w:val="1"/>
    </w:lvl>
  </w:abstractNum>
  <w:abstractNum w:abstractNumId="53">
    <w:nsid w:val="5046B5A9"/>
    <w:multiLevelType w:val="hybridMultilevel"/>
    <w:lvl w:ilvl="0">
      <w:lvlJc w:val="left"/>
      <w:lvlText w:val="(%1)"/>
      <w:numFmt w:val="lowerLetter"/>
      <w:start w:val="3"/>
    </w:lvl>
  </w:abstractNum>
  <w:abstractNum w:abstractNumId="54">
    <w:nsid w:val="5D888A08"/>
    <w:multiLevelType w:val="hybridMultilevel"/>
    <w:lvl w:ilvl="0">
      <w:lvlJc w:val="left"/>
      <w:lvlText w:val="(%1)"/>
      <w:numFmt w:val="lowerLetter"/>
      <w:start w:val="1"/>
    </w:lvl>
  </w:abstractNum>
  <w:abstractNum w:abstractNumId="55">
    <w:nsid w:val="2A082C70"/>
    <w:multiLevelType w:val="hybridMultilevel"/>
    <w:lvl w:ilvl="0">
      <w:lvlJc w:val="left"/>
      <w:lvlText w:val="(%1)"/>
      <w:numFmt w:val="lowerLetter"/>
      <w:start w:val="2"/>
    </w:lvl>
  </w:abstractNum>
  <w:abstractNum w:abstractNumId="56">
    <w:nsid w:val="5EC6AFD4"/>
    <w:multiLevelType w:val="hybridMultilevel"/>
    <w:lvl w:ilvl="0">
      <w:lvlJc w:val="left"/>
      <w:lvlText w:val="(%1)"/>
      <w:numFmt w:val="lowerLetter"/>
      <w:start w:val="1"/>
    </w:lvl>
  </w:abstractNum>
  <w:abstractNum w:abstractNumId="57">
    <w:nsid w:val="19E21BB2"/>
    <w:multiLevelType w:val="hybridMultilevel"/>
    <w:lvl w:ilvl="0">
      <w:lvlJc w:val="left"/>
      <w:lvlText w:val="(%1)"/>
      <w:numFmt w:val="decimal"/>
      <w:start w:val="3"/>
    </w:lvl>
    <w:lvl w:ilvl="1">
      <w:lvlJc w:val="left"/>
      <w:lvlText w:val="(%2)"/>
      <w:numFmt w:val="lowerLetter"/>
      <w:start w:val="2"/>
    </w:lvl>
  </w:abstractNum>
  <w:abstractNum w:abstractNumId="58">
    <w:nsid w:val="75E0858A"/>
    <w:multiLevelType w:val="hybridMultilevel"/>
    <w:lvl w:ilvl="0">
      <w:lvlJc w:val="left"/>
      <w:lvlText w:val="(%1)"/>
      <w:numFmt w:val="lowerLetter"/>
      <w:start w:val="1"/>
    </w:lvl>
  </w:abstractNum>
  <w:abstractNum w:abstractNumId="59">
    <w:nsid w:val="57A61A29"/>
    <w:multiLevelType w:val="hybridMultilevel"/>
    <w:lvl w:ilvl="0">
      <w:lvlJc w:val="left"/>
      <w:lvlText w:val="(%1)"/>
      <w:numFmt w:val="decimal"/>
      <w:start w:val="1"/>
    </w:lvl>
    <w:lvl w:ilvl="1">
      <w:lvlJc w:val="left"/>
      <w:lvlText w:val="(%2)"/>
      <w:numFmt w:val="lowerLetter"/>
      <w:start w:val="2"/>
    </w:lvl>
  </w:abstractNum>
  <w:abstractNum w:abstractNumId="60">
    <w:nsid w:val="5399C654"/>
    <w:multiLevelType w:val="hybridMultilevel"/>
    <w:lvl w:ilvl="0">
      <w:lvlJc w:val="left"/>
      <w:lvlText w:val="(%1)"/>
      <w:numFmt w:val="lowerLetter"/>
      <w:start w:val="3"/>
    </w:lvl>
  </w:abstractNum>
  <w:abstractNum w:abstractNumId="61">
    <w:nsid w:val="20EE1348"/>
    <w:multiLevelType w:val="hybridMultilevel"/>
    <w:lvl w:ilvl="0">
      <w:lvlJc w:val="left"/>
      <w:lvlText w:val="(%1)"/>
      <w:numFmt w:val="lowerLetter"/>
      <w:start w:val="1"/>
    </w:lvl>
    <w:lvl w:ilvl="1">
      <w:lvlJc w:val="left"/>
      <w:lvlText w:val="(%2)"/>
      <w:numFmt w:val="lowerLetter"/>
      <w:start w:val="9"/>
    </w:lvl>
  </w:abstractNum>
  <w:abstractNum w:abstractNumId="62">
    <w:nsid w:val="4427069A"/>
    <w:multiLevelType w:val="hybridMultilevel"/>
    <w:lvl w:ilvl="0">
      <w:lvlJc w:val="left"/>
      <w:lvlText w:val="(%1)"/>
      <w:numFmt w:val="lowerRoman"/>
      <w:start w:val="2"/>
    </w:lvl>
    <w:lvl w:ilvl="1">
      <w:lvlJc w:val="left"/>
      <w:lvlText w:val="(%2)"/>
      <w:numFmt w:val="upperLetter"/>
      <w:start w:val="1"/>
    </w:lvl>
  </w:abstractNum>
  <w:abstractNum w:abstractNumId="63">
    <w:nsid w:val="B37E80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7"/>
    </w:lvl>
  </w:abstractNum>
  <w:abstractNum w:abstractNumId="64">
    <w:nsid w:val="2157F6BC"/>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65">
    <w:nsid w:val="704E1DD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6">
    <w:nsid w:val="57D2F10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67">
    <w:nsid w:val="BFFAE18"/>
    <w:multiLevelType w:val="hybridMultilevel"/>
    <w:lvl w:ilvl="0">
      <w:lvlJc w:val="left"/>
      <w:lvlText w:val="(%1)"/>
      <w:numFmt w:val="lowerRoman"/>
      <w:start w:val="2"/>
    </w:lvl>
    <w:lvl w:ilvl="1">
      <w:lvlJc w:val="left"/>
      <w:lvlText w:val="(%2)"/>
      <w:numFmt w:val="lowerLetter"/>
      <w:start w:val="2"/>
    </w:lvl>
    <w:lvl w:ilvl="2">
      <w:lvlJc w:val="left"/>
      <w:lvlText w:val="(%3)"/>
      <w:numFmt w:val="lowerRoman"/>
      <w:start w:val="4"/>
    </w:lvl>
  </w:abstractNum>
  <w:abstractNum w:abstractNumId="68">
    <w:nsid w:val="E3E47A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69">
    <w:nsid w:val="2E48F044"/>
    <w:multiLevelType w:val="hybridMultilevel"/>
    <w:lvl w:ilvl="0">
      <w:lvlJc w:val="left"/>
      <w:lvlText w:val="(%1)"/>
      <w:numFmt w:val="upperLetter"/>
      <w:start w:val="1"/>
    </w:lvl>
    <w:lvl w:ilvl="1">
      <w:lvlJc w:val="left"/>
      <w:lvlText w:val="(%2)"/>
      <w:numFmt w:val="lowerRoman"/>
      <w:start w:val="2"/>
    </w:lvl>
  </w:abstractNum>
  <w:abstractNum w:abstractNumId="70">
    <w:nsid w:val="49D0FEAC"/>
    <w:multiLevelType w:val="hybridMultilevel"/>
    <w:lvl w:ilvl="0">
      <w:lvlJc w:val="left"/>
      <w:lvlText w:val="%1"/>
      <w:numFmt w:val="lowerLetter"/>
      <w:start w:val="1"/>
    </w:lvl>
    <w:lvl w:ilvl="1">
      <w:lvlJc w:val="left"/>
      <w:lvlText w:val="(%2)"/>
      <w:numFmt w:val="lowerRoman"/>
      <w:start w:val="4"/>
    </w:lvl>
  </w:abstractNum>
  <w:abstractNum w:abstractNumId="71">
    <w:nsid w:val="4BEE5A5B"/>
    <w:multiLevelType w:val="hybridMultilevel"/>
    <w:lvl w:ilvl="0">
      <w:lvlJc w:val="left"/>
      <w:lvlText w:val="(%1)"/>
      <w:numFmt w:val="lowerLetter"/>
      <w:start w:val="4"/>
    </w:lvl>
    <w:lvl w:ilvl="1">
      <w:lvlJc w:val="left"/>
      <w:lvlText w:val="(%2)"/>
      <w:numFmt w:val="lowerRoman"/>
      <w:start w:val="1"/>
    </w:lvl>
  </w:abstractNum>
  <w:abstractNum w:abstractNumId="72">
    <w:nsid w:val="5551B9F3"/>
    <w:multiLevelType w:val="hybridMultilevel"/>
    <w:lvl w:ilvl="0">
      <w:lvlJc w:val="left"/>
      <w:lvlText w:val="(%1)"/>
      <w:numFmt w:val="lowerLetter"/>
      <w:start w:val="5"/>
    </w:lvl>
    <w:lvl w:ilvl="1">
      <w:lvlJc w:val="left"/>
      <w:lvlText w:val="(%2)"/>
      <w:numFmt w:val="lowerRoman"/>
      <w:start w:val="1"/>
    </w:lvl>
  </w:abstractNum>
  <w:abstractNum w:abstractNumId="73">
    <w:nsid w:val="24F6AB8E"/>
    <w:multiLevelType w:val="hybridMultilevel"/>
    <w:lvl w:ilvl="0">
      <w:lvlJc w:val="left"/>
      <w:lvlText w:val="(%1)"/>
      <w:numFmt w:val="lowerLetter"/>
      <w:start w:val="6"/>
    </w:lvl>
  </w:abstractNum>
  <w:abstractNum w:abstractNumId="74">
    <w:nsid w:val="634C574C"/>
    <w:multiLevelType w:val="hybridMultilevel"/>
    <w:lvl w:ilvl="0">
      <w:lvlJc w:val="left"/>
      <w:lvlText w:val="%1"/>
      <w:numFmt w:val="lowerLetter"/>
      <w:start w:val="1"/>
    </w:lvl>
    <w:lvl w:ilvl="1">
      <w:lvlJc w:val="left"/>
      <w:lvlText w:val="(%2)"/>
      <w:numFmt w:val="lowerLetter"/>
      <w:start w:val="8"/>
    </w:lvl>
  </w:abstractNum>
  <w:abstractNum w:abstractNumId="75">
    <w:nsid w:val="24E99DD7"/>
    <w:multiLevelType w:val="hybridMultilevel"/>
    <w:lvl w:ilvl="0">
      <w:lvlJc w:val="left"/>
      <w:lvlText w:val="(%1)"/>
      <w:numFmt w:val="lowerLetter"/>
      <w:start w:val="9"/>
    </w:lvl>
    <w:lvl w:ilvl="1">
      <w:lvlJc w:val="left"/>
      <w:lvlText w:val="(%2)"/>
      <w:numFmt w:val="lowerLetter"/>
      <w:start w:val="9"/>
    </w:lvl>
  </w:abstractNum>
  <w:abstractNum w:abstractNumId="76">
    <w:nsid w:val="2A31B62D"/>
    <w:multiLevelType w:val="hybridMultilevel"/>
    <w:lvl w:ilvl="0">
      <w:lvlJc w:val="left"/>
      <w:lvlText w:val="(%1)"/>
      <w:numFmt w:val="lowerLetter"/>
      <w:start w:val="1"/>
    </w:lvl>
  </w:abstractNum>
  <w:abstractNum w:abstractNumId="77">
    <w:nsid w:val="1849C29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78">
    <w:nsid w:val="7DFF9D09"/>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79">
    <w:nsid w:val="754342"/>
    <w:multiLevelType w:val="hybridMultilevel"/>
    <w:lvl w:ilvl="0">
      <w:lvlJc w:val="left"/>
      <w:lvlText w:val="%1"/>
      <w:numFmt w:val="lowerLetter"/>
      <w:start w:val="1"/>
    </w:lvl>
    <w:lvl w:ilvl="1">
      <w:lvlJc w:val="left"/>
      <w:lvlText w:val="(%2)"/>
      <w:numFmt w:val="lowerRoman"/>
      <w:start w:val="3"/>
    </w:lvl>
  </w:abstractNum>
  <w:abstractNum w:abstractNumId="80">
    <w:nsid w:val="69E7F3E5"/>
    <w:multiLevelType w:val="hybridMultilevel"/>
    <w:lvl w:ilvl="0">
      <w:lvlJc w:val="left"/>
      <w:lvlText w:val="(%1)"/>
      <w:numFmt w:val="lowerLetter"/>
      <w:start w:val="4"/>
    </w:lvl>
    <w:lvl w:ilvl="1">
      <w:lvlJc w:val="left"/>
      <w:lvlText w:val="(%2)"/>
      <w:numFmt w:val="lowerRoman"/>
      <w:start w:val="1"/>
    </w:lvl>
  </w:abstractNum>
  <w:abstractNum w:abstractNumId="81">
    <w:nsid w:val="2A6DE806"/>
    <w:multiLevelType w:val="hybridMultilevel"/>
    <w:lvl w:ilvl="0">
      <w:lvlJc w:val="left"/>
      <w:lvlText w:val="(%1)"/>
      <w:numFmt w:val="lowerLetter"/>
      <w:start w:val="6"/>
    </w:lvl>
  </w:abstractNum>
  <w:abstractNum w:abstractNumId="82">
    <w:nsid w:val="1816F8C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83">
    <w:nsid w:val="37DF223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84">
    <w:nsid w:val="7AB49DAF"/>
    <w:multiLevelType w:val="hybridMultilevel"/>
    <w:lvl w:ilvl="0">
      <w:lvlJc w:val="left"/>
      <w:lvlText w:val="(%1)"/>
      <w:numFmt w:val="lowerLetter"/>
      <w:start w:val="1"/>
    </w:lvl>
  </w:abstractNum>
  <w:abstractNum w:abstractNumId="85">
    <w:nsid w:val="759F82CD"/>
    <w:multiLevelType w:val="hybridMultilevel"/>
    <w:lvl w:ilvl="0">
      <w:lvlJc w:val="left"/>
      <w:lvlText w:val="(%1)"/>
      <w:numFmt w:val="lowerLetter"/>
      <w:start w:val="1"/>
    </w:lvl>
  </w:abstractNum>
  <w:abstractNum w:abstractNumId="86">
    <w:nsid w:val="61E74EA3"/>
    <w:multiLevelType w:val="hybridMultilevel"/>
    <w:lvl w:ilvl="0">
      <w:lvlJc w:val="left"/>
      <w:lvlText w:val="(%1)"/>
      <w:numFmt w:val="lowerLetter"/>
      <w:start w:val="2"/>
    </w:lvl>
  </w:abstractNum>
  <w:abstractNum w:abstractNumId="87">
    <w:nsid w:val="597B4D84"/>
    <w:multiLevelType w:val="hybridMultilevel"/>
    <w:lvl w:ilvl="0">
      <w:lvlJc w:val="left"/>
      <w:lvlText w:val="%1"/>
      <w:numFmt w:val="lowerRoman"/>
      <w:start w:val="1"/>
    </w:lvl>
    <w:lvl w:ilvl="1">
      <w:lvlJc w:val="left"/>
      <w:lvlText w:val="(%2)"/>
      <w:numFmt w:val="lowerLetter"/>
      <w:start w:val="1"/>
    </w:lvl>
  </w:abstractNum>
  <w:abstractNum w:abstractNumId="88">
    <w:nsid w:val="F819E7F"/>
    <w:multiLevelType w:val="hybridMultilevel"/>
    <w:lvl w:ilvl="0">
      <w:lvlJc w:val="left"/>
      <w:lvlText w:val="(%1)"/>
      <w:numFmt w:val="lowerRoman"/>
      <w:start w:val="4"/>
    </w:lvl>
    <w:lvl w:ilvl="1">
      <w:lvlJc w:val="left"/>
      <w:lvlText w:val="%2"/>
      <w:numFmt w:val="lowerLetter"/>
      <w:start w:val="1"/>
    </w:lvl>
  </w:abstractNum>
  <w:abstractNum w:abstractNumId="89">
    <w:nsid w:val="57C7D42D"/>
    <w:multiLevelType w:val="hybridMultilevel"/>
    <w:lvl w:ilvl="0">
      <w:lvlJc w:val="left"/>
      <w:lvlText w:val="(%1)"/>
      <w:numFmt w:val="lowerLetter"/>
      <w:start w:val="2"/>
    </w:lvl>
  </w:abstractNum>
  <w:abstractNum w:abstractNumId="90">
    <w:nsid w:val="312167AD"/>
    <w:multiLevelType w:val="hybridMultilevel"/>
    <w:lvl w:ilvl="0">
      <w:lvlJc w:val="left"/>
      <w:lvlText w:val="%1"/>
      <w:numFmt w:val="lowerLetter"/>
      <w:start w:val="1"/>
    </w:lvl>
    <w:lvl w:ilvl="1">
      <w:lvlJc w:val="left"/>
      <w:lvlText w:val="(%2)"/>
      <w:numFmt w:val="lowerRoman"/>
      <w:start w:val="2"/>
    </w:lvl>
  </w:abstractNum>
  <w:abstractNum w:abstractNumId="91">
    <w:nsid w:val="631B64D4"/>
    <w:multiLevelType w:val="hybridMultilevel"/>
    <w:lvl w:ilvl="0">
      <w:lvlJc w:val="left"/>
      <w:lvlText w:val="(%1)"/>
      <w:numFmt w:val="lowerLetter"/>
      <w:start w:val="3"/>
    </w:lvl>
    <w:lvl w:ilvl="1">
      <w:lvlJc w:val="left"/>
      <w:lvlText w:val="%2"/>
      <w:numFmt w:val="lowerRoman"/>
      <w:start w:val="1"/>
    </w:lvl>
  </w:abstractNum>
  <w:abstractNum w:abstractNumId="92">
    <w:nsid w:val="78B5E776"/>
    <w:multiLevelType w:val="hybridMultilevel"/>
    <w:lvl w:ilvl="0">
      <w:lvlJc w:val="left"/>
      <w:lvlText w:val="(%1)"/>
      <w:numFmt w:val="lowerLetter"/>
      <w:start w:val="1"/>
    </w:lvl>
  </w:abstractNum>
  <w:abstractNum w:abstractNumId="93">
    <w:nsid w:val="75486E47"/>
    <w:multiLevelType w:val="hybridMultilevel"/>
    <w:lvl w:ilvl="0">
      <w:lvlJc w:val="left"/>
      <w:lvlText w:val="(%1)"/>
      <w:numFmt w:val="lowerRoman"/>
      <w:start w:val="2"/>
    </w:lvl>
  </w:abstractNum>
  <w:abstractNum w:abstractNumId="94">
    <w:nsid w:val="6E534CDE"/>
    <w:multiLevelType w:val="hybridMultilevel"/>
    <w:lvl w:ilvl="0">
      <w:lvlJc w:val="left"/>
      <w:lvlText w:val="(%1)"/>
      <w:numFmt w:val="lowerLetter"/>
      <w:start w:val="2"/>
    </w:lvl>
  </w:abstractNum>
  <w:abstractNum w:abstractNumId="95">
    <w:nsid w:val="1A0DDE32"/>
    <w:multiLevelType w:val="hybridMultilevel"/>
    <w:lvl w:ilvl="0">
      <w:lvlJc w:val="left"/>
      <w:lvlText w:val="(%1)"/>
      <w:numFmt w:val="lowerLetter"/>
      <w:start w:val="2"/>
    </w:lvl>
  </w:abstractNum>
  <w:abstractNum w:abstractNumId="96">
    <w:nsid w:val="65968C1C"/>
    <w:multiLevelType w:val="hybridMultilevel"/>
    <w:lvl w:ilvl="0">
      <w:lvlJc w:val="left"/>
      <w:lvlText w:val="(%1)"/>
      <w:numFmt w:val="lowerLetter"/>
      <w:start w:val="2"/>
    </w:lvl>
  </w:abstractNum>
  <w:abstractNum w:abstractNumId="97">
    <w:nsid w:val="46263DEC"/>
    <w:multiLevelType w:val="hybridMultilevel"/>
    <w:lvl w:ilvl="0">
      <w:lvlJc w:val="left"/>
      <w:lvlText w:val="(%1)"/>
      <w:numFmt w:val="lowerRoman"/>
      <w:start w:val="2"/>
    </w:lvl>
  </w:abstractNum>
  <w:abstractNum w:abstractNumId="98">
    <w:nsid w:val="260D8C4A"/>
    <w:multiLevelType w:val="hybridMultilevel"/>
    <w:lvl w:ilvl="0">
      <w:lvlJc w:val="left"/>
      <w:lvlText w:val="(%1)"/>
      <w:numFmt w:val="lowerLetter"/>
      <w:start w:val="2"/>
    </w:lvl>
    <w:lvl w:ilvl="1">
      <w:lvlJc w:val="left"/>
      <w:lvlText w:val="(%2)"/>
      <w:numFmt w:val="lowerLetter"/>
      <w:start w:val="3"/>
    </w:lvl>
  </w:abstractNum>
  <w:abstractNum w:abstractNumId="99">
    <w:nsid w:val="73D4D3C4"/>
    <w:multiLevelType w:val="hybridMultilevel"/>
    <w:lvl w:ilvl="0">
      <w:lvlJc w:val="left"/>
      <w:lvlText w:val="(%1)"/>
      <w:numFmt w:val="lowerRoman"/>
      <w:start w:val="1"/>
    </w:lvl>
  </w:abstractNum>
  <w:abstractNum w:abstractNumId="100">
    <w:nsid w:val="746F2E30"/>
    <w:multiLevelType w:val="hybridMultilevel"/>
    <w:lvl w:ilvl="0">
      <w:lvlJc w:val="left"/>
      <w:lvlText w:val="%1"/>
      <w:numFmt w:val="lowerLetter"/>
      <w:start w:val="1"/>
    </w:lvl>
    <w:lvl w:ilvl="1">
      <w:lvlJc w:val="left"/>
      <w:lvlText w:val="(%2)"/>
      <w:numFmt w:val="lowerLetter"/>
      <w:start w:val="1"/>
    </w:lvl>
  </w:abstractNum>
  <w:abstractNum w:abstractNumId="101">
    <w:nsid w:val="6FDE8AF6"/>
    <w:multiLevelType w:val="hybridMultilevel"/>
    <w:lvl w:ilvl="0">
      <w:lvlJc w:val="left"/>
      <w:lvlText w:val="(%1)"/>
      <w:numFmt w:val="lowerLetter"/>
      <w:start w:val="35"/>
    </w:lvl>
    <w:lvl w:ilvl="1">
      <w:lvlJc w:val="left"/>
      <w:lvlText w:val="(%2)"/>
      <w:numFmt w:val="lowerLetter"/>
      <w:start w:val="2"/>
    </w:lvl>
  </w:abstractNum>
  <w:abstractNum w:abstractNumId="102">
    <w:nsid w:val="3FC32E20"/>
    <w:multiLevelType w:val="hybridMultilevel"/>
    <w:lvl w:ilvl="0">
      <w:lvlJc w:val="left"/>
      <w:lvlText w:val="(%1)"/>
      <w:numFmt w:val="lowerLetter"/>
      <w:start w:val="3"/>
    </w:lvl>
    <w:lvl w:ilvl="1">
      <w:lvlJc w:val="left"/>
      <w:lvlText w:val="(%2)"/>
      <w:numFmt w:val="lowerRoman"/>
      <w:start w:val="1"/>
    </w:lvl>
  </w:abstractNum>
  <w:abstractNum w:abstractNumId="103">
    <w:nsid w:val="49C0E823"/>
    <w:multiLevelType w:val="hybridMultilevel"/>
    <w:lvl w:ilvl="0">
      <w:lvlJc w:val="left"/>
      <w:lvlText w:val="(%1)"/>
      <w:numFmt w:val="lowerLetter"/>
      <w:start w:val="4"/>
    </w:lvl>
  </w:abstractNum>
  <w:abstractNum w:abstractNumId="104">
    <w:nsid w:val="14D53685"/>
    <w:multiLevelType w:val="hybridMultilevel"/>
    <w:lvl w:ilvl="0">
      <w:lvlJc w:val="left"/>
      <w:lvlText w:val="(%1)"/>
      <w:numFmt w:val="lowerLetter"/>
      <w:start w:val="1"/>
    </w:lvl>
  </w:abstractNum>
  <w:abstractNum w:abstractNumId="105">
    <w:nsid w:val="230F856C"/>
    <w:multiLevelType w:val="hybridMultilevel"/>
    <w:lvl w:ilvl="0">
      <w:lvlJc w:val="left"/>
      <w:lvlText w:val="(%1)"/>
      <w:numFmt w:val="lowerLetter"/>
      <w:start w:val="3"/>
    </w:lvl>
  </w:abstractNum>
  <w:abstractNum w:abstractNumId="106">
    <w:nsid w:val="6EAA85FB"/>
    <w:multiLevelType w:val="hybridMultilevel"/>
    <w:lvl w:ilvl="0">
      <w:lvlJc w:val="left"/>
      <w:lvlText w:val="(%1)"/>
      <w:numFmt w:val="lowerLetter"/>
      <w:start w:val="1"/>
    </w:lvl>
    <w:lvl w:ilvl="1">
      <w:lvlJc w:val="left"/>
      <w:lvlText w:val="(%2)"/>
      <w:numFmt w:val="lowerRoman"/>
      <w:start w:val="1"/>
    </w:lvl>
  </w:abstractNum>
  <w:abstractNum w:abstractNumId="107">
    <w:nsid w:val="3F06ECB2"/>
    <w:multiLevelType w:val="hybridMultilevel"/>
    <w:lvl w:ilvl="0">
      <w:lvlJc w:val="left"/>
      <w:lvlText w:val="(%1)"/>
      <w:numFmt w:val="lowerRoman"/>
      <w:start w:val="3"/>
    </w:lvl>
    <w:lvl w:ilvl="1">
      <w:lvlJc w:val="left"/>
      <w:lvlText w:val="(%2)"/>
      <w:numFmt w:val="upperLetter"/>
      <w:start w:val="1"/>
    </w:lvl>
  </w:abstractNum>
  <w:abstractNum w:abstractNumId="108">
    <w:nsid w:val="3B594807"/>
    <w:multiLevelType w:val="hybridMultilevel"/>
    <w:lvl w:ilvl="0">
      <w:lvlJc w:val="left"/>
      <w:lvlText w:val="%1"/>
      <w:numFmt w:val="lowerLetter"/>
      <w:start w:val="1"/>
    </w:lvl>
    <w:lvl w:ilvl="1">
      <w:lvlJc w:val="left"/>
      <w:lvlText w:val="(%2)"/>
      <w:numFmt w:val="lowerLetter"/>
      <w:start w:val="22"/>
    </w:lvl>
  </w:abstractNum>
  <w:abstractNum w:abstractNumId="109">
    <w:nsid w:val="6CAA2304"/>
    <w:multiLevelType w:val="hybridMultilevel"/>
    <w:lvl w:ilvl="0">
      <w:lvlJc w:val="left"/>
      <w:lvlText w:val="(%1)"/>
      <w:numFmt w:val="lowerLetter"/>
      <w:start w:val="2"/>
    </w:lvl>
    <w:lvl w:ilvl="1">
      <w:lvlJc w:val="left"/>
      <w:lvlText w:val="%2"/>
      <w:numFmt w:val="lowerLetter"/>
      <w:start w:val="1"/>
    </w:lvl>
  </w:abstractNum>
  <w:abstractNum w:abstractNumId="110">
    <w:nsid w:val="3F7C2FF4"/>
    <w:multiLevelType w:val="hybridMultilevel"/>
    <w:lvl w:ilvl="0">
      <w:lvlJc w:val="left"/>
      <w:lvlText w:val="(%1)"/>
      <w:numFmt w:val="lowerLetter"/>
      <w:start w:val="2"/>
    </w:lvl>
  </w:abstractNum>
  <w:abstractNum w:abstractNumId="111">
    <w:nsid w:val="25413BEC"/>
    <w:multiLevelType w:val="hybridMultilevel"/>
    <w:lvl w:ilvl="0">
      <w:lvlJc w:val="left"/>
      <w:lvlText w:val="(%1)"/>
      <w:numFmt w:val="lowerLetter"/>
      <w:start w:val="1"/>
    </w:lvl>
  </w:abstractNum>
  <w:abstractNum w:abstractNumId="112">
    <w:nsid w:val="17180B0B"/>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13">
    <w:nsid w:val="579328B9"/>
    <w:multiLevelType w:val="hybridMultilevel"/>
    <w:lvl w:ilvl="0">
      <w:lvlJc w:val="left"/>
      <w:lvlText w:val="(%1)"/>
      <w:numFmt w:val="lowerLetter"/>
      <w:start w:val="1"/>
    </w:lvl>
    <w:lvl w:ilvl="1">
      <w:lvlJc w:val="left"/>
      <w:lvlText w:val="(%2)"/>
      <w:numFmt w:val="lowerLetter"/>
      <w:start w:val="9"/>
    </w:lvl>
  </w:abstractNum>
  <w:abstractNum w:abstractNumId="114">
    <w:nsid w:val="5D205E20"/>
    <w:multiLevelType w:val="hybridMultilevel"/>
    <w:lvl w:ilvl="0">
      <w:lvlJc w:val="left"/>
      <w:lvlText w:val="%1"/>
      <w:numFmt w:val="lowerLetter"/>
      <w:start w:val="1"/>
    </w:lvl>
    <w:lvl w:ilvl="1">
      <w:lvlJc w:val="left"/>
      <w:lvlText w:val="(%2)"/>
      <w:numFmt w:val="lowerRoman"/>
      <w:start w:val="2"/>
    </w:lvl>
  </w:abstractNum>
  <w:abstractNum w:abstractNumId="115">
    <w:nsid w:val="11CCA8BA"/>
    <w:multiLevelType w:val="hybridMultilevel"/>
    <w:lvl w:ilvl="0">
      <w:lvlJc w:val="left"/>
      <w:lvlText w:val="(%1)"/>
      <w:numFmt w:val="lowerLetter"/>
      <w:start w:val="2"/>
    </w:lvl>
    <w:lvl w:ilvl="1">
      <w:lvlJc w:val="left"/>
      <w:lvlText w:val="(%2)"/>
      <w:numFmt w:val="lowerRoman"/>
      <w:start w:val="1"/>
    </w:lvl>
  </w:abstractNum>
  <w:abstractNum w:abstractNumId="116">
    <w:nsid w:val="4D32AB86"/>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17">
    <w:nsid w:val="3F07ACC3"/>
    <w:multiLevelType w:val="hybridMultilevel"/>
    <w:lvl w:ilvl="0">
      <w:lvlJc w:val="left"/>
      <w:lvlText w:val="%1."/>
      <w:numFmt w:val="upperLetter"/>
      <w:start w:val="9"/>
    </w:lvl>
  </w:abstractNum>
  <w:abstractNum w:abstractNumId="118">
    <w:nsid w:val="6B47F63E"/>
    <w:multiLevelType w:val="hybridMultilevel"/>
    <w:lvl w:ilvl="0">
      <w:lvlJc w:val="left"/>
      <w:lvlText w:val="%1."/>
      <w:numFmt w:val="upperLetter"/>
      <w:start w:val="35"/>
    </w:lvl>
  </w:abstractNum>
  <w:abstractNum w:abstractNumId="119">
    <w:nsid w:val="5CB44A05"/>
    <w:multiLevelType w:val="hybridMultilevel"/>
    <w:lvl w:ilvl="0">
      <w:lvlJc w:val="left"/>
      <w:lvlText w:val="%1."/>
      <w:numFmt w:val="upperLetter"/>
      <w:start w:val="61"/>
    </w:lvl>
  </w:abstractNum>
  <w:abstractNum w:abstractNumId="120">
    <w:nsid w:val="16CF80F1"/>
    <w:multiLevelType w:val="hybridMultilevel"/>
    <w:lvl w:ilvl="0">
      <w:lvlJc w:val="left"/>
      <w:lvlText w:val="%1"/>
      <w:numFmt w:val="upperLetter"/>
      <w:start w:val="1"/>
    </w:lvl>
    <w:lvl w:ilvl="1">
      <w:lvlJc w:val="left"/>
      <w:lvlText w:val="%2."/>
      <w:numFmt w:val="upperLetter"/>
      <w:start w:val="22"/>
    </w:lvl>
  </w:abstractNum>
  <w:abstractNum w:abstractNumId="121">
    <w:nsid w:val="1C695DEC"/>
    <w:multiLevelType w:val="hybridMultilevel"/>
    <w:lvl w:ilvl="0">
      <w:lvlJc w:val="left"/>
      <w:lvlText w:val="(%1)"/>
      <w:numFmt w:val="upperLetter"/>
      <w:start w:val="3"/>
    </w:lvl>
    <w:lvl w:ilvl="1">
      <w:lvlJc w:val="left"/>
      <w:lvlText w:val="%2"/>
      <w:numFmt w:val="upperLetter"/>
      <w:start w:val="1"/>
    </w:lvl>
  </w:abstractNum>
  <w:abstractNum w:abstractNumId="122">
    <w:nsid w:val="3FCFAED9"/>
    <w:multiLevelType w:val="hybridMultilevel"/>
    <w:lvl w:ilvl="0">
      <w:lvlJc w:val="left"/>
      <w:lvlText w:val="%1"/>
      <w:numFmt w:val="lowerLetter"/>
      <w:start w:val="1"/>
    </w:lvl>
    <w:lvl w:ilvl="1">
      <w:lvlJc w:val="left"/>
      <w:lvlText w:val="(%2)"/>
      <w:numFmt w:val="lowerLetter"/>
      <w:start w:val="61"/>
    </w:lvl>
  </w:abstractNum>
  <w:abstractNum w:abstractNumId="123">
    <w:nsid w:val="F856867"/>
    <w:multiLevelType w:val="hybridMultilevel"/>
    <w:lvl w:ilvl="0">
      <w:lvlJc w:val="left"/>
      <w:lvlText w:val="(%1)"/>
      <w:numFmt w:val="lowerLetter"/>
      <w:start w:val="6"/>
    </w:lvl>
    <w:lvl w:ilvl="1">
      <w:lvlJc w:val="left"/>
      <w:lvlText w:val="%2"/>
      <w:numFmt w:val="lowerLetter"/>
      <w:start w:val="1"/>
    </w:lvl>
  </w:abstractNum>
  <w:abstractNum w:abstractNumId="124">
    <w:nsid w:val="11B1CC33"/>
    <w:multiLevelType w:val="hybridMultilevel"/>
    <w:lvl w:ilvl="0">
      <w:lvlJc w:val="left"/>
      <w:lvlText w:val="(%1)"/>
      <w:numFmt w:val="lowerLetter"/>
      <w:start w:val="1"/>
    </w:lvl>
  </w:abstractNum>
  <w:abstractNum w:abstractNumId="125">
    <w:nsid w:val="2E22FBB7"/>
    <w:multiLevelType w:val="hybridMultilevel"/>
    <w:lvl w:ilvl="0">
      <w:lvlJc w:val="left"/>
      <w:lvlText w:val="(%1)"/>
      <w:numFmt w:val="lowerRoman"/>
      <w:start w:val="1"/>
    </w:lvl>
  </w:abstractNum>
  <w:abstractNum w:abstractNumId="126">
    <w:nsid w:val="29934699"/>
    <w:multiLevelType w:val="hybridMultilevel"/>
    <w:lvl w:ilvl="0">
      <w:lvlJc w:val="left"/>
      <w:lvlText w:val="(%1)"/>
      <w:numFmt w:val="lowerRoman"/>
      <w:start w:val="1"/>
    </w:lvl>
  </w:abstractNum>
  <w:abstractNum w:abstractNumId="127">
    <w:nsid w:val="77485850"/>
    <w:multiLevelType w:val="hybridMultilevel"/>
    <w:lvl w:ilvl="0">
      <w:lvlJc w:val="left"/>
      <w:lvlText w:val="(%1)"/>
      <w:numFmt w:val="lowerLetter"/>
      <w:start w:val="3"/>
    </w:lvl>
  </w:abstractNum>
  <w:abstractNum w:abstractNumId="128">
    <w:nsid w:val="744939A3"/>
    <w:multiLevelType w:val="hybridMultilevel"/>
    <w:lvl w:ilvl="0">
      <w:lvlJc w:val="left"/>
      <w:lvlText w:val="(%1)"/>
      <w:numFmt w:val="decimal"/>
      <w:start w:val="1"/>
    </w:lvl>
  </w:abstractNum>
  <w:abstractNum w:abstractNumId="129">
    <w:nsid w:val="4FA0D2E3"/>
    <w:multiLevelType w:val="hybridMultilevel"/>
    <w:lvl w:ilvl="0">
      <w:lvlJc w:val="left"/>
      <w:lvlText w:val="(%1)"/>
      <w:numFmt w:val="lowerLetter"/>
      <w:start w:val="4"/>
    </w:lvl>
    <w:lvl w:ilvl="1">
      <w:lvlJc w:val="left"/>
      <w:lvlText w:val="(%2)"/>
      <w:numFmt w:val="lowerRoman"/>
      <w:start w:val="1"/>
    </w:lvl>
  </w:abstractNum>
  <w:abstractNum w:abstractNumId="130">
    <w:nsid w:val="6B1D2C14"/>
    <w:multiLevelType w:val="hybridMultilevel"/>
    <w:lvl w:ilvl="0">
      <w:lvlJc w:val="left"/>
      <w:lvlText w:val="(%1)"/>
      <w:numFmt w:val="lowerLetter"/>
      <w:start w:val="1"/>
    </w:lvl>
    <w:lvl w:ilvl="1">
      <w:lvlJc w:val="left"/>
      <w:lvlText w:val="(%2)"/>
      <w:numFmt w:val="lowerRoman"/>
      <w:start w:val="1"/>
    </w:lvl>
  </w:abstractNum>
  <w:abstractNum w:abstractNumId="131">
    <w:nsid w:val="68B867D3"/>
    <w:multiLevelType w:val="hybridMultilevel"/>
    <w:lvl w:ilvl="0">
      <w:lvlJc w:val="left"/>
      <w:lvlText w:val="(%1)"/>
      <w:numFmt w:val="lowerLetter"/>
      <w:start w:val="2"/>
    </w:lvl>
  </w:abstractNum>
  <w:abstractNum w:abstractNumId="132">
    <w:nsid w:val="3F7F5DD9"/>
    <w:multiLevelType w:val="hybridMultilevel"/>
    <w:lvl w:ilvl="0">
      <w:lvlJc w:val="left"/>
      <w:lvlText w:val="(%1)"/>
      <w:numFmt w:val="lowerLetter"/>
      <w:start w:val="3"/>
    </w:lvl>
  </w:abstractNum>
  <w:abstractNum w:abstractNumId="133">
    <w:nsid w:val="2AE05A34"/>
    <w:multiLevelType w:val="hybridMultilevel"/>
    <w:lvl w:ilvl="0">
      <w:lvlJc w:val="left"/>
      <w:lvlText w:val="(%1)"/>
      <w:numFmt w:val="lowerLetter"/>
      <w:start w:val="1"/>
    </w:lvl>
  </w:abstractNum>
  <w:abstractNum w:abstractNumId="134">
    <w:nsid w:val="32794FF7"/>
    <w:multiLevelType w:val="hybridMultilevel"/>
    <w:lvl w:ilvl="0">
      <w:lvlJc w:val="left"/>
      <w:lvlText w:val="(%1)"/>
      <w:numFmt w:val="lowerLetter"/>
      <w:start w:val="4"/>
    </w:lvl>
  </w:abstractNum>
  <w:abstractNum w:abstractNumId="135">
    <w:nsid w:val="5454945E"/>
    <w:multiLevelType w:val="hybridMultilevel"/>
    <w:lvl w:ilvl="0">
      <w:lvlJc w:val="left"/>
      <w:lvlText w:val="(%1)"/>
      <w:numFmt w:val="lowerLetter"/>
      <w:start w:val="1"/>
    </w:lvl>
  </w:abstractNum>
  <w:abstractNum w:abstractNumId="136">
    <w:nsid w:val="4DEFDFA0"/>
    <w:multiLevelType w:val="hybridMultilevel"/>
    <w:lvl w:ilvl="0">
      <w:lvlJc w:val="left"/>
      <w:lvlText w:val="(%1)"/>
      <w:numFmt w:val="lowerLetter"/>
      <w:start w:val="1"/>
    </w:lvl>
    <w:lvl w:ilvl="1">
      <w:lvlJc w:val="left"/>
      <w:lvlText w:val="(%2)"/>
      <w:numFmt w:val="lowerRoman"/>
      <w:start w:val="1"/>
    </w:lvl>
  </w:abstractNum>
  <w:abstractNum w:abstractNumId="137">
    <w:nsid w:val="2123D5F2"/>
    <w:multiLevelType w:val="hybridMultilevel"/>
    <w:lvl w:ilvl="0">
      <w:lvlJc w:val="left"/>
      <w:lvlText w:val="(%1)"/>
      <w:numFmt w:val="lowerRoman"/>
      <w:start w:val="9"/>
    </w:lvl>
    <w:lvl w:ilvl="1">
      <w:lvlJc w:val="left"/>
      <w:lvlText w:val="(%2)"/>
      <w:numFmt w:val="upperLetter"/>
      <w:start w:val="1"/>
    </w:lvl>
  </w:abstractNum>
  <w:abstractNum w:abstractNumId="138">
    <w:nsid w:val="135B8110"/>
    <w:multiLevelType w:val="hybridMultilevel"/>
    <w:lvl w:ilvl="0">
      <w:lvlJc w:val="left"/>
      <w:lvlText w:val="(%1)"/>
      <w:numFmt w:val="lowerLetter"/>
      <w:start w:val="2"/>
    </w:lvl>
  </w:abstractNum>
  <w:abstractNum w:abstractNumId="139">
    <w:nsid w:val="94927A8"/>
    <w:multiLevelType w:val="hybridMultilevel"/>
    <w:lvl w:ilvl="0">
      <w:lvlJc w:val="left"/>
      <w:lvlText w:val="(%1)"/>
      <w:numFmt w:val="lowerLetter"/>
      <w:start w:val="1"/>
    </w:lvl>
  </w:abstractNum>
  <w:abstractNum w:abstractNumId="140">
    <w:nsid w:val="DCDF8F6"/>
    <w:multiLevelType w:val="hybridMultilevel"/>
    <w:lvl w:ilvl="0">
      <w:lvlJc w:val="left"/>
      <w:lvlText w:val="(%1)"/>
      <w:numFmt w:val="lowerLetter"/>
      <w:start w:val="2"/>
    </w:lvl>
  </w:abstractNum>
  <w:abstractNum w:abstractNumId="141">
    <w:nsid w:val="52D7B105"/>
    <w:multiLevelType w:val="hybridMultilevel"/>
    <w:lvl w:ilvl="0">
      <w:lvlJc w:val="left"/>
      <w:lvlText w:val="(%1)"/>
      <w:numFmt w:val="lowerLetter"/>
      <w:start w:val="3"/>
    </w:lvl>
  </w:abstractNum>
  <w:abstractNum w:abstractNumId="142">
    <w:nsid w:val="2E8A6394"/>
    <w:multiLevelType w:val="hybridMultilevel"/>
    <w:lvl w:ilvl="0">
      <w:lvlJc w:val="left"/>
      <w:lvlText w:val="(%1)"/>
      <w:numFmt w:val="lowerLetter"/>
      <w:start w:val="1"/>
    </w:lvl>
  </w:abstractNum>
  <w:abstractNum w:abstractNumId="143">
    <w:nsid w:val="24E60401"/>
    <w:multiLevelType w:val="hybridMultilevel"/>
    <w:lvl w:ilvl="0">
      <w:lvlJc w:val="left"/>
      <w:lvlText w:val="(%1)"/>
      <w:numFmt w:val="lowerLetter"/>
      <w:start w:val="1"/>
    </w:lvl>
  </w:abstractNum>
  <w:abstractNum w:abstractNumId="144">
    <w:nsid w:val="2A6AD9BE"/>
    <w:multiLevelType w:val="hybridMultilevel"/>
    <w:lvl w:ilvl="0">
      <w:lvlJc w:val="left"/>
      <w:lvlText w:val="%1"/>
      <w:numFmt w:val="lowerRoman"/>
      <w:start w:val="1"/>
    </w:lvl>
    <w:lvl w:ilvl="1">
      <w:lvlJc w:val="left"/>
      <w:lvlText w:val="(%2)"/>
      <w:numFmt w:val="lowerLetter"/>
      <w:start w:val="3"/>
    </w:lvl>
  </w:abstractNum>
  <w:abstractNum w:abstractNumId="145">
    <w:nsid w:val="BAAC1B4"/>
    <w:multiLevelType w:val="hybridMultilevel"/>
    <w:lvl w:ilvl="0">
      <w:lvlJc w:val="left"/>
      <w:lvlText w:val="(%1)"/>
      <w:numFmt w:val="lowerRoman"/>
      <w:start w:val="4"/>
    </w:lvl>
    <w:lvl w:ilvl="1">
      <w:lvlJc w:val="left"/>
      <w:lvlText w:val="(%2)"/>
      <w:numFmt w:val="lowerLetter"/>
      <w:start w:val="4"/>
    </w:lvl>
  </w:abstractNum>
  <w:abstractNum w:abstractNumId="146">
    <w:nsid w:val="36B2ACBC"/>
    <w:multiLevelType w:val="hybridMultilevel"/>
    <w:lvl w:ilvl="0">
      <w:lvlJc w:val="left"/>
      <w:lvlText w:val="(%1)"/>
      <w:numFmt w:val="lowerLetter"/>
      <w:start w:val="1"/>
    </w:lvl>
  </w:abstractNum>
  <w:abstractNum w:abstractNumId="147">
    <w:nsid w:val="779D8544"/>
    <w:multiLevelType w:val="hybridMultilevel"/>
    <w:lvl w:ilvl="0">
      <w:lvlJc w:val="left"/>
      <w:lvlText w:val="(%1)"/>
      <w:numFmt w:val="lowerLetter"/>
      <w:start w:val="1"/>
    </w:lvl>
  </w:abstractNum>
  <w:abstractNum w:abstractNumId="148">
    <w:nsid w:val="4AB26E78"/>
    <w:multiLevelType w:val="hybridMultilevel"/>
    <w:lvl w:ilvl="0">
      <w:lvlJc w:val="left"/>
      <w:lvlText w:val="(%1)"/>
      <w:numFmt w:val="lowerLetter"/>
      <w:start w:val="3"/>
    </w:lvl>
  </w:abstractNum>
  <w:abstractNum w:abstractNumId="149">
    <w:nsid w:val="21FAA2FA"/>
    <w:multiLevelType w:val="hybridMultilevel"/>
    <w:lvl w:ilvl="0">
      <w:lvlJc w:val="left"/>
      <w:lvlText w:val="(%1)"/>
      <w:numFmt w:val="lowerLetter"/>
      <w:start w:val="1"/>
    </w:lvl>
  </w:abstractNum>
  <w:abstractNum w:abstractNumId="150">
    <w:nsid w:val="5451CF49"/>
    <w:multiLevelType w:val="hybridMultilevel"/>
    <w:lvl w:ilvl="0">
      <w:lvlJc w:val="left"/>
      <w:lvlText w:val="(%1)"/>
      <w:numFmt w:val="lowerLetter"/>
      <w:start w:val="1"/>
    </w:lvl>
  </w:abstractNum>
  <w:abstractNum w:abstractNumId="151">
    <w:nsid w:val="6181EF69"/>
    <w:multiLevelType w:val="hybridMultilevel"/>
    <w:lvl w:ilvl="0">
      <w:lvlJc w:val="left"/>
      <w:lvlText w:val="(%1)"/>
      <w:numFmt w:val="lowerLetter"/>
      <w:start w:val="3"/>
    </w:lvl>
  </w:abstractNum>
  <w:abstractNum w:abstractNumId="152">
    <w:nsid w:val="3E6400E6"/>
    <w:multiLevelType w:val="hybridMultilevel"/>
    <w:lvl w:ilvl="0">
      <w:lvlJc w:val="left"/>
      <w:lvlText w:val="(%1)"/>
      <w:numFmt w:val="lowerLetter"/>
      <w:start w:val="23"/>
    </w:lvl>
  </w:abstractNum>
  <w:abstractNum w:abstractNumId="153">
    <w:nsid w:val="14217E23"/>
    <w:multiLevelType w:val="hybridMultilevel"/>
    <w:lvl w:ilvl="0">
      <w:lvlJc w:val="left"/>
      <w:lvlText w:val="(%1)"/>
      <w:numFmt w:val="lowerLetter"/>
      <w:start w:val="1"/>
    </w:lvl>
    <w:lvl w:ilvl="1">
      <w:lvlJc w:val="left"/>
      <w:lvlText w:val="(%2)"/>
      <w:numFmt w:val="lowerRoman"/>
      <w:start w:val="1"/>
    </w:lvl>
  </w:abstractNum>
  <w:abstractNum w:abstractNumId="154">
    <w:nsid w:val="710757D0"/>
    <w:multiLevelType w:val="hybridMultilevel"/>
    <w:lvl w:ilvl="0">
      <w:lvlJc w:val="left"/>
      <w:lvlText w:val="(%1)"/>
      <w:numFmt w:val="lowerLetter"/>
      <w:start w:val="5"/>
    </w:lvl>
  </w:abstractNum>
  <w:abstractNum w:abstractNumId="155">
    <w:nsid w:val="5015CD1A"/>
    <w:multiLevelType w:val="hybridMultilevel"/>
    <w:lvl w:ilvl="0">
      <w:lvlJc w:val="left"/>
      <w:lvlText w:val="(%1)"/>
      <w:numFmt w:val="lowerLetter"/>
      <w:start w:val="1"/>
    </w:lvl>
  </w:abstractNum>
  <w:abstractNum w:abstractNumId="156">
    <w:nsid w:val="424479DA"/>
    <w:multiLevelType w:val="hybridMultilevel"/>
    <w:lvl w:ilvl="0">
      <w:lvlJc w:val="left"/>
      <w:lvlText w:val="(%1)"/>
      <w:numFmt w:val="lowerLetter"/>
      <w:start w:val="12"/>
    </w:lvl>
  </w:abstractNum>
  <w:abstractNum w:abstractNumId="157">
    <w:nsid w:val="1A9A9E69"/>
    <w:multiLevelType w:val="hybridMultilevel"/>
    <w:lvl w:ilvl="0">
      <w:lvlJc w:val="left"/>
      <w:lvlText w:val="(%1)"/>
      <w:numFmt w:val="lowerLetter"/>
      <w:start w:val="1"/>
    </w:lvl>
  </w:abstractNum>
  <w:abstractNum w:abstractNumId="158">
    <w:nsid w:val="475E256A"/>
    <w:multiLevelType w:val="hybridMultilevel"/>
    <w:lvl w:ilvl="0">
      <w:lvlJc w:val="left"/>
      <w:lvlText w:val="(%1)"/>
      <w:numFmt w:val="lowerLetter"/>
      <w:start w:val="9"/>
    </w:lvl>
  </w:abstractNum>
  <w:abstractNum w:abstractNumId="159">
    <w:nsid w:val="368DB37E"/>
    <w:multiLevelType w:val="hybridMultilevel"/>
    <w:lvl w:ilvl="0">
      <w:lvlJc w:val="left"/>
      <w:lvlText w:val="(%1)"/>
      <w:numFmt w:val="lowerLetter"/>
      <w:start w:val="1"/>
    </w:lvl>
  </w:abstractNum>
  <w:abstractNum w:abstractNumId="160">
    <w:nsid w:val="6A3B714C"/>
    <w:multiLevelType w:val="hybridMultilevel"/>
    <w:lvl w:ilvl="0">
      <w:lvlJc w:val="left"/>
      <w:lvlText w:val="(%1)"/>
      <w:numFmt w:val="lowerLetter"/>
      <w:start w:val="1"/>
    </w:lvl>
  </w:abstractNum>
  <w:abstractNum w:abstractNumId="161">
    <w:nsid w:val="327B517E"/>
    <w:multiLevelType w:val="hybridMultilevel"/>
    <w:lvl w:ilvl="0">
      <w:lvlJc w:val="left"/>
      <w:lvlText w:val="(%1)"/>
      <w:numFmt w:val="lowerLetter"/>
      <w:start w:val="3"/>
    </w:lvl>
  </w:abstractNum>
  <w:abstractNum w:abstractNumId="162">
    <w:nsid w:val="1F461B51"/>
    <w:multiLevelType w:val="hybridMultilevel"/>
    <w:lvl w:ilvl="0">
      <w:lvlJc w:val="left"/>
      <w:lvlText w:val="(%1)"/>
      <w:numFmt w:val="lowerLetter"/>
      <w:start w:val="1"/>
    </w:lvl>
  </w:abstractNum>
  <w:abstractNum w:abstractNumId="163">
    <w:nsid w:val="29BACF25"/>
    <w:multiLevelType w:val="hybridMultilevel"/>
    <w:lvl w:ilvl="0">
      <w:lvlJc w:val="left"/>
      <w:lvlText w:val="(%1)"/>
      <w:numFmt w:val="lowerLetter"/>
      <w:start w:val="2"/>
    </w:lvl>
  </w:abstractNum>
  <w:abstractNum w:abstractNumId="164">
    <w:nsid w:val="5D5BABB3"/>
    <w:multiLevelType w:val="hybridMultilevel"/>
    <w:lvl w:ilvl="0">
      <w:lvlJc w:val="left"/>
      <w:lvlText w:val="(%1)"/>
      <w:numFmt w:val="lowerLetter"/>
      <w:start w:val="6"/>
    </w:lvl>
  </w:abstractNum>
  <w:abstractNum w:abstractNumId="165">
    <w:nsid w:val="51BF6B48"/>
    <w:multiLevelType w:val="hybridMultilevel"/>
    <w:lvl w:ilvl="0">
      <w:lvlJc w:val="left"/>
      <w:lvlText w:val="(%1)"/>
      <w:numFmt w:val="lowerLetter"/>
      <w:start w:val="1"/>
    </w:lvl>
  </w:abstractNum>
  <w:abstractNum w:abstractNumId="166">
    <w:nsid w:val="7E0F6384"/>
    <w:multiLevelType w:val="hybridMultilevel"/>
    <w:lvl w:ilvl="0">
      <w:lvlJc w:val="left"/>
      <w:lvlText w:val="(%1)"/>
      <w:numFmt w:val="lowerLetter"/>
      <w:start w:val="1"/>
    </w:lvl>
  </w:abstractNum>
  <w:abstractNum w:abstractNumId="167">
    <w:nsid w:val="2B4B8B53"/>
    <w:multiLevelType w:val="hybridMultilevel"/>
    <w:lvl w:ilvl="0">
      <w:lvlJc w:val="left"/>
      <w:lvlText w:val="(%1)"/>
      <w:numFmt w:val="lowerLetter"/>
      <w:start w:val="2"/>
    </w:lvl>
  </w:abstractNum>
  <w:abstractNum w:abstractNumId="168">
    <w:nsid w:val="72E3413A"/>
    <w:multiLevelType w:val="hybridMultilevel"/>
    <w:lvl w:ilvl="0">
      <w:lvlJc w:val="left"/>
      <w:lvlText w:val="(%1)"/>
      <w:numFmt w:val="lowerLetter"/>
      <w:start w:val="2"/>
    </w:lvl>
  </w:abstractNum>
  <w:abstractNum w:abstractNumId="169">
    <w:nsid w:val="116AE494"/>
    <w:multiLevelType w:val="hybridMultilevel"/>
    <w:lvl w:ilvl="0">
      <w:lvlJc w:val="left"/>
      <w:lvlText w:val="(%1)"/>
      <w:numFmt w:val="lowerLetter"/>
      <w:start w:val="4"/>
    </w:lvl>
  </w:abstractNum>
  <w:abstractNum w:abstractNumId="170">
    <w:nsid w:val="3494B2FB"/>
    <w:multiLevelType w:val="hybridMultilevel"/>
    <w:lvl w:ilvl="0">
      <w:lvlJc w:val="left"/>
      <w:lvlText w:val="(%1)"/>
      <w:numFmt w:val="lowerLetter"/>
      <w:start w:val="1"/>
    </w:lvl>
  </w:abstractNum>
  <w:abstractNum w:abstractNumId="171">
    <w:nsid w:val="B13A31"/>
    <w:multiLevelType w:val="hybridMultilevel"/>
    <w:lvl w:ilvl="0">
      <w:lvlJc w:val="left"/>
      <w:lvlText w:val="(%1)"/>
      <w:numFmt w:val="lowerLetter"/>
      <w:start w:val="1"/>
    </w:lvl>
    <w:lvl w:ilvl="1">
      <w:lvlJc w:val="left"/>
      <w:lvlText w:val="(%2)"/>
      <w:numFmt w:val="lowerRoman"/>
      <w:start w:val="1"/>
    </w:lvl>
  </w:abstractNum>
  <w:abstractNum w:abstractNumId="172">
    <w:nsid w:val="6442959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73">
    <w:nsid w:val="631F1690"/>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74">
    <w:nsid w:val="25973E32"/>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75">
    <w:nsid w:val="EAD6F57"/>
    <w:multiLevelType w:val="hybridMultilevel"/>
    <w:lvl w:ilvl="0">
      <w:lvlJc w:val="left"/>
      <w:lvlText w:val="(%1)"/>
      <w:numFmt w:val="lowerLetter"/>
      <w:start w:val="1"/>
    </w:lvl>
  </w:abstractNum>
  <w:abstractNum w:abstractNumId="176">
    <w:nsid w:val="6EC9D844"/>
    <w:multiLevelType w:val="hybridMultilevel"/>
    <w:lvl w:ilvl="0">
      <w:lvlJc w:val="left"/>
      <w:lvlText w:val="(%1)"/>
      <w:numFmt w:val="lowerLetter"/>
      <w:start w:val="6"/>
    </w:lvl>
  </w:abstractNum>
  <w:abstractNum w:abstractNumId="177">
    <w:nsid w:val="5C49EAEE"/>
    <w:multiLevelType w:val="hybridMultilevel"/>
    <w:lvl w:ilvl="0">
      <w:lvlJc w:val="left"/>
      <w:lvlText w:val="%1"/>
      <w:numFmt w:val="lowerRoman"/>
      <w:start w:val="1"/>
    </w:lvl>
    <w:lvl w:ilvl="1">
      <w:lvlJc w:val="left"/>
      <w:lvlText w:val="(%2)"/>
      <w:numFmt w:val="lowerLetter"/>
      <w:start w:val="1"/>
    </w:lvl>
  </w:abstractNum>
  <w:abstractNum w:abstractNumId="178">
    <w:nsid w:val="64AF49B"/>
    <w:multiLevelType w:val="hybridMultilevel"/>
    <w:lvl w:ilvl="0">
      <w:lvlJc w:val="left"/>
      <w:lvlText w:val="(%1)"/>
      <w:numFmt w:val="lowerRoman"/>
      <w:start w:val="4"/>
    </w:lvl>
    <w:lvl w:ilvl="1">
      <w:lvlJc w:val="left"/>
      <w:lvlText w:val="(%2)"/>
      <w:numFmt w:val="lowerLetter"/>
      <w:start w:val="5"/>
    </w:lvl>
  </w:abstractNum>
  <w:abstractNum w:abstractNumId="179">
    <w:nsid w:val="397C46BC"/>
    <w:multiLevelType w:val="hybridMultilevel"/>
    <w:lvl w:ilvl="0">
      <w:lvlJc w:val="left"/>
      <w:lvlText w:val="(%1)"/>
      <w:numFmt w:val="lowerLetter"/>
      <w:start w:val="9"/>
    </w:lvl>
  </w:abstractNum>
  <w:abstractNum w:abstractNumId="180">
    <w:nsid w:val="7E448DE9"/>
    <w:multiLevelType w:val="hybridMultilevel"/>
    <w:lvl w:ilvl="0">
      <w:lvlJc w:val="left"/>
      <w:lvlText w:val="(%1)"/>
      <w:numFmt w:val="lowerLetter"/>
      <w:start w:val="1"/>
    </w:lvl>
    <w:lvl w:ilvl="1">
      <w:lvlJc w:val="left"/>
      <w:lvlText w:val="(%2)"/>
      <w:numFmt w:val="lowerRoman"/>
      <w:start w:val="1"/>
    </w:lvl>
  </w:abstractNum>
  <w:abstractNum w:abstractNumId="181">
    <w:nsid w:val="5A9CC3E5"/>
    <w:multiLevelType w:val="hybridMultilevel"/>
    <w:lvl w:ilvl="0">
      <w:lvlJc w:val="left"/>
      <w:lvlText w:val="(%1)"/>
      <w:numFmt w:val="lowerLetter"/>
      <w:start w:val="2"/>
    </w:lvl>
  </w:abstractNum>
  <w:abstractNum w:abstractNumId="182">
    <w:nsid w:val="1AFE3625"/>
    <w:multiLevelType w:val="hybridMultilevel"/>
    <w:lvl w:ilvl="0">
      <w:lvlJc w:val="left"/>
      <w:lvlText w:val="(%1)"/>
      <w:numFmt w:val="lowerLetter"/>
      <w:start w:val="3"/>
    </w:lvl>
  </w:abstractNum>
  <w:abstractNum w:abstractNumId="183">
    <w:nsid w:val="3CA88ECF"/>
    <w:multiLevelType w:val="hybridMultilevel"/>
    <w:lvl w:ilvl="0">
      <w:lvlJc w:val="left"/>
      <w:lvlText w:val="(%1)"/>
      <w:numFmt w:val="lowerLetter"/>
      <w:start w:val="4"/>
    </w:lvl>
  </w:abstractNum>
  <w:abstractNum w:abstractNumId="184">
    <w:nsid w:val="6EBE4208"/>
    <w:multiLevelType w:val="hybridMultilevel"/>
    <w:lvl w:ilvl="0">
      <w:lvlJc w:val="left"/>
      <w:lvlText w:val="(%1)"/>
      <w:numFmt w:val="lowerLetter"/>
      <w:start w:val="1"/>
    </w:lvl>
  </w:abstractNum>
  <w:abstractNum w:abstractNumId="185">
    <w:nsid w:val="C058DF5"/>
    <w:multiLevelType w:val="hybridMultilevel"/>
    <w:lvl w:ilvl="0">
      <w:lvlJc w:val="left"/>
      <w:lvlText w:val="(%1)"/>
      <w:numFmt w:val="lowerLetter"/>
      <w:start w:val="3"/>
    </w:lvl>
  </w:abstractNum>
  <w:abstractNum w:abstractNumId="186">
    <w:nsid w:val="CBE5BE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7">
    <w:nsid w:val="3102BBE2"/>
    <w:multiLevelType w:val="hybridMultilevel"/>
    <w:lvl w:ilvl="0">
      <w:lvlJc w:val="left"/>
      <w:lvlText w:val="(%1)"/>
      <w:numFmt w:val="lowerRoman"/>
      <w:start w:val="2"/>
    </w:lvl>
    <w:lvl w:ilvl="1">
      <w:lvlJc w:val="left"/>
      <w:lvlText w:val="(%2)"/>
      <w:numFmt w:val="upperLetter"/>
      <w:start w:val="1"/>
    </w:lvl>
  </w:abstractNum>
  <w:abstractNum w:abstractNumId="188">
    <w:nsid w:val="26A02C5E"/>
    <w:multiLevelType w:val="hybridMultilevel"/>
    <w:lvl w:ilvl="0">
      <w:lvlJc w:val="left"/>
      <w:lvlText w:val="(%1)"/>
      <w:numFmt w:val="lowerLetter"/>
      <w:start w:val="3"/>
    </w:lvl>
  </w:abstractNum>
  <w:abstractNum w:abstractNumId="189">
    <w:nsid w:val="541C8153"/>
    <w:multiLevelType w:val="hybridMultilevel"/>
    <w:lvl w:ilvl="0">
      <w:lvlJc w:val="left"/>
      <w:lvlText w:val="(%1)"/>
      <w:numFmt w:val="lowerLetter"/>
      <w:start w:val="5"/>
    </w:lvl>
  </w:abstractNum>
  <w:abstractNum w:abstractNumId="190">
    <w:nsid w:val="67906F60"/>
    <w:multiLevelType w:val="hybridMultilevel"/>
    <w:lvl w:ilvl="0">
      <w:lvlJc w:val="left"/>
      <w:lvlText w:val="(%1)"/>
      <w:numFmt w:val="lowerLetter"/>
      <w:start w:val="6"/>
    </w:lvl>
  </w:abstractNum>
  <w:abstractNum w:abstractNumId="191">
    <w:nsid w:val="10DB9DAA"/>
    <w:multiLevelType w:val="hybridMultilevel"/>
    <w:lvl w:ilvl="0">
      <w:lvlJc w:val="left"/>
      <w:lvlText w:val="(%1)"/>
      <w:numFmt w:val="lowerRoman"/>
      <w:start w:val="3"/>
    </w:lvl>
  </w:abstractNum>
  <w:abstractNum w:abstractNumId="192">
    <w:nsid w:val="697D2D2"/>
    <w:multiLevelType w:val="hybridMultilevel"/>
    <w:lvl w:ilvl="0">
      <w:lvlJc w:val="left"/>
      <w:lvlText w:val="(%1)"/>
      <w:numFmt w:val="lowerLetter"/>
      <w:start w:val="1"/>
    </w:lvl>
  </w:abstractNum>
  <w:abstractNum w:abstractNumId="193">
    <w:nsid w:val="6D68AB2"/>
    <w:multiLevelType w:val="hybridMultilevel"/>
    <w:lvl w:ilvl="0">
      <w:lvlJc w:val="left"/>
      <w:lvlText w:val="(%1)"/>
      <w:numFmt w:val="lowerLetter"/>
      <w:start w:val="1"/>
    </w:lvl>
  </w:abstractNum>
  <w:abstractNum w:abstractNumId="194">
    <w:nsid w:val="3A966CD0"/>
    <w:multiLevelType w:val="hybridMultilevel"/>
    <w:lvl w:ilvl="0">
      <w:lvlJc w:val="left"/>
      <w:lvlText w:val="(%1)"/>
      <w:numFmt w:val="lowerLetter"/>
      <w:start w:val="3"/>
    </w:lvl>
  </w:abstractNum>
  <w:abstractNum w:abstractNumId="195">
    <w:nsid w:val="63F37E85"/>
    <w:multiLevelType w:val="hybridMultilevel"/>
    <w:lvl w:ilvl="0">
      <w:lvlJc w:val="left"/>
      <w:lvlText w:val="(%1)"/>
      <w:numFmt w:val="lowerLetter"/>
      <w:start w:val="1"/>
    </w:lvl>
  </w:abstractNum>
  <w:abstractNum w:abstractNumId="196">
    <w:nsid w:val="5895F5FA"/>
    <w:multiLevelType w:val="hybridMultilevel"/>
    <w:lvl w:ilvl="0">
      <w:lvlJc w:val="left"/>
      <w:lvlText w:val="(%1)"/>
      <w:numFmt w:val="lowerLetter"/>
      <w:start w:val="1"/>
    </w:lvl>
    <w:lvl w:ilvl="1">
      <w:lvlJc w:val="left"/>
      <w:lvlText w:val="(%2)"/>
      <w:numFmt w:val="lowerRoman"/>
      <w:start w:val="1"/>
    </w:lvl>
  </w:abstractNum>
  <w:abstractNum w:abstractNumId="197">
    <w:nsid w:val="38A5D054"/>
    <w:multiLevelType w:val="hybridMultilevel"/>
    <w:lvl w:ilvl="0">
      <w:lvlJc w:val="left"/>
      <w:lvlText w:val="(%1)"/>
      <w:numFmt w:val="lowerLetter"/>
      <w:start w:val="1"/>
    </w:lvl>
    <w:lvl w:ilvl="1">
      <w:lvlJc w:val="left"/>
      <w:lvlText w:val="(%2)"/>
      <w:numFmt w:val="lowerRoman"/>
      <w:start w:val="1"/>
    </w:lvl>
  </w:abstractNum>
  <w:abstractNum w:abstractNumId="198">
    <w:nsid w:val="F3F09D8"/>
    <w:multiLevelType w:val="hybridMultilevel"/>
    <w:lvl w:ilvl="0">
      <w:lvlJc w:val="left"/>
      <w:lvlText w:val="%1."/>
      <w:numFmt w:val="decimal"/>
      <w:start w:val="1"/>
    </w:lvl>
  </w:abstractNum>
  <w:abstractNum w:abstractNumId="199">
    <w:nsid w:val="4B793735"/>
    <w:multiLevelType w:val="hybridMultilevel"/>
    <w:lvl w:ilvl="0">
      <w:lvlJc w:val="left"/>
      <w:lvlText w:val="%1."/>
      <w:numFmt w:val="decimal"/>
      <w:start w:val="1"/>
    </w:lvl>
    <w:lvl w:ilvl="1">
      <w:lvlJc w:val="left"/>
      <w:lvlText w:val="%2."/>
      <w:numFmt w:val="lowerLetter"/>
      <w:start w:val="1"/>
    </w:lvl>
  </w:abstractNum>
  <w:abstractNum w:abstractNumId="200">
    <w:nsid w:val="4A10B4E8"/>
    <w:multiLevelType w:val="hybridMultilevel"/>
    <w:lvl w:ilvl="0">
      <w:lvlJc w:val="left"/>
      <w:lvlText w:val="%1."/>
      <w:numFmt w:val="decimal"/>
      <w:start w:val="1"/>
    </w:lvl>
    <w:lvl w:ilvl="1">
      <w:lvlJc w:val="left"/>
      <w:lvlText w:val="%2."/>
      <w:numFmt w:val="lowerLetter"/>
      <w:start w:val="1"/>
    </w:lvl>
  </w:abstractNum>
  <w:abstractNum w:abstractNumId="201">
    <w:nsid w:val="43D3BC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jpe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62" Type="http://schemas.openxmlformats.org/officeDocument/2006/relationships/hyperlink" Target="http://www.sec.gov/Archives/edgar/data/737758/000073775808000033/form8-k06172008exhibitcert.htm" TargetMode="External"/><Relationship Id="rId63" Type="http://schemas.openxmlformats.org/officeDocument/2006/relationships/hyperlink" Target="http://www.sec.gov/Archives/edgar/data/737758/000119312513105223/d501846dex31.htm" TargetMode="External"/><Relationship Id="rId64" Type="http://schemas.openxmlformats.org/officeDocument/2006/relationships/hyperlink" Target="http://www.sec.gov/Archives/edgar/data/737758/000110465916133324/a16-15127_1ex3d1.htm" TargetMode="External"/><Relationship Id="rId65" Type="http://schemas.openxmlformats.org/officeDocument/2006/relationships/hyperlink" Target="http://www.sec.gov/Archives/edgar/data/737758/000110465907030051/a07-10570_1ex4d3.htm" TargetMode="External"/><Relationship Id="rId66" Type="http://schemas.openxmlformats.org/officeDocument/2006/relationships/hyperlink" Target="http://www.sec.gov/Archives/edgar/data/737758/000110465907031757/a07-10570_5ex4d1.htm" TargetMode="External"/><Relationship Id="rId67" Type="http://schemas.openxmlformats.org/officeDocument/2006/relationships/hyperlink" Target="http://www.sec.gov/Archives/edgar/data/737758/000110465907031757/a07-10570_5ex4d2.htm" TargetMode="External"/><Relationship Id="rId68" Type="http://schemas.openxmlformats.org/officeDocument/2006/relationships/hyperlink" Target="https://www.sec.gov/Archives/edgar/data/0000737758/000156459022010675/ttc-ex101_15.htm" TargetMode="External"/><Relationship Id="rId69" Type="http://schemas.openxmlformats.org/officeDocument/2006/relationships/hyperlink" Target="https://www.sec.gov/Archives/edgar/data/0000737758/000156459022010675/ttc-ex102_16.htm" TargetMode="External"/><Relationship Id="rId70" Type="http://schemas.openxmlformats.org/officeDocument/2006/relationships/hyperlink" Target="https://www.sec.gov/Archives/edgar/data/0000737758/000156459022010675/ttc-ex103_17.htm" TargetMode="External"/><Relationship Id="rId71" Type="http://schemas.openxmlformats.org/officeDocument/2006/relationships/hyperlink" Target="https://www.sec.gov/Archives/edgar/data/0000737758/000156459022010675/ttc-ex104_18.htm" TargetMode="External"/><Relationship Id="rId72" Type="http://schemas.openxmlformats.org/officeDocument/2006/relationships/hyperlink" Target="https://www.sec.gov/Archives/edgar/data/0000737758/000156459022010675/ttc-ex105_19.htm" TargetMode="External"/><Relationship Id="rId73" Type="http://schemas.openxmlformats.org/officeDocument/2006/relationships/hyperlink" Target="https://www.sec.gov/Archives/edgar/data/0000737758/000156459022010675/ttc-ex106_20.htm" TargetMode="External"/><Relationship Id="rId74" Type="http://schemas.openxmlformats.org/officeDocument/2006/relationships/hyperlink" Target="https://www.sec.gov/Archives/edgar/data/0000737758/000114036122016358/brhc10036785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2022-06-02T13:39:17Z</dcterms:created>
  <dcterms:modified xsi:type="dcterms:W3CDTF">2022-06-02T13:39:17Z</dcterms:modified>
</cp:coreProperties>
</file>