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680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68007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Svendsen Kurt 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03/01/2023</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4"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4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1054"/>
        <w:spacing w:after="0"/>
        <w:rPr>
          <w:sz w:val="20"/>
          <w:szCs w:val="20"/>
          <w:color w:val="auto"/>
        </w:rPr>
      </w:pPr>
      <w:r>
        <w:rPr>
          <w:rFonts w:ascii="Times New Roman" w:cs="Times New Roman" w:eastAsia="Times New Roman" w:hAnsi="Times New Roman"/>
          <w:sz w:val="17"/>
          <w:szCs w:val="17"/>
          <w:color w:val="0000FF"/>
        </w:rPr>
        <w:t>VP, Technology</w:t>
      </w:r>
    </w:p>
    <w:p>
      <w:pPr>
        <w:spacing w:after="0" w:line="311"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00" w:type="dxa"/>
            <w:vAlign w:val="bottom"/>
          </w:tcPr>
          <w:p>
            <w:pPr>
              <w:jc w:val="right"/>
              <w:ind w:right="245"/>
              <w:spacing w:after="0"/>
              <w:rPr>
                <w:sz w:val="20"/>
                <w:szCs w:val="20"/>
                <w:color w:val="auto"/>
              </w:rPr>
            </w:pPr>
            <w:r>
              <w:rPr>
                <w:rFonts w:ascii="Times New Roman" w:cs="Times New Roman" w:eastAsia="Times New Roman" w:hAnsi="Times New Roman"/>
                <w:sz w:val="17"/>
                <w:szCs w:val="17"/>
                <w:color w:val="0000FF"/>
              </w:rPr>
              <w:t>55420-1196</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2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6"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3"/>
                <w:szCs w:val="13"/>
                <w:color w:val="auto"/>
              </w:rPr>
            </w:pP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40"/>
              <w:spacing w:after="0" w:line="129"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ind w:left="64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Beneficially</w:t>
            </w:r>
          </w:p>
        </w:tc>
        <w:tc>
          <w:tcPr>
            <w:tcW w:w="4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4"/>
              </w:rPr>
              <w:t>10,640.269</w:t>
            </w:r>
            <w:r>
              <w:rPr>
                <w:rFonts w:ascii="Times New Roman" w:cs="Times New Roman" w:eastAsia="Times New Roman" w:hAnsi="Times New Roman"/>
                <w:sz w:val="21"/>
                <w:szCs w:val="21"/>
                <w:color w:val="008000"/>
                <w:w w:val="94"/>
                <w:vertAlign w:val="superscript"/>
              </w:rPr>
              <w:t>(1)</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3"/>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10,950.943</w:t>
            </w:r>
            <w:r>
              <w:rPr>
                <w:rFonts w:ascii="Times New Roman" w:cs="Times New Roman" w:eastAsia="Times New Roman" w:hAnsi="Times New Roman"/>
                <w:sz w:val="21"/>
                <w:szCs w:val="21"/>
                <w:color w:val="008000"/>
                <w:w w:val="94"/>
                <w:vertAlign w:val="superscript"/>
              </w:rPr>
              <w:t>(2)</w:t>
            </w:r>
          </w:p>
        </w:tc>
        <w:tc>
          <w:tcPr>
            <w:tcW w:w="340" w:type="dxa"/>
            <w:vAlign w:val="bottom"/>
          </w:tcPr>
          <w:p>
            <w:pPr>
              <w:spacing w:after="0"/>
              <w:rPr>
                <w:sz w:val="18"/>
                <w:szCs w:val="18"/>
                <w:color w:val="auto"/>
              </w:rPr>
            </w:pPr>
          </w:p>
        </w:tc>
        <w:tc>
          <w:tcPr>
            <w:tcW w:w="540" w:type="dxa"/>
            <w:vAlign w:val="bottom"/>
            <w:vMerge w:val="restart"/>
          </w:tcPr>
          <w:p>
            <w:pPr>
              <w:jc w:val="center"/>
              <w:ind w:right="333"/>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4"/>
              </w:rPr>
              <w:t>2,286.812</w:t>
            </w:r>
            <w:r>
              <w:rPr>
                <w:rFonts w:ascii="Times New Roman" w:cs="Times New Roman" w:eastAsia="Times New Roman" w:hAnsi="Times New Roman"/>
                <w:sz w:val="21"/>
                <w:szCs w:val="21"/>
                <w:color w:val="008000"/>
                <w:w w:val="94"/>
                <w:vertAlign w:val="superscript"/>
              </w:rPr>
              <w:t>(3)</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3"/>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4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1,354</w:t>
            </w: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03/01/2023</w:t>
            </w:r>
          </w:p>
        </w:tc>
        <w:tc>
          <w:tcPr>
            <w:tcW w:w="1100" w:type="dxa"/>
            <w:vAlign w:val="bottom"/>
          </w:tcPr>
          <w:p>
            <w:pPr>
              <w:spacing w:after="0"/>
              <w:rPr>
                <w:sz w:val="11"/>
                <w:szCs w:val="11"/>
                <w:color w:val="auto"/>
              </w:rPr>
            </w:pPr>
          </w:p>
        </w:tc>
        <w:tc>
          <w:tcPr>
            <w:tcW w:w="600" w:type="dxa"/>
            <w:vAlign w:val="bottom"/>
          </w:tcPr>
          <w:p>
            <w:pPr>
              <w:ind w:left="180"/>
              <w:spacing w:after="0" w:line="130" w:lineRule="exact"/>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11"/>
                <w:szCs w:val="11"/>
                <w:color w:val="auto"/>
              </w:rPr>
            </w:pPr>
          </w:p>
        </w:tc>
        <w:tc>
          <w:tcPr>
            <w:tcW w:w="520" w:type="dxa"/>
            <w:vAlign w:val="bottom"/>
          </w:tcPr>
          <w:p>
            <w:pPr>
              <w:ind w:left="100"/>
              <w:spacing w:after="0" w:line="130" w:lineRule="exact"/>
              <w:rPr>
                <w:sz w:val="20"/>
                <w:szCs w:val="20"/>
                <w:color w:val="auto"/>
              </w:rPr>
            </w:pPr>
            <w:r>
              <w:rPr>
                <w:rFonts w:ascii="Times New Roman" w:cs="Times New Roman" w:eastAsia="Times New Roman" w:hAnsi="Times New Roman"/>
                <w:sz w:val="13"/>
                <w:szCs w:val="13"/>
                <w:color w:val="0000FF"/>
              </w:rPr>
              <w:t>1,354</w:t>
            </w:r>
          </w:p>
        </w:tc>
        <w:tc>
          <w:tcPr>
            <w:tcW w:w="2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24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20" w:type="dxa"/>
            <w:vAlign w:val="bottom"/>
            <w:gridSpan w:val="2"/>
          </w:tcPr>
          <w:p>
            <w:pPr>
              <w:ind w:left="260"/>
              <w:spacing w:after="0" w:line="130" w:lineRule="exact"/>
              <w:rPr>
                <w:sz w:val="20"/>
                <w:szCs w:val="20"/>
                <w:color w:val="auto"/>
              </w:rPr>
            </w:pPr>
            <w:r>
              <w:rPr>
                <w:rFonts w:ascii="Times New Roman" w:cs="Times New Roman" w:eastAsia="Times New Roman" w:hAnsi="Times New Roman"/>
                <w:sz w:val="13"/>
                <w:szCs w:val="13"/>
                <w:color w:val="0000FF"/>
              </w:rPr>
              <w:t>1,354</w:t>
            </w:r>
          </w:p>
        </w:tc>
        <w:tc>
          <w:tcPr>
            <w:tcW w:w="540" w:type="dxa"/>
            <w:vAlign w:val="bottom"/>
          </w:tcPr>
          <w:p>
            <w:pPr>
              <w:ind w:left="36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31.636 shares of common stock acquired by the reporting person since the date of his last report under a dividend reinvestment feature of the account in which the shares are held.</w:t>
      </w:r>
    </w:p>
    <w:p>
      <w:pPr>
        <w:spacing w:after="0" w:line="45" w:lineRule="exact"/>
        <w:rPr>
          <w:rFonts w:ascii="Times New Roman" w:cs="Times New Roman" w:eastAsia="Times New Roman" w:hAnsi="Times New Roman"/>
          <w:sz w:val="13"/>
          <w:szCs w:val="13"/>
          <w:color w:val="008000"/>
        </w:rPr>
      </w:pPr>
    </w:p>
    <w:p>
      <w:pPr>
        <w:ind w:left="40" w:right="3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31.952 net shares acquired by the reporting person since the date of his last report under the dividend reinvestment feature of The Toro Company Retirement Plan less non-discretionary quarterly administrative fees.</w:t>
      </w:r>
    </w:p>
    <w:p>
      <w:pPr>
        <w:spacing w:after="0" w:line="15" w:lineRule="exact"/>
        <w:rPr>
          <w:rFonts w:ascii="Times New Roman" w:cs="Times New Roman" w:eastAsia="Times New Roman" w:hAnsi="Times New Roman"/>
          <w:sz w:val="13"/>
          <w:szCs w:val="13"/>
          <w:color w:val="008000"/>
        </w:rPr>
      </w:pPr>
    </w:p>
    <w:p>
      <w:pPr>
        <w:ind w:left="40" w:right="5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3.718 performance share units acquired by the reporting person since the date of his last report under the dividend reinvestment feature of The Toro Company Deferred Compensation Plan for Officers.</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TTC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and become non-forfeitable in three equal annual installments commencing on the first anniversary of the March 1, 2023 grant date.</w:t>
      </w:r>
    </w:p>
    <w:p>
      <w:pPr>
        <w:spacing w:after="0" w:line="38"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Amy E. Dahl, Attorney-in-</w:t>
            </w:r>
          </w:p>
        </w:tc>
        <w:tc>
          <w:tcPr>
            <w:tcW w:w="18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03/03/2023</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8194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2023-03-03T14:59:48Z</dcterms:created>
  <dcterms:modified xsi:type="dcterms:W3CDTF">2023-03-03T14:59:48Z</dcterms:modified>
</cp:coreProperties>
</file>