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603250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517525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257810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189865</wp:posOffset>
            </wp:positionV>
            <wp:extent cx="1792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182880</wp:posOffset>
            </wp:positionV>
            <wp:extent cx="1792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ectPr>
          <w:pgSz w:w="11900" w:h="16838" w:orient="portrait"/>
          <w:cols w:equalWidth="0" w:num="1">
            <w:col w:w="11440"/>
          </w:cols>
          <w:pgMar w:left="240" w:top="1033" w:right="219" w:bottom="1440" w:gutter="0" w:footer="0" w:header="0"/>
        </w:sectPr>
      </w:pPr>
    </w:p>
    <w:p>
      <w:pPr>
        <w:spacing w:after="0" w:line="200" w:lineRule="exact"/>
        <w:rPr>
          <w:sz w:val="24"/>
          <w:szCs w:val="24"/>
          <w:color w:val="auto"/>
        </w:rPr>
      </w:pPr>
    </w:p>
    <w:p>
      <w:pPr>
        <w:spacing w:after="0" w:line="22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83" w:lineRule="exact"/>
        <w:rPr>
          <w:sz w:val="24"/>
          <w:szCs w:val="24"/>
          <w:color w:val="auto"/>
        </w:rPr>
      </w:pPr>
    </w:p>
    <w:p>
      <w:pPr>
        <w:sectPr>
          <w:pgSz w:w="11900" w:h="16838" w:orient="portrait"/>
          <w:cols w:equalWidth="0" w:num="3">
            <w:col w:w="4700" w:space="720"/>
            <w:col w:w="2740" w:space="720"/>
            <w:col w:w="2560"/>
          </w:cols>
          <w:pgMar w:left="240" w:top="1033" w:right="21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60" w:space="720"/>
            <w:col w:w="2640" w:space="720"/>
            <w:col w:w="3300"/>
          </w:cols>
          <w:pgMar w:left="240" w:top="1033" w:right="219" w:bottom="1440" w:gutter="0" w:footer="0" w:header="0"/>
          <w:type w:val="continuous"/>
        </w:sectPr>
      </w:pP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8111 Lyndale Avenue South</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Bloomington, Minnesota 55420-1196</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Telephone number: (952) 888-8801</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1792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4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190" w:lineRule="exact"/>
        <w:rPr>
          <w:sz w:val="24"/>
          <w:szCs w:val="24"/>
          <w:color w:val="auto"/>
        </w:rPr>
      </w:pPr>
    </w:p>
    <w:p>
      <w:pPr>
        <w:jc w:val="both"/>
        <w:ind w:right="40"/>
        <w:spacing w:after="0" w:line="265"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jc w:val="both"/>
        <w:ind w:right="20"/>
        <w:spacing w:after="0" w:line="242"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156210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70485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40"/>
          </w:cols>
          <w:pgMar w:left="240" w:top="1033" w:right="2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18, 2019, The Toro Company announced its earnings for the three and twelve months ended October 31, 2019.</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4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4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37"/>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4820" w:type="dxa"/>
            <w:vAlign w:val="bottom"/>
            <w:tcBorders>
              <w:bottom w:val="single" w:sz="8" w:color="0000FF"/>
            </w:tcBorders>
          </w:tcPr>
          <w:p>
            <w:pPr>
              <w:spacing w:after="0"/>
              <w:rPr>
                <w:rFonts w:ascii="Times New Roman" w:cs="Times New Roman" w:eastAsia="Times New Roman" w:hAnsi="Times New Roman"/>
                <w:sz w:val="20"/>
                <w:szCs w:val="20"/>
                <w:color w:val="0000FF"/>
                <w:w w:val="98"/>
              </w:rPr>
            </w:pPr>
            <w:hyperlink w:anchor="page5">
              <w:r>
                <w:rPr>
                  <w:rFonts w:ascii="Times New Roman" w:cs="Times New Roman" w:eastAsia="Times New Roman" w:hAnsi="Times New Roman"/>
                  <w:sz w:val="20"/>
                  <w:szCs w:val="20"/>
                  <w:color w:val="0000FF"/>
                  <w:w w:val="98"/>
                </w:rPr>
                <w:t>Press release dated December 18, 2019 (furnished herewith).</w:t>
              </w:r>
            </w:hyperlink>
          </w:p>
        </w:tc>
      </w:tr>
    </w:tbl>
    <w:p>
      <w:pPr>
        <w:sectPr>
          <w:pgSz w:w="11900" w:h="16838" w:orient="portrait"/>
          <w:cols w:equalWidth="0" w:num="1">
            <w:col w:w="10219"/>
          </w:cols>
          <w:pgMar w:left="240" w:top="545" w:right="1440"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0"/>
          <w:szCs w:val="20"/>
          <w:color w:val="auto"/>
        </w:rPr>
        <w:t>SIGNATURES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Date: December 18, 2019</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Vice President, Treasurer and</w:t>
      </w:r>
    </w:p>
    <w:p>
      <w:pPr>
        <w:spacing w:after="0" w:line="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380"/>
          </w:cols>
          <w:pgMar w:left="240" w:top="549" w:right="279" w:bottom="1440" w:gutter="0" w:footer="0" w:header="0"/>
        </w:sectPr>
      </w:pPr>
    </w:p>
    <w:bookmarkStart w:id="4" w:name="page5"/>
    <w:bookmarkEnd w:id="4"/>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99504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0000FF"/>
        </w:rPr>
        <w:t>nicholas.rhoads@toro.com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The Toro Company Reports Fiscal </w:t>
      </w:r>
      <w:r>
        <w:rPr>
          <w:rFonts w:ascii="Arial" w:cs="Arial" w:eastAsia="Arial" w:hAnsi="Arial"/>
          <w:sz w:val="19"/>
          <w:szCs w:val="19"/>
          <w:b w:val="1"/>
          <w:bCs w:val="1"/>
          <w:color w:val="auto"/>
        </w:rPr>
        <w:t>2019</w:t>
      </w:r>
      <w:r>
        <w:rPr>
          <w:rFonts w:ascii="Arial" w:cs="Arial" w:eastAsia="Arial" w:hAnsi="Arial"/>
          <w:sz w:val="22"/>
          <w:szCs w:val="22"/>
          <w:b w:val="1"/>
          <w:bCs w:val="1"/>
          <w:color w:val="auto"/>
        </w:rPr>
        <w:t xml:space="preserve"> Results</w:t>
      </w:r>
    </w:p>
    <w:p>
      <w:pPr>
        <w:spacing w:after="0" w:line="69"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Charles Machine Works Acquisition and Snow Products Contribute to Strong Q4 and Full-Year Performance</w:t>
      </w:r>
    </w:p>
    <w:p>
      <w:pPr>
        <w:spacing w:after="0" w:line="27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net sales increased 19.8% over prior fiscal year to a record $3.1 billion</w:t>
      </w:r>
    </w:p>
    <w:p>
      <w:pPr>
        <w:spacing w:after="0" w:line="25" w:lineRule="exact"/>
        <w:rPr>
          <w:rFonts w:ascii="Arial" w:cs="Arial" w:eastAsia="Arial" w:hAnsi="Arial"/>
          <w:sz w:val="20"/>
          <w:szCs w:val="20"/>
          <w:color w:val="auto"/>
        </w:rPr>
      </w:pPr>
    </w:p>
    <w:p>
      <w:pPr>
        <w:ind w:left="660" w:right="280" w:hanging="328"/>
        <w:spacing w:after="0" w:line="239"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full-year diluted EPS up 1.2% over prior fiscal year; *Adjusted full-year diluted EPS up 12.4% over prior fiscal year</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Charles Machine Works integration ahead of plan, and on track to deliver $30 million synergy target</w:t>
      </w:r>
    </w:p>
    <w:p>
      <w:pPr>
        <w:ind w:left="660" w:hanging="328"/>
        <w:spacing w:after="0" w:line="253"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Company issues fiscal 2020 guidance of adjusted EPS in the range of $3.33 to $3.40 per diluted share, representing up to 13.3% year-over-year growth at the high end of the range</w:t>
      </w:r>
    </w:p>
    <w:p>
      <w:pPr>
        <w:spacing w:after="0" w:line="200" w:lineRule="exact"/>
        <w:rPr>
          <w:sz w:val="20"/>
          <w:szCs w:val="20"/>
          <w:color w:val="auto"/>
        </w:rPr>
      </w:pPr>
    </w:p>
    <w:p>
      <w:pPr>
        <w:spacing w:after="0" w:line="232" w:lineRule="exact"/>
        <w:rPr>
          <w:sz w:val="20"/>
          <w:szCs w:val="20"/>
          <w:color w:val="auto"/>
        </w:rPr>
      </w:pPr>
    </w:p>
    <w:p>
      <w:pPr>
        <w:ind w:right="300"/>
        <w:spacing w:after="0" w:line="282" w:lineRule="auto"/>
        <w:rPr>
          <w:sz w:val="20"/>
          <w:szCs w:val="20"/>
          <w:color w:val="auto"/>
        </w:rPr>
      </w:pPr>
      <w:r>
        <w:rPr>
          <w:rFonts w:ascii="Arial" w:cs="Arial" w:eastAsia="Arial" w:hAnsi="Arial"/>
          <w:sz w:val="20"/>
          <w:szCs w:val="20"/>
          <w:b w:val="1"/>
          <w:bCs w:val="1"/>
          <w:color w:val="auto"/>
        </w:rPr>
        <w:t xml:space="preserve">BLOOMINGTON, Minn.--(BUSINESS WIRE)--Dec. 18, 2019 </w:t>
      </w:r>
      <w:r>
        <w:rPr>
          <w:rFonts w:ascii="Arial" w:cs="Arial" w:eastAsia="Arial" w:hAnsi="Arial"/>
          <w:sz w:val="20"/>
          <w:szCs w:val="20"/>
          <w:color w:val="auto"/>
        </w:rPr>
        <w:t>-- The Toro Company (NYSE: TTC) today reported results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fourth quarter and full fiscal year ended October 31, 2019.</w:t>
      </w:r>
    </w:p>
    <w:p>
      <w:pPr>
        <w:spacing w:after="0" w:line="13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concluded fiscal 2019 by exceeding the $3 billion revenue milestone and delivering strong gross margin and revenue growth momentum heading into fiscal 2020,” said Richard M. Olson, Toro’s chairman and chief executive officer. “The year was marked by record results, the transformational acquisition of Charles Machine Works and strong demand for snow and ice management products in our professional and residential segments. New product introductions contributed to our growth, such as the stand-on BOSS® Snowrator®, the redesigned Power Clear® snow thrower and the Flex-Force™ lithium-ion battery-powered products with all season capability. I would like to thank our team and channel partners for their dedication, consistent execution, and continued focus on our end customers.”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2019 Financial Highlights</w:t>
      </w:r>
    </w:p>
    <w:p>
      <w:pPr>
        <w:spacing w:after="0" w:line="1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sales of $3,138.1 million, up 19.8% compared to fiscal 2018 net sales of $2,618.7 million</w:t>
      </w:r>
    </w:p>
    <w:p>
      <w:pPr>
        <w:spacing w:after="0" w:line="25" w:lineRule="exact"/>
        <w:rPr>
          <w:rFonts w:ascii="Arial" w:cs="Arial" w:eastAsia="Arial" w:hAnsi="Arial"/>
          <w:sz w:val="20"/>
          <w:szCs w:val="20"/>
          <w:color w:val="auto"/>
        </w:rPr>
      </w:pPr>
    </w:p>
    <w:p>
      <w:pPr>
        <w:ind w:left="660" w:right="100" w:hanging="328"/>
        <w:spacing w:after="0" w:line="23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earnings of $274.0 million, up 0.8% compared to fiscal 2018 net earnings of $271.9 million; *Adjusted net earnings of $324.3 million, up 11.8% compared to fiscal 2018 adjusted net earnings of $290.1 million</w:t>
      </w:r>
    </w:p>
    <w:p>
      <w:pPr>
        <w:spacing w:after="0" w:line="1" w:lineRule="exact"/>
        <w:rPr>
          <w:rFonts w:ascii="Arial" w:cs="Arial" w:eastAsia="Arial" w:hAnsi="Arial"/>
          <w:sz w:val="20"/>
          <w:szCs w:val="20"/>
          <w:color w:val="auto"/>
        </w:rPr>
      </w:pPr>
    </w:p>
    <w:p>
      <w:pPr>
        <w:ind w:left="660" w:right="400" w:hanging="328"/>
        <w:spacing w:after="0" w:line="252"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Reported EPS of $2.53 per diluted share, up 1.2% compared to fiscal 2018 reported EPS of $2.50 per diluted share; *Adjusted EPS of $3.00 per diluted share, up 12.4% compared to fiscal 2018 adjusted EPS of $2.67 per diluted share</w:t>
      </w: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Returned $116.1 million to shareholders: $96.1 million in dividends and $20.0 million through share repurchases</w:t>
      </w:r>
    </w:p>
    <w:p>
      <w:pPr>
        <w:sectPr>
          <w:pgSz w:w="11900" w:h="16838" w:orient="portrait"/>
          <w:cols w:equalWidth="0" w:num="1">
            <w:col w:w="11320"/>
          </w:cols>
          <w:pgMar w:left="240" w:top="1440" w:right="33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color w:val="auto"/>
        </w:rPr>
        <w:t>2 -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Fiscal 2019 Financial Highlights</w:t>
      </w:r>
    </w:p>
    <w:p>
      <w:pPr>
        <w:spacing w:after="0" w:line="13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sales of $734.4 million, up 36.2% compared to fiscal 2018 net sales of $539.3 million</w:t>
      </w:r>
    </w:p>
    <w:p>
      <w:pPr>
        <w:spacing w:after="0" w:line="25"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earnings of $38.3 million, down 2.0% compared to fiscal 2018 net earnings of $39.0 million;</w:t>
      </w:r>
    </w:p>
    <w:p>
      <w:pPr>
        <w:ind w:left="660"/>
        <w:spacing w:after="0"/>
        <w:rPr>
          <w:rFonts w:ascii="Arial" w:cs="Arial" w:eastAsia="Arial" w:hAnsi="Arial"/>
          <w:sz w:val="20"/>
          <w:szCs w:val="20"/>
          <w:color w:val="auto"/>
        </w:rPr>
      </w:pPr>
      <w:r>
        <w:rPr>
          <w:rFonts w:ascii="Arial" w:cs="Arial" w:eastAsia="Arial" w:hAnsi="Arial"/>
          <w:sz w:val="20"/>
          <w:szCs w:val="20"/>
          <w:color w:val="auto"/>
        </w:rPr>
        <w:t>*Adjusted net earnings of $51.8 million, up 51.5% compared to fiscal 2018 adjusted net earnings of $34.2 million</w:t>
      </w:r>
    </w:p>
    <w:p>
      <w:pPr>
        <w:ind w:left="660" w:right="340" w:hanging="328"/>
        <w:spacing w:after="0" w:line="279"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Reported EPS of $0.35 per diluted share, down 2.8% compared to fiscal 2018 reported EPS of $0.36 per diluted share; *Adjusted EPS of $0.48 per diluted share, up 50.0% compared to fiscal 2018 adjusted EPS of $0.32 per diluted share</w:t>
      </w:r>
    </w:p>
    <w:p>
      <w:pPr>
        <w:spacing w:after="0" w:line="67"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see the tables provided for a reconciliation of non-GAAP adjusted net earnings and adjusted diluted earnings per share to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comparable GAAP measures.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Highlights</w:t>
      </w:r>
    </w:p>
    <w:p>
      <w:pPr>
        <w:spacing w:after="0" w:line="137" w:lineRule="exact"/>
        <w:rPr>
          <w:sz w:val="20"/>
          <w:szCs w:val="20"/>
          <w:color w:val="auto"/>
        </w:rPr>
      </w:pPr>
    </w:p>
    <w:p>
      <w:pPr>
        <w:ind w:left="660" w:right="140" w:hanging="328"/>
        <w:spacing w:after="0" w:line="245"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20"/>
          <w:szCs w:val="20"/>
          <w:color w:val="auto"/>
        </w:rPr>
        <w:t>Charles Machine Works (CMW) acquisition positions the company as a market leader in underground and specialty construction markets, driving less seasonal net sales growth and creating incremental value for our shareholders. CMW brands, such as Ditch Witch and American Augers, made significant net sales contributions from equipment that enables the installation and replacement of underground infrastructure from natural gas pipelines and high-voltage electric lines to water systems and 5G wireless networks.</w:t>
      </w:r>
    </w:p>
    <w:p>
      <w:pPr>
        <w:ind w:left="66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Strong snow and ice management product demand for the fiscal year was led by BOSS® and residential snow throwers for our mass retail and dealer channel partners.</w:t>
      </w:r>
    </w:p>
    <w:p>
      <w:pPr>
        <w:spacing w:after="0" w:line="1" w:lineRule="exact"/>
        <w:rPr>
          <w:rFonts w:ascii="Arial" w:cs="Arial" w:eastAsia="Arial" w:hAnsi="Arial"/>
          <w:sz w:val="20"/>
          <w:szCs w:val="20"/>
          <w:color w:val="auto"/>
        </w:rPr>
      </w:pPr>
    </w:p>
    <w:p>
      <w:pPr>
        <w:ind w:left="660" w:right="24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All season Flex-Force™ lithium-ion battery-powered products, such as snow throwers, walk power mowers and portable power products, had strong introductions in the fiscal year.</w:t>
      </w:r>
    </w:p>
    <w:p>
      <w:pPr>
        <w:spacing w:after="0" w:line="1" w:lineRule="exact"/>
        <w:rPr>
          <w:rFonts w:ascii="Arial" w:cs="Arial" w:eastAsia="Arial" w:hAnsi="Arial"/>
          <w:sz w:val="20"/>
          <w:szCs w:val="20"/>
          <w:color w:val="auto"/>
        </w:rPr>
      </w:pPr>
    </w:p>
    <w:p>
      <w:pPr>
        <w:ind w:left="660" w:right="700" w:hanging="328"/>
        <w:spacing w:after="0" w:line="252"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Investments are being made in innovations such as alternative energy, smart-connected products and autonomous technologies designed to enhance productivity and help solve customer challenges such as labor availability.</w:t>
      </w:r>
    </w:p>
    <w:p>
      <w:pPr>
        <w:ind w:left="660" w:right="440" w:hanging="328"/>
        <w:spacing w:after="0" w:line="253"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Prudent sourcing strategies, productivity and cost improvement initiatives, as well as strategic capital investments and price adjustments, helped to mitigate rising input costs and tariffs for the year.</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and Fiscal Year 2020 Outlook</w:t>
      </w:r>
    </w:p>
    <w:p>
      <w:pPr>
        <w:spacing w:after="0" w:line="137"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“With the first quarter of fiscal 2020 underway, we are encouraged by the retail activity in our professional and residential snow and ice management products. The fundamentals of the business remain strong and we expect to generate higher levels of free cash flow and return value to our shareholders through dividends and share repurchases," said Olson.</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For fiscal 2020, management expects net sales of about $ 3.6 billion and adjusted EPS in the range of $ 3.33 to $3.40 per diluted share. For the first quarter, the company expects adjusted EPS of about $0.58 per diluted share. These adjusted diluted EPS estimates exclude the benefit of the excess tax deduction for share-based compensation, acquisition-related costs, and other non-recurring items.</w:t>
      </w:r>
    </w:p>
    <w:p>
      <w:pPr>
        <w:spacing w:after="0" w:line="8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company expects higher depreciation and amortization as a result of the Charles Machine Works acquisition and are forecasting about $95 million for the year. Capital expenditures are estimated to be about $100 million for the year. We expect an adjusted effective tax rate of about 20.5%.</w:t>
      </w:r>
    </w:p>
    <w:p>
      <w:pPr>
        <w:sectPr>
          <w:pgSz w:w="11900" w:h="16838" w:orient="portrait"/>
          <w:cols w:equalWidth="0" w:num="1">
            <w:col w:w="11400"/>
          </w:cols>
          <w:pgMar w:left="240" w:top="495" w:right="25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3 -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137" w:lineRule="exact"/>
        <w:rPr>
          <w:sz w:val="20"/>
          <w:szCs w:val="20"/>
          <w:color w:val="auto"/>
        </w:rPr>
      </w:pPr>
    </w:p>
    <w:p>
      <w:pPr>
        <w:ind w:left="660" w:right="120" w:hanging="328"/>
        <w:spacing w:after="0" w:line="245"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Professional segment net sales for fiscal 2019 increased 25.5% to $2,443.4 million from $1,947.0 million last year. For the fourth quarter, professional segment net sales increased 46.9% to $588.2 million from $400.5 million last year. For both periods, the addition of CMW was the main driver of net sales growth. Similarly, strong net sales of BOSS® snow and ice management equipment driven primarily by favorable snowfalls earlier in the year and the successful launch of the stand-on Snowrator® bolstered the results. For the year, net sales increased in the landscape contractor business primarily due to the introduction of the new Staris® stand-on zero-turn riding mower and new lawn solution products from a prior acquisition. The rental and specialty construction portfolio performed well due to the introduction of the Dingo® TXL 2000 compact utility loader and continued channel demand for the Dingo® TX 1000 compact utility loader.</w:t>
      </w:r>
    </w:p>
    <w:p>
      <w:pPr>
        <w:spacing w:after="0" w:line="93" w:lineRule="exact"/>
        <w:rPr>
          <w:rFonts w:ascii="Arial" w:cs="Arial" w:eastAsia="Arial" w:hAnsi="Arial"/>
          <w:sz w:val="20"/>
          <w:szCs w:val="20"/>
          <w:color w:val="auto"/>
        </w:rPr>
      </w:pPr>
    </w:p>
    <w:p>
      <w:pPr>
        <w:ind w:left="660" w:right="340" w:hanging="328"/>
        <w:spacing w:after="0" w:line="253"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Professional segment earnings for fiscal 2019 were $380.9 million compared with $399.8 million in the same period last year, largely as a result of the unfavorable impact of purchase accounting adjustments, higher selling, general and administrative expenses, and acquisition and integration expenditures related to the CMW acquisition. Professional segment earnings for the fourth quarter were $61.2 million, essentially flat with the prior-year period.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137" w:lineRule="exact"/>
        <w:rPr>
          <w:sz w:val="20"/>
          <w:szCs w:val="20"/>
          <w:color w:val="auto"/>
        </w:rPr>
      </w:pPr>
    </w:p>
    <w:p>
      <w:pPr>
        <w:ind w:left="660" w:right="40" w:hanging="328"/>
        <w:spacing w:after="0" w:line="247"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Residential segment net sales for fiscal 2019 were up 1.0% to $661.3 million from $654.4 million last year, reflecting higher net sales of snow thrower products due to strong retail demand and new product introductions such as the Power Clear® and Power Max®. Additionally, the Flex-Force™ lithium-ion battery-powered snow throwers and walk power mowers bolstered results for the year. For the fourth quarter, residential segment net sales were up 1.9% to $135.7 million from $133.2 million last year, due to strong snow thrower demand and new product introductions, somewhat offset by weaker demand for zero-turn riding and walk power mowers.</w:t>
      </w:r>
    </w:p>
    <w:p>
      <w:pPr>
        <w:spacing w:after="0" w:line="92" w:lineRule="exact"/>
        <w:rPr>
          <w:rFonts w:ascii="Arial" w:cs="Arial" w:eastAsia="Arial" w:hAnsi="Arial"/>
          <w:sz w:val="20"/>
          <w:szCs w:val="20"/>
          <w:color w:val="auto"/>
        </w:rPr>
      </w:pPr>
    </w:p>
    <w:p>
      <w:pPr>
        <w:ind w:left="660" w:hanging="328"/>
        <w:spacing w:after="0" w:line="253"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Residential segment earnings for fiscal 2019 were up 0.5% to $65.2 million from $64.8 million in the comparable period last year. Residential segment earnings for the fourth quarter were up 104.7% to $13.9 million from $6.8 million last year primarily as a result of pricing and productivity as well as lower commodity costs compared to the fourth quarter of fiscal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37"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Gross margin for fiscal 2019 was 33.4% compared with 35.9% for fiscal 2018, a decrease of 250 basis points, primarily the result of the unfavorable impact of higher commodity and tariff costs and purchase accounting charges associated with the CMW acquisition. For the fourth quarter of fiscal 2019, gross margin improved to 33.4% from 33.2% in the prior period, driven by pricing and productivity, partially offset by the unfavorable impact of the CMW purchase accounting and acquisition-related charges.</w:t>
      </w:r>
    </w:p>
    <w:p>
      <w:pPr>
        <w:spacing w:after="0" w:line="70"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Selling, general and administrative (SG&amp;A) expense as a percent of sales for fiscal 2019 increased 130 basis points to 23.0% versus the comparable period last year, reflecting higher incremental expenses related to the CMW acquisition and increased engineering expense for new product development. For the fourth quarter, SG&amp;A expense as a percent of sales was 27.5%, an increase of 230 basis points from the fourth quarter of 2018 primarily a result of the CMW acquisition.</w:t>
      </w:r>
    </w:p>
    <w:p>
      <w:pPr>
        <w:spacing w:after="0" w:line="84" w:lineRule="exact"/>
        <w:rPr>
          <w:sz w:val="20"/>
          <w:szCs w:val="20"/>
          <w:color w:val="auto"/>
        </w:rPr>
      </w:pPr>
    </w:p>
    <w:p>
      <w:pPr>
        <w:ind w:right="40"/>
        <w:spacing w:after="0" w:line="280" w:lineRule="auto"/>
        <w:rPr>
          <w:sz w:val="20"/>
          <w:szCs w:val="20"/>
          <w:color w:val="auto"/>
        </w:rPr>
      </w:pPr>
      <w:r>
        <w:rPr>
          <w:rFonts w:ascii="Arial" w:cs="Arial" w:eastAsia="Arial" w:hAnsi="Arial"/>
          <w:sz w:val="20"/>
          <w:szCs w:val="20"/>
          <w:color w:val="auto"/>
        </w:rPr>
        <w:t>For fiscal 2019, operating earnings as a percent of net sales were 10.4%, compared with 14.2% in fiscal 2018. Operating earnings as a percent of net sales for the fourth quarter were 5.9%, compared with 8.0% in the same period last fiscal year.</w:t>
      </w:r>
    </w:p>
    <w:p>
      <w:pPr>
        <w:sectPr>
          <w:pgSz w:w="11900" w:h="16838" w:orient="portrait"/>
          <w:cols w:equalWidth="0" w:num="1">
            <w:col w:w="11420"/>
          </w:cols>
          <w:pgMar w:left="240" w:top="495"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4 -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ind w:right="400"/>
        <w:spacing w:after="0" w:line="280" w:lineRule="auto"/>
        <w:rPr>
          <w:sz w:val="20"/>
          <w:szCs w:val="20"/>
          <w:color w:val="auto"/>
        </w:rPr>
      </w:pPr>
      <w:r>
        <w:rPr>
          <w:rFonts w:ascii="Arial" w:cs="Arial" w:eastAsia="Arial" w:hAnsi="Arial"/>
          <w:sz w:val="20"/>
          <w:szCs w:val="20"/>
          <w:color w:val="auto"/>
        </w:rPr>
        <w:t>Interest expense for fiscal year 2019 increased year over year by $9.7 million to $28.8 million as a result of higher outstanding borrowings to fund the purchase of CMW.</w:t>
      </w:r>
    </w:p>
    <w:p>
      <w:pPr>
        <w:spacing w:after="0" w:line="5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Other income, net, for fiscal 2019 was $25.9 million, an increase of $7.5 million primarily driven by realized gains on actuarial valuation changes for our pension and post-retirement plans and higher income from our proportionate share in the Red Iron joint venture.</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effective tax rate for fiscal 2019 was 14.9%, compared with 27.0% in fiscal 2018. The effective tax rate for the fourth quarter in fiscal 2019 was 12.4% compared with 10.4% for the fourth quarter in fiscal 2018.</w:t>
      </w:r>
    </w:p>
    <w:p>
      <w:pPr>
        <w:spacing w:after="0" w:line="5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Accounts receivable at the end of the fiscal year were $268.8 million, up 39.1% from last fiscal year. Net inventories were $651.7 million, up 81.9% from last fiscal year. Accounts payable were $319.2 million, up 24.4% from the comparable period last fiscal year. The overall increase in working capital at the end of fiscal 2019 was mainly due to the CMW acquisition.</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37"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$3.1 billion in fiscal 2019, The Toro Company’s global presence extends to more than 125 countries through a family of brands that includes Toro, Ditch Witch, Exmark, BOSS Snowplow,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563C1"/>
        </w:rPr>
        <w:t>www.thetorocompany.com.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18, 2019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09"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approximately 10:00 a.m. CST on December 18, 2019.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ectPr>
          <w:pgSz w:w="11900" w:h="16838" w:orient="portrait"/>
          <w:cols w:equalWidth="0" w:num="1">
            <w:col w:w="11400"/>
          </w:cols>
          <w:pgMar w:left="240" w:top="495" w:right="25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5 -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37"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This press release and our related earnings call references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consist of gross profit, operating earnings before income taxes, operating earnings, net earnings, net earnings per diluted share and effective tax rate, each as adjusted, as measures of our operating performance.</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Toro Company uses these non-GAAP financial measures in making operating decisions because we believe these non-GAAP financial measures provide meaningful supplemental information regarding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Further, we believe that these non-GAAP financial measures, when considered in conjunction with the financial measures prepared in accordance with U.S. GAAP, provide investors with useful supplemental financial information to better understand our core operational performance.</w:t>
      </w:r>
    </w:p>
    <w:p>
      <w:pPr>
        <w:spacing w:after="0" w:line="97"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auto"/>
        </w:rPr>
        <w:t>Reconciliations of historical non-GAAP financial measures to the most comparable GAAP financial measures are included in the financial tables contained in this press release. These measures, however, should not be considered superior to, as a substitute for, or as an alternative to, and should be considered in conjunction with, the GAAP financial measures included within this press release and our related earnings call. These non-GAAP financial measures may differ from similar measures used by other companies.</w:t>
      </w:r>
    </w:p>
    <w:p>
      <w:pPr>
        <w:spacing w:after="0" w:line="90"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The Toro Company cannot provide quantitative reconciliations of forward-looking non-GAAP diluted EPS guidance to projected GAAP diluted EPS guidance or non-GAAP adjusted effective tax rate guidance to projected GAAP effective tax rate guidance without unreasonable effort because the combined impact and timing of recognition of potential charges or gains is inherently uncertain and difficult to predict. In addition, since any adjustments could have a substantial impact on GAAP measures of financial performance, such quantitative reconciliations would imply a degree of precision and certainty that could be confusing to investors.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commodities, components, parts, and accessories,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customer, government and municipal revenue, budget and spending levels; loss of any substantial customer, including mass retailers and home centers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w:t>
      </w:r>
    </w:p>
    <w:p>
      <w:pPr>
        <w:sectPr>
          <w:pgSz w:w="11900" w:h="16838" w:orient="portrait"/>
          <w:cols w:equalWidth="0" w:num="1">
            <w:col w:w="11400"/>
          </w:cols>
          <w:pgMar w:left="240" w:top="495" w:right="25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6 -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including those related to our recent acquisition of Charles Machine Works, such as delays or failure by us in achieving the net sales, earnings and cost or revenue synergies expected from the acquisition, delays and challenges in integrating the businesses, business disruptions due to the acquisition, impacts as a result of purchase accounting adjustments and unanticipated liabilities or exposures for which we have not been indemnified or may not recover; impairment of goodwill or other intangible assets; delays or failures in implementing, and unanticipated charges, as a result of, restructuring activities;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380"/>
          </w:cols>
          <w:pgMar w:left="240" w:top="495" w:right="27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7 -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2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8"/>
                <w:szCs w:val="18"/>
                <w:color w:val="auto"/>
              </w:rPr>
            </w:pPr>
          </w:p>
        </w:tc>
        <w:tc>
          <w:tcPr>
            <w:tcW w:w="13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38"/>
        </w:trPr>
        <w:tc>
          <w:tcPr>
            <w:tcW w:w="4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74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734,379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539,303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3,138,084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2,618,650</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245,067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1,047,963</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941,011</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201,761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136,067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722,934</w:t>
            </w: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567,926</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1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43,306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325,029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373,085</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(8,395)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(19,096)</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8,787</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25,939</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18,408</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43,698</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43,571</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322,133</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372,397</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5,432</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48,150</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100,458</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7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38,266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39,037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273,983</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271,939</w:t>
            </w:r>
          </w:p>
        </w:tc>
      </w:tr>
      <w:tr>
        <w:trPr>
          <w:trHeight w:val="67"/>
        </w:trPr>
        <w:tc>
          <w:tcPr>
            <w:tcW w:w="40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40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0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1740" w:type="dxa"/>
            <w:vAlign w:val="bottom"/>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5"/>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107,166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106,042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106,773</w:t>
            </w:r>
          </w:p>
        </w:tc>
        <w:tc>
          <w:tcPr>
            <w:tcW w:w="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106,369</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40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5"/>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108,414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107,916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108,090</w:t>
            </w:r>
          </w:p>
        </w:tc>
        <w:tc>
          <w:tcPr>
            <w:tcW w:w="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108,657</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7"/>
        </w:trPr>
        <w:tc>
          <w:tcPr>
            <w:tcW w:w="404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Segment Data (Unaudited)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2"/>
        </w:trPr>
        <w:tc>
          <w:tcPr>
            <w:tcW w:w="4040" w:type="dxa"/>
            <w:vAlign w:val="bottom"/>
          </w:tcPr>
          <w:p>
            <w:pPr>
              <w:spacing w:after="0"/>
              <w:rPr>
                <w:sz w:val="22"/>
                <w:szCs w:val="22"/>
                <w:color w:val="auto"/>
              </w:rPr>
            </w:pPr>
          </w:p>
        </w:tc>
        <w:tc>
          <w:tcPr>
            <w:tcW w:w="288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494"/>
        </w:trPr>
        <w:tc>
          <w:tcPr>
            <w:tcW w:w="4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74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2,443,448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1,946,999</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661,274</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654,413</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33,362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17,238</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734,379</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539,303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3,138,084</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2,618,650</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*Includes international net sales of:</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177,599</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724,931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643,088</w:t>
            </w:r>
          </w:p>
        </w:tc>
      </w:tr>
      <w:tr>
        <w:trPr>
          <w:trHeight w:val="372"/>
        </w:trPr>
        <w:tc>
          <w:tcPr>
            <w:tcW w:w="40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Earnings (Loss)</w:t>
            </w:r>
          </w:p>
        </w:tc>
        <w:tc>
          <w:tcPr>
            <w:tcW w:w="174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380,914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399,806</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65,151</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64,807</w:t>
            </w:r>
          </w:p>
        </w:tc>
      </w:tr>
      <w:tr>
        <w:trPr>
          <w:trHeight w:val="27"/>
        </w:trPr>
        <w:tc>
          <w:tcPr>
            <w:tcW w:w="4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(31,425)</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(92,216)</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segment earnings</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43,698</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43,571</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322,133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372,397</w:t>
            </w:r>
          </w:p>
        </w:tc>
      </w:tr>
      <w:tr>
        <w:trPr>
          <w:trHeight w:val="27"/>
        </w:trPr>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95"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8 -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72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31, 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628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151,828</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289,124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2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268,768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193,178</w:t>
            </w: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651,663</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358,259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50,632</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54,076</w:t>
            </w:r>
          </w:p>
        </w:tc>
      </w:tr>
      <w:tr>
        <w:trPr>
          <w:trHeight w:val="237"/>
        </w:trPr>
        <w:tc>
          <w:tcPr>
            <w:tcW w:w="40" w:type="dxa"/>
            <w:vAlign w:val="bottom"/>
            <w:tcBorders>
              <w:top w:val="single" w:sz="8" w:color="auto"/>
            </w:tcBorders>
          </w:tcPr>
          <w:p>
            <w:pPr>
              <w:spacing w:after="0"/>
              <w:rPr>
                <w:sz w:val="20"/>
                <w:szCs w:val="20"/>
                <w:color w:val="auto"/>
              </w:rPr>
            </w:pPr>
          </w:p>
        </w:tc>
        <w:tc>
          <w:tcPr>
            <w:tcW w:w="6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1,122,891</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894,637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437,317</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271,459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6,251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38,252</w:t>
            </w: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 other intangible assets, and other assets, net</w:t>
            </w:r>
          </w:p>
        </w:tc>
        <w:tc>
          <w:tcPr>
            <w:tcW w:w="2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764,088</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366,636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40" w:type="dxa"/>
            <w:vAlign w:val="bottom"/>
            <w:tcBorders>
              <w:bottom w:val="single" w:sz="8" w:color="CCEEFF"/>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2,330,547</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1,570,984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2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20" w:type="dxa"/>
            <w:vAlign w:val="bottom"/>
            <w:tcBorders>
              <w:top w:val="single" w:sz="8" w:color="auto"/>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79,914</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319,230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256,575</w:t>
            </w: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357,826</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276,060</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756,970</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532,635</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620,899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312,549</w:t>
            </w:r>
          </w:p>
        </w:tc>
      </w:tr>
      <w:tr>
        <w:trPr>
          <w:trHeight w:val="243"/>
        </w:trPr>
        <w:tc>
          <w:tcPr>
            <w:tcW w:w="6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50,579</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42,521</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55,487</w:t>
            </w:r>
          </w:p>
        </w:tc>
      </w:tr>
      <w:tr>
        <w:trPr>
          <w:trHeight w:val="237"/>
        </w:trPr>
        <w:tc>
          <w:tcPr>
            <w:tcW w:w="62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859,578</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668,916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40" w:type="dxa"/>
            <w:vAlign w:val="bottom"/>
            <w:tcBorders>
              <w:bottom w:val="single" w:sz="8" w:color="CCEEFF"/>
            </w:tcBorders>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2,330,547</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1,570,984</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95"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9 -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4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2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7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273,983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271,939</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(11,948)</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finance affiliate,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10,343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9,228</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69,314</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53,484</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18,384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7,793</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step-up adjustment to acquired inventory</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39,368</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13,429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12,161</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25,255</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6,357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(104,832)</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(29,770)</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9,747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30,458</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47,460</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337,371</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364,805</w:t>
            </w:r>
          </w:p>
        </w:tc>
      </w:tr>
      <w:tr>
        <w:trPr>
          <w:trHeight w:val="169"/>
        </w:trPr>
        <w:tc>
          <w:tcPr>
            <w:tcW w:w="74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(92,881)</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(90,124)</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a business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12,941</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(697,471)</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(772,942)</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(127,925)</w:t>
            </w:r>
          </w:p>
        </w:tc>
      </w:tr>
      <w:tr>
        <w:trPr>
          <w:trHeight w:val="169"/>
        </w:trPr>
        <w:tc>
          <w:tcPr>
            <w:tcW w:w="74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debt arrangements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900,000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under debt arrangements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(511,000)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29,336</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17,243</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withholding taxes for stock awards</w:t>
            </w:r>
          </w:p>
        </w:tc>
        <w:tc>
          <w:tcPr>
            <w:tcW w:w="1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(160,435)</w:t>
            </w:r>
          </w:p>
        </w:tc>
      </w:tr>
      <w:tr>
        <w:trPr>
          <w:trHeight w:val="27"/>
        </w:trPr>
        <w:tc>
          <w:tcPr>
            <w:tcW w:w="7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1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(96,133)</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(85,031)</w:t>
            </w:r>
          </w:p>
        </w:tc>
      </w:tr>
      <w:tr>
        <w:trPr>
          <w:trHeight w:val="237"/>
        </w:trPr>
        <w:tc>
          <w:tcPr>
            <w:tcW w:w="74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299,498</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(252,075)</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7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7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(137,296)</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1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289,124</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310,256</w:t>
            </w:r>
          </w:p>
        </w:tc>
      </w:tr>
      <w:tr>
        <w:trPr>
          <w:trHeight w:val="237"/>
        </w:trPr>
        <w:tc>
          <w:tcPr>
            <w:tcW w:w="7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151,828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289,124</w:t>
            </w:r>
          </w:p>
        </w:tc>
      </w:tr>
      <w:tr>
        <w:trPr>
          <w:trHeight w:val="27"/>
        </w:trPr>
        <w:tc>
          <w:tcPr>
            <w:tcW w:w="7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95"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color w:val="auto"/>
        </w:rPr>
        <w:t>10 -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The company uses these non-GAAP financial measures in making operating decisions because the company believes these non-GAAP financial measures provide meaningful supplemental information regarding the company's core operational performance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not related to the company's regular, ongoing business, including, without limitation, non-cash charges, certain large and unpredictable charges, acquisitions and dispositions, legal settlements, and tax positions. Further,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Such non-GAAP financial measures should not be considered superior to, as a substitute for, or as an alternative to, and should be considered in conjunction with, the most directly comparable GAAP financial measures presented in the accompanying press release. The non-GAAP financial measures presented in the accompanying press release may differ from similar measures used by other companies.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measures calculated and reported in accordance with GAAP, as well as adjusted non-GAAP financial measures, in the accompanying press release for the three and twelve month periods ended October 31, 2019 and October 31,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20" w:type="dxa"/>
            <w:vAlign w:val="bottom"/>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19"/>
                <w:szCs w:val="19"/>
                <w:color w:val="auto"/>
              </w:rPr>
            </w:pPr>
          </w:p>
        </w:tc>
        <w:tc>
          <w:tcPr>
            <w:tcW w:w="2500" w:type="dxa"/>
            <w:vAlign w:val="bottom"/>
            <w:gridSpan w:val="3"/>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9"/>
        </w:trPr>
        <w:tc>
          <w:tcPr>
            <w:tcW w:w="45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5"/>
        </w:trPr>
        <w:tc>
          <w:tcPr>
            <w:tcW w:w="4580" w:type="dxa"/>
            <w:vAlign w:val="bottom"/>
          </w:tcPr>
          <w:p>
            <w:pPr>
              <w:spacing w:after="0"/>
              <w:rPr>
                <w:sz w:val="20"/>
                <w:szCs w:val="20"/>
                <w:color w:val="auto"/>
              </w:rPr>
            </w:pPr>
          </w:p>
        </w:tc>
        <w:tc>
          <w:tcPr>
            <w:tcW w:w="24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4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October 31, 2018</w:t>
            </w:r>
          </w:p>
        </w:tc>
        <w:tc>
          <w:tcPr>
            <w:tcW w:w="14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October 31, 2018</w:t>
            </w:r>
          </w:p>
        </w:tc>
      </w:tr>
      <w:tr>
        <w:trPr>
          <w:trHeight w:val="29"/>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245,067</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179,063</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1,047,963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941,011</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142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7,267</w:t>
            </w:r>
          </w:p>
        </w:tc>
        <w:tc>
          <w:tcPr>
            <w:tcW w:w="48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42,958</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1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1,199</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10,316</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gross profit</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253,533</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179,063</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1,101,237</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941,011</w:t>
            </w:r>
          </w:p>
        </w:tc>
      </w:tr>
      <w:tr>
        <w:trPr>
          <w:trHeight w:val="29"/>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4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earnings</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43,306</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42,996</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325,029</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373,085</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142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11,275</w:t>
            </w:r>
          </w:p>
        </w:tc>
        <w:tc>
          <w:tcPr>
            <w:tcW w:w="48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62,333</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1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7,163</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16,311</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operating earnings</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61,744</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42,996</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403,673</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373,085</w:t>
            </w:r>
          </w:p>
        </w:tc>
      </w:tr>
      <w:tr>
        <w:trPr>
          <w:trHeight w:val="29"/>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4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43,698</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43,571</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322,133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372,397</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142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11,275</w:t>
            </w:r>
          </w:p>
        </w:tc>
        <w:tc>
          <w:tcPr>
            <w:tcW w:w="48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62,333</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1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8,019</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17,167</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earnings before income taxes</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62,992</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43,571</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401,633</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372,397</w:t>
            </w:r>
          </w:p>
        </w:tc>
      </w:tr>
      <w:tr>
        <w:trPr>
          <w:trHeight w:val="29"/>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4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earnings</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38,266</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39,037</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273,983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271,939</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142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9,347</w:t>
            </w:r>
          </w:p>
        </w:tc>
        <w:tc>
          <w:tcPr>
            <w:tcW w:w="48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51,149</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1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6,454</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13,817</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1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w:t>
            </w:r>
          </w:p>
        </w:tc>
        <w:tc>
          <w:tcPr>
            <w:tcW w:w="48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(4,917)</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(13,677)</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(14,555)</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1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89</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32,702</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net earnings</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51,822</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34,209</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324,260</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290,086</w:t>
            </w:r>
          </w:p>
        </w:tc>
      </w:tr>
      <w:tr>
        <w:trPr>
          <w:trHeight w:val="29"/>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3"/>
        </w:trPr>
        <w:tc>
          <w:tcPr>
            <w:tcW w:w="45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Diluted EPS</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0.35</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0.36</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2.53</w:t>
            </w:r>
          </w:p>
        </w:tc>
        <w:tc>
          <w:tcPr>
            <w:tcW w:w="4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2.50</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142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0.09</w:t>
            </w:r>
          </w:p>
        </w:tc>
        <w:tc>
          <w:tcPr>
            <w:tcW w:w="48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0.47</w:t>
            </w:r>
          </w:p>
        </w:tc>
        <w:tc>
          <w:tcPr>
            <w:tcW w:w="4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1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0.06</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0.13</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1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48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(0.04)</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1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0.30</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diluted EPS</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0.48</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0.32</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3.00</w:t>
            </w:r>
          </w:p>
        </w:tc>
        <w:tc>
          <w:tcPr>
            <w:tcW w:w="4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2.67</w:t>
            </w:r>
          </w:p>
        </w:tc>
      </w:tr>
      <w:tr>
        <w:trPr>
          <w:trHeight w:val="29"/>
        </w:trPr>
        <w:tc>
          <w:tcPr>
            <w:tcW w:w="4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95"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color w:val="auto"/>
        </w:rPr>
        <w:t>11 - The Toro Company Reports Fiscal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20" w:type="dxa"/>
            <w:vAlign w:val="bottom"/>
          </w:tcPr>
          <w:p>
            <w:pPr>
              <w:spacing w:after="0"/>
              <w:rPr>
                <w:sz w:val="19"/>
                <w:szCs w:val="19"/>
                <w:color w:val="auto"/>
              </w:rPr>
            </w:pPr>
          </w:p>
        </w:tc>
        <w:tc>
          <w:tcPr>
            <w:tcW w:w="4180" w:type="dxa"/>
            <w:vAlign w:val="bottom"/>
            <w:gridSpan w:val="2"/>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20" w:type="dxa"/>
            <w:vAlign w:val="bottom"/>
            <w:gridSpan w:val="2"/>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9"/>
        </w:trPr>
        <w:tc>
          <w:tcPr>
            <w:tcW w:w="4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5"/>
        </w:trPr>
        <w:tc>
          <w:tcPr>
            <w:tcW w:w="4220" w:type="dxa"/>
            <w:vAlign w:val="bottom"/>
          </w:tcPr>
          <w:p>
            <w:pPr>
              <w:spacing w:after="0"/>
              <w:rPr>
                <w:sz w:val="20"/>
                <w:szCs w:val="20"/>
                <w:color w:val="auto"/>
              </w:rPr>
            </w:pPr>
          </w:p>
        </w:tc>
        <w:tc>
          <w:tcPr>
            <w:tcW w:w="26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5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2018</w:t>
            </w: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October 31, 2018</w:t>
            </w:r>
          </w:p>
        </w:tc>
      </w:tr>
      <w:tr>
        <w:trPr>
          <w:trHeight w:val="29"/>
        </w:trPr>
        <w:tc>
          <w:tcPr>
            <w:tcW w:w="4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Effective tax rate</w:t>
            </w:r>
          </w:p>
        </w:tc>
        <w:tc>
          <w:tcPr>
            <w:tcW w:w="2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12.4 %</w:t>
            </w:r>
          </w:p>
        </w:tc>
        <w:tc>
          <w:tcPr>
            <w:tcW w:w="15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10.4 %</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14.9 %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27.0 %</w:t>
            </w:r>
          </w:p>
        </w:tc>
      </w:tr>
      <w:tr>
        <w:trPr>
          <w:trHeight w:val="270"/>
        </w:trPr>
        <w:tc>
          <w:tcPr>
            <w:tcW w:w="422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1</w:t>
            </w:r>
          </w:p>
        </w:tc>
        <w:tc>
          <w:tcPr>
            <w:tcW w:w="26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w:t>
            </w: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(0.3)%</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70"/>
        </w:trPr>
        <w:tc>
          <w:tcPr>
            <w:tcW w:w="42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2</w:t>
            </w:r>
          </w:p>
        </w:tc>
        <w:tc>
          <w:tcPr>
            <w:tcW w:w="26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0.6 %</w:t>
            </w:r>
          </w:p>
        </w:tc>
        <w:tc>
          <w:tcPr>
            <w:tcW w:w="15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0.1 %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70"/>
        </w:trPr>
        <w:tc>
          <w:tcPr>
            <w:tcW w:w="422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26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4.9 %</w:t>
            </w: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11.3 %</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70"/>
        </w:trPr>
        <w:tc>
          <w:tcPr>
            <w:tcW w:w="422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26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0.2 %</w:t>
            </w: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(0.2)%</w:t>
            </w:r>
          </w:p>
        </w:tc>
        <w:tc>
          <w:tcPr>
            <w:tcW w:w="15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35"/>
        </w:trPr>
        <w:tc>
          <w:tcPr>
            <w:tcW w:w="4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effective tax rate</w:t>
            </w:r>
          </w:p>
        </w:tc>
        <w:tc>
          <w:tcPr>
            <w:tcW w:w="26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17.7 %</w:t>
            </w: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21.5 %</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19.3 %</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r>
      <w:tr>
        <w:trPr>
          <w:trHeight w:val="29"/>
        </w:trPr>
        <w:tc>
          <w:tcPr>
            <w:tcW w:w="4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left="180" w:hanging="172"/>
        <w:spacing w:after="0" w:line="208" w:lineRule="auto"/>
        <w:tabs>
          <w:tab w:leader="none" w:pos="1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the second quarter of fiscal 2019, the company acquired The Charles Machine Works, Inc. ("CMW"), a privately held Oklahoma corporation. Acquisition-related costs represent integration and transaction costs incurred, as well as charges incurred for the take-down of the inventory fair value step-up amount and amortization of the backlog intangible asset resulting from purchase accounting adjustments, related to the company's acquisition of CMW during the three and twelve month periods ended October 31, 2019.</w:t>
      </w:r>
    </w:p>
    <w:p>
      <w:pPr>
        <w:spacing w:after="0" w:line="154" w:lineRule="exact"/>
        <w:rPr>
          <w:sz w:val="20"/>
          <w:szCs w:val="20"/>
          <w:color w:val="auto"/>
        </w:rPr>
      </w:pPr>
    </w:p>
    <w:p>
      <w:pPr>
        <w:jc w:val="both"/>
        <w:ind w:left="180" w:hanging="172"/>
        <w:spacing w:after="0" w:line="221" w:lineRule="auto"/>
        <w:tabs>
          <w:tab w:leader="none" w:pos="1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the third quarter of fiscal 2019, the company announced its wind down of its Toro-branded large horizontal directional drill and riding trencher product line. Additionally, during the fourth quarter of fiscal 2019, the company incurred charges for a corporate restructuring event and a loss on the divestiture of a used underground construction equipment business. Management actions represent charges incurred during the three and twelve month periods ended October 31, 2019 for the Toro underground wind down, including charges related to the write-down of inventory, anticipated inventory retail support activities, and accelerated depreciation on fixed assets; the corporate restructuring event, including employee severance charges; and the divestiture of a used underground construction equipment business, including the loss on the sale of the business.</w:t>
      </w:r>
    </w:p>
    <w:p>
      <w:pPr>
        <w:spacing w:after="0" w:line="149" w:lineRule="exact"/>
        <w:rPr>
          <w:sz w:val="20"/>
          <w:szCs w:val="20"/>
          <w:color w:val="auto"/>
        </w:rPr>
      </w:pPr>
    </w:p>
    <w:p>
      <w:pPr>
        <w:jc w:val="both"/>
        <w:ind w:left="180" w:hanging="172"/>
        <w:spacing w:after="0" w:line="210" w:lineRule="auto"/>
        <w:tabs>
          <w:tab w:leader="none" w:pos="1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In the first quarter of fiscal 2017, the company adopted Accounting Standards Update No. 2016-09, </w:t>
      </w:r>
      <w:r>
        <w:rPr>
          <w:rFonts w:ascii="Times New Roman" w:cs="Times New Roman" w:eastAsia="Times New Roman" w:hAnsi="Times New Roman"/>
          <w:sz w:val="15"/>
          <w:szCs w:val="15"/>
          <w:i w:val="1"/>
          <w:iCs w:val="1"/>
          <w:color w:val="auto"/>
        </w:rPr>
        <w:t>Stock-based Compensation: Improvements to Employee Share-based Payment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Accounting</w:t>
      </w:r>
      <w:r>
        <w:rPr>
          <w:rFonts w:ascii="Times New Roman" w:cs="Times New Roman" w:eastAsia="Times New Roman" w:hAnsi="Times New Roman"/>
          <w:sz w:val="15"/>
          <w:szCs w:val="15"/>
          <w:color w:val="auto"/>
        </w:rPr>
        <w:t>, which requires that any excess tax deduction for share-based compensation be immediately recorded within income tax expense. These amounts represent the discrete tax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benefits recorded as excess tax deductions for share-based compensation during the three and twelve month periods ended October 31, 2019 and October 31, 2018.</w:t>
      </w:r>
    </w:p>
    <w:p>
      <w:pPr>
        <w:spacing w:after="0" w:line="153" w:lineRule="exact"/>
        <w:rPr>
          <w:sz w:val="20"/>
          <w:szCs w:val="20"/>
          <w:color w:val="auto"/>
        </w:rPr>
      </w:pPr>
    </w:p>
    <w:p>
      <w:pPr>
        <w:jc w:val="both"/>
        <w:ind w:left="180" w:hanging="172"/>
        <w:spacing w:after="0" w:line="224" w:lineRule="auto"/>
        <w:tabs>
          <w:tab w:leader="none" w:pos="18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Signed into law on December 22, 2017, the Tax Cuts and Jobs Act ("Tax Act"), reduced the U.S. federal corporate tax rate from 35.0 percent to 21.0 percent, effective January 1, 2018, resulting in a blended U.S. federal statutory tax rate of 23.3 percent for the fiscal year ended October 31, 2018. This reduction in rate required the re-measurement of the company's net deferred taxes as of the date of enactment. The Tax Act also imposed a one-time deemed repatriation tax on the company's historical undistributed earnings and profits of foreign affiliates. During the three and twelve month periods ended October 31, 2019, the company recorded a tax benefit of $0.1 million and $1.0 million, respectively, related to a prior year true-up of the Tax Act. During the three and twelve month periods ended October 31, 2018, the remeasurement of the company's net deferred taxes and the one-time deemed repatriation tax resulted in a combined charge of $0.1 million and $32.7 million, respectively.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52"/>
    </w:lvl>
  </w:abstractNum>
  <w:abstractNum w:abstractNumId="2">
    <w:nsid w:val="7545E146"/>
    <w:multiLevelType w:val="hybridMultilevel"/>
    <w:lvl w:ilvl="0">
      <w:lvlJc w:val="left"/>
      <w:lvlText w:val="(%1)"/>
      <w:numFmt w:val="decimal"/>
      <w:start w:val="95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2019-12-28T00:56:45Z</dcterms:created>
  <dcterms:modified xsi:type="dcterms:W3CDTF">2019-12-28T00:56:45Z</dcterms:modified>
</cp:coreProperties>
</file>