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March 19, 2001</w:t>
      </w:r>
    </w:p>
    <w:p>
      <w:pPr>
        <w:spacing w:after="0" w:line="202"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jc w:val="center"/>
        <w:ind w:right="2940"/>
        <w:spacing w:after="0" w:line="238" w:lineRule="auto"/>
        <w:rPr>
          <w:sz w:val="20"/>
          <w:szCs w:val="20"/>
          <w:color w:val="auto"/>
        </w:rPr>
      </w:pPr>
      <w:r>
        <w:rPr>
          <w:rFonts w:ascii="Courier New" w:cs="Courier New" w:eastAsia="Courier New" w:hAnsi="Courier New"/>
          <w:sz w:val="18"/>
          <w:szCs w:val="18"/>
          <w:color w:val="auto"/>
        </w:rPr>
        <w:t>UNDER</w:t>
      </w:r>
    </w:p>
    <w:p>
      <w:pPr>
        <w:jc w:val="center"/>
        <w:ind w:right="306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3"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THE TORO COMPANY</w:t>
      </w:r>
    </w:p>
    <w:p>
      <w:pPr>
        <w:jc w:val="center"/>
        <w:ind w:right="3060"/>
        <w:spacing w:after="0" w:line="238" w:lineRule="auto"/>
        <w:rPr>
          <w:sz w:val="20"/>
          <w:szCs w:val="20"/>
          <w:color w:val="auto"/>
        </w:rPr>
      </w:pPr>
      <w:r>
        <w:rPr>
          <w:rFonts w:ascii="Courier New" w:cs="Courier New" w:eastAsia="Courier New" w:hAnsi="Courier New"/>
          <w:sz w:val="18"/>
          <w:szCs w:val="18"/>
          <w:color w:val="auto"/>
        </w:rPr>
        <w:t>------------------------------------------------------</w:t>
      </w:r>
    </w:p>
    <w:p>
      <w:pPr>
        <w:jc w:val="center"/>
        <w:ind w:right="3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1500"/>
          </w:cols>
          <w:pgMar w:left="240" w:top="244" w:right="159" w:bottom="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w:t>
      </w:r>
    </w:p>
    <w:p>
      <w:pPr>
        <w:spacing w:after="0" w:line="238" w:lineRule="auto"/>
        <w:rPr>
          <w:sz w:val="20"/>
          <w:szCs w:val="20"/>
          <w:color w:val="auto"/>
        </w:rPr>
      </w:pPr>
      <w:r>
        <w:rPr>
          <w:rFonts w:ascii="Courier New" w:cs="Courier New" w:eastAsia="Courier New" w:hAnsi="Courier New"/>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720"/>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2">
            <w:col w:w="4880" w:space="720"/>
            <w:col w:w="5900"/>
          </w:cols>
          <w:pgMar w:left="240" w:top="244" w:right="159" w:bottom="0" w:gutter="0" w:footer="0" w:header="0"/>
          <w:type w:val="continuous"/>
        </w:sectPr>
      </w:pPr>
    </w:p>
    <w:p>
      <w:pPr>
        <w:spacing w:after="0" w:line="7"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8111 Lyndale Avenue South</w:t>
      </w:r>
    </w:p>
    <w:p>
      <w:pPr>
        <w:sectPr>
          <w:pgSz w:w="11900" w:h="16838" w:orient="portrait"/>
          <w:cols w:equalWidth="0" w:num="1">
            <w:col w:w="11500"/>
          </w:cols>
          <w:pgMar w:left="240" w:top="244" w:right="159" w:bottom="0" w:gutter="0" w:footer="0" w:header="0"/>
          <w:type w:val="continuous"/>
        </w:sectPr>
      </w:pPr>
    </w:p>
    <w:p>
      <w:pPr>
        <w:spacing w:after="0" w:line="16"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Bloomington, Minnesota 55420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2960"/>
        <w:spacing w:after="0" w:line="238" w:lineRule="auto"/>
        <w:rPr>
          <w:sz w:val="20"/>
          <w:szCs w:val="20"/>
          <w:color w:val="auto"/>
        </w:rPr>
      </w:pPr>
      <w:r>
        <w:rPr>
          <w:rFonts w:ascii="Courier New" w:cs="Courier New" w:eastAsia="Courier New" w:hAnsi="Courier New"/>
          <w:sz w:val="18"/>
          <w:szCs w:val="18"/>
          <w:color w:val="auto"/>
        </w:rPr>
        <w:t>2000 DIRECTORS STOCK PLAN</w:t>
      </w:r>
    </w:p>
    <w:p>
      <w:pPr>
        <w:ind w:left="296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 Lawrence McIntyre, Esquire</w:t>
      </w:r>
    </w:p>
    <w:p>
      <w:pPr>
        <w:ind w:left="190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3380"/>
        <w:spacing w:after="0"/>
        <w:rPr>
          <w:sz w:val="20"/>
          <w:szCs w:val="20"/>
          <w:color w:val="auto"/>
        </w:rPr>
      </w:pPr>
      <w:r>
        <w:rPr>
          <w:rFonts w:ascii="Courier New" w:cs="Courier New" w:eastAsia="Courier New" w:hAnsi="Courier New"/>
          <w:sz w:val="18"/>
          <w:szCs w:val="18"/>
          <w:color w:val="auto"/>
        </w:rPr>
        <w:t>The Toro Company</w:t>
      </w:r>
    </w:p>
    <w:p>
      <w:pPr>
        <w:ind w:left="296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74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540"/>
        <w:spacing w:after="0"/>
        <w:rPr>
          <w:sz w:val="20"/>
          <w:szCs w:val="20"/>
          <w:color w:val="auto"/>
        </w:rPr>
      </w:pPr>
      <w:r>
        <w:rPr>
          <w:rFonts w:ascii="Courier New" w:cs="Courier New" w:eastAsia="Courier New" w:hAnsi="Courier New"/>
          <w:sz w:val="18"/>
          <w:szCs w:val="18"/>
          <w:color w:val="auto"/>
        </w:rPr>
        <w:t>Telephone number : (952) 888-8801</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Helen P. Starr, Esquire</w:t>
      </w:r>
    </w:p>
    <w:p>
      <w:pPr>
        <w:ind w:left="3380"/>
        <w:spacing w:after="0" w:line="238" w:lineRule="auto"/>
        <w:rPr>
          <w:sz w:val="20"/>
          <w:szCs w:val="20"/>
          <w:color w:val="auto"/>
        </w:rPr>
      </w:pPr>
      <w:r>
        <w:rPr>
          <w:rFonts w:ascii="Courier New" w:cs="Courier New" w:eastAsia="Courier New" w:hAnsi="Courier New"/>
          <w:sz w:val="18"/>
          <w:szCs w:val="18"/>
          <w:color w:val="auto"/>
        </w:rPr>
        <w:t>Perkins Coie LLP</w:t>
      </w:r>
    </w:p>
    <w:p>
      <w:pPr>
        <w:ind w:left="2860"/>
        <w:spacing w:after="0"/>
        <w:rPr>
          <w:sz w:val="20"/>
          <w:szCs w:val="20"/>
          <w:color w:val="auto"/>
        </w:rPr>
      </w:pPr>
      <w:r>
        <w:rPr>
          <w:rFonts w:ascii="Courier New" w:cs="Courier New" w:eastAsia="Courier New" w:hAnsi="Courier New"/>
          <w:sz w:val="18"/>
          <w:szCs w:val="18"/>
          <w:color w:val="auto"/>
        </w:rPr>
        <w:t>607 Fourteenth Street, N.W.</w:t>
      </w:r>
    </w:p>
    <w:p>
      <w:pPr>
        <w:ind w:left="3060"/>
        <w:spacing w:after="0" w:line="237" w:lineRule="auto"/>
        <w:rPr>
          <w:sz w:val="20"/>
          <w:szCs w:val="20"/>
          <w:color w:val="auto"/>
        </w:rPr>
      </w:pPr>
      <w:r>
        <w:rPr>
          <w:rFonts w:ascii="Courier New" w:cs="Courier New" w:eastAsia="Courier New" w:hAnsi="Courier New"/>
          <w:sz w:val="18"/>
          <w:szCs w:val="18"/>
          <w:color w:val="auto"/>
        </w:rPr>
        <w:t>Washington, D.C. 20005</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r>
        <w:rPr>
          <w:rFonts w:ascii="Courier New" w:cs="Courier New" w:eastAsia="Courier New" w:hAnsi="Courier New"/>
          <w:sz w:val="16"/>
          <w:szCs w:val="16"/>
          <w:color w:val="auto"/>
        </w:rPr>
        <w:t>Proposed</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5"/>
              </w:rPr>
              <w:t>maximum</w:t>
            </w:r>
          </w:p>
        </w:tc>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7"/>
              </w:rPr>
              <w:t>maximum</w:t>
            </w:r>
          </w:p>
        </w:tc>
        <w:tc>
          <w:tcPr>
            <w:tcW w:w="2160" w:type="dxa"/>
            <w:vAlign w:val="bottom"/>
          </w:tcPr>
          <w:p>
            <w:pPr>
              <w:spacing w:after="0"/>
              <w:rPr>
                <w:sz w:val="17"/>
                <w:szCs w:val="17"/>
                <w:color w:val="auto"/>
              </w:rPr>
            </w:pPr>
          </w:p>
        </w:tc>
      </w:tr>
      <w:tr>
        <w:trPr>
          <w:trHeight w:val="203"/>
        </w:trPr>
        <w:tc>
          <w:tcPr>
            <w:tcW w:w="2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Title of</w:t>
            </w:r>
          </w:p>
        </w:tc>
        <w:tc>
          <w:tcPr>
            <w:tcW w:w="258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offering</w:t>
            </w:r>
          </w:p>
        </w:tc>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aggregate</w:t>
            </w:r>
          </w:p>
        </w:tc>
        <w:tc>
          <w:tcPr>
            <w:tcW w:w="216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to</w:t>
            </w:r>
          </w:p>
        </w:tc>
        <w:tc>
          <w:tcPr>
            <w:tcW w:w="2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6"/>
              </w:rPr>
              <w:t>Amount to</w:t>
            </w:r>
          </w:p>
        </w:tc>
        <w:tc>
          <w:tcPr>
            <w:tcW w:w="19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price per</w:t>
            </w: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offering</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 registered</w:t>
            </w:r>
          </w:p>
        </w:tc>
        <w:tc>
          <w:tcPr>
            <w:tcW w:w="2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90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share</w:t>
            </w:r>
          </w:p>
        </w:tc>
        <w:tc>
          <w:tcPr>
            <w:tcW w:w="2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price</w:t>
            </w: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registration fee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58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6"/>
              </w:rPr>
              <w:t>120,000 shares(b)</w:t>
            </w:r>
          </w:p>
        </w:tc>
        <w:tc>
          <w:tcPr>
            <w:tcW w:w="190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$46.06(c)</w:t>
            </w:r>
          </w:p>
        </w:tc>
        <w:tc>
          <w:tcPr>
            <w:tcW w:w="2280" w:type="dxa"/>
            <w:vAlign w:val="bottom"/>
          </w:tcPr>
          <w:p>
            <w:pPr>
              <w:jc w:val="center"/>
              <w:spacing w:after="0"/>
              <w:rPr>
                <w:sz w:val="20"/>
                <w:szCs w:val="20"/>
                <w:color w:val="auto"/>
              </w:rPr>
            </w:pPr>
            <w:r>
              <w:rPr>
                <w:rFonts w:ascii="Courier New" w:cs="Courier New" w:eastAsia="Courier New" w:hAnsi="Courier New"/>
                <w:sz w:val="18"/>
                <w:szCs w:val="18"/>
                <w:color w:val="auto"/>
                <w:w w:val="98"/>
              </w:rPr>
              <w:t>$5,527,200(c)</w:t>
            </w:r>
          </w:p>
        </w:tc>
        <w:tc>
          <w:tcPr>
            <w:tcW w:w="2160" w:type="dxa"/>
            <w:vAlign w:val="bottom"/>
          </w:tcPr>
          <w:p>
            <w:pPr>
              <w:ind w:left="680"/>
              <w:spacing w:after="0"/>
              <w:rPr>
                <w:sz w:val="20"/>
                <w:szCs w:val="20"/>
                <w:color w:val="auto"/>
              </w:rPr>
            </w:pPr>
            <w:r>
              <w:rPr>
                <w:rFonts w:ascii="Courier New" w:cs="Courier New" w:eastAsia="Courier New" w:hAnsi="Courier New"/>
                <w:sz w:val="18"/>
                <w:szCs w:val="18"/>
                <w:color w:val="auto"/>
              </w:rPr>
              <w:t>$1,382(d)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 $1.00 per</w:t>
            </w:r>
          </w:p>
        </w:tc>
        <w:tc>
          <w:tcPr>
            <w:tcW w:w="2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(a)</w:t>
            </w:r>
          </w:p>
        </w:tc>
        <w:tc>
          <w:tcPr>
            <w:tcW w:w="2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left="960" w:right="3060"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includes one Preferred Share Purchase Right pursuant to the Rights Agreement dated May 20, 1998. Value attributable to such Rights, if any, is reflected in the market price of the Common Stock.</w:t>
      </w:r>
    </w:p>
    <w:p>
      <w:pPr>
        <w:spacing w:after="0" w:line="207" w:lineRule="exact"/>
        <w:rPr>
          <w:rFonts w:ascii="Courier New" w:cs="Courier New" w:eastAsia="Courier New" w:hAnsi="Courier New"/>
          <w:sz w:val="18"/>
          <w:szCs w:val="18"/>
          <w:color w:val="auto"/>
        </w:rPr>
      </w:pPr>
    </w:p>
    <w:p>
      <w:pPr>
        <w:ind w:left="960" w:right="3280" w:hanging="952"/>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pursuant to the Plan.</w:t>
      </w:r>
    </w:p>
    <w:p>
      <w:pPr>
        <w:sectPr>
          <w:pgSz w:w="11900" w:h="16838" w:orient="portrait"/>
          <w:cols w:equalWidth="0" w:num="1">
            <w:col w:w="11500"/>
          </w:cols>
          <w:pgMar w:left="240" w:top="244" w:right="159" w:bottom="0" w:gutter="0" w:footer="0" w:header="0"/>
          <w:type w:val="continuous"/>
        </w:sectPr>
      </w:pPr>
    </w:p>
    <w:bookmarkStart w:id="1" w:name="page2"/>
    <w:bookmarkEnd w:id="1"/>
    <w:p>
      <w:pPr>
        <w:ind w:left="960" w:right="17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to calculate the registration fee, pursuant to Rule 457(c), on the basis of the average of the high and low prices reported in the consolidated reporting system on March 13, 2001, as reported on the New York Stock Exchange Composite Tape.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All information required by Part I to be contained in the prospectus is omitted from this Registration Statement in accordance with Rule 428 under the Securities Act of 1933, as amended.</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following documents have been filed by the Registrant with the SEC and are incorporated by reference in this Registration Statement:</w:t>
      </w:r>
    </w:p>
    <w:p>
      <w:pPr>
        <w:spacing w:after="0" w:line="208" w:lineRule="exact"/>
        <w:rPr>
          <w:sz w:val="20"/>
          <w:szCs w:val="20"/>
          <w:color w:val="auto"/>
        </w:rPr>
      </w:pPr>
    </w:p>
    <w:p>
      <w:pPr>
        <w:ind w:left="1480" w:right="187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Annual Report on Form 10-K for the fiscal year ended October 31, 2000 (File No. 1-8649).</w:t>
      </w:r>
    </w:p>
    <w:p>
      <w:pPr>
        <w:spacing w:after="0" w:line="208" w:lineRule="exact"/>
        <w:rPr>
          <w:rFonts w:ascii="Courier New" w:cs="Courier New" w:eastAsia="Courier New" w:hAnsi="Courier New"/>
          <w:sz w:val="18"/>
          <w:szCs w:val="18"/>
          <w:color w:val="auto"/>
        </w:rPr>
      </w:pPr>
    </w:p>
    <w:p>
      <w:pPr>
        <w:ind w:left="1480" w:right="1999" w:hanging="524"/>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Quarterly Report on Form 10-Q for the quarter ended February 2, 2001 (File No. 1-8649).</w:t>
      </w:r>
    </w:p>
    <w:p>
      <w:pPr>
        <w:spacing w:after="0" w:line="208" w:lineRule="exact"/>
        <w:rPr>
          <w:rFonts w:ascii="Courier New" w:cs="Courier New" w:eastAsia="Courier New" w:hAnsi="Courier New"/>
          <w:sz w:val="18"/>
          <w:szCs w:val="18"/>
          <w:color w:val="auto"/>
        </w:rPr>
      </w:pPr>
    </w:p>
    <w:p>
      <w:pPr>
        <w:ind w:left="1480" w:right="1879" w:hanging="524"/>
        <w:spacing w:after="0" w:line="268" w:lineRule="auto"/>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1-8649).</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Common Stock is registered under Section 12(b)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opinion of counsel as to the legality of the securities being registered, which is Exhibit 5 to this Registration Statement, is rendered by J. Lawrence McIntyre, Vice President, Secretary and General Counsel to Registrant.</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210"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5"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exhibits are listed in the exhibit index.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480" w:hanging="524"/>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779" w:firstLine="956"/>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900" w:right="1779" w:firstLine="4"/>
        <w:spacing w:after="0" w:line="235" w:lineRule="auto"/>
        <w:tabs>
          <w:tab w:leader="none" w:pos="242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42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9" w:lineRule="exact"/>
        <w:rPr>
          <w:rFonts w:ascii="Courier New" w:cs="Courier New" w:eastAsia="Courier New" w:hAnsi="Courier New"/>
          <w:sz w:val="18"/>
          <w:szCs w:val="18"/>
          <w:color w:val="auto"/>
        </w:rPr>
      </w:pPr>
    </w:p>
    <w:p>
      <w:pPr>
        <w:ind w:left="1900" w:right="1879" w:firstLine="4"/>
        <w:spacing w:after="0" w:line="237" w:lineRule="auto"/>
        <w:tabs>
          <w:tab w:leader="none" w:pos="25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210" w:lineRule="exact"/>
        <w:rPr>
          <w:sz w:val="20"/>
          <w:szCs w:val="20"/>
          <w:color w:val="auto"/>
        </w:rPr>
      </w:pPr>
    </w:p>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left="540" w:right="2099" w:firstLine="416"/>
        <w:spacing w:after="0" w:line="235" w:lineRule="auto"/>
        <w:tabs>
          <w:tab w:leader="none" w:pos="138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incorporating subsequent Securities Exchange Act of 1934 documents by reference.</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right="1779" w:firstLine="956"/>
        <w:spacing w:after="0" w:line="238"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440" w:firstLine="948"/>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13th day of March, 2001.</w:t>
      </w:r>
    </w:p>
    <w:p>
      <w:pPr>
        <w:spacing w:after="0" w:line="200" w:lineRule="exact"/>
        <w:rPr>
          <w:sz w:val="20"/>
          <w:szCs w:val="20"/>
          <w:color w:val="auto"/>
        </w:rPr>
      </w:pPr>
    </w:p>
    <w:p>
      <w:pPr>
        <w:spacing w:after="0" w:line="207"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THE TORO COMPANY</w:t>
      </w:r>
    </w:p>
    <w:p>
      <w:pPr>
        <w:jc w:val="center"/>
        <w:ind w:left="10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 Lawrence McIntyre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 Lawrence McIntyre, Vice President,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540" w:firstLine="948"/>
        <w:spacing w:after="0" w:line="270"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hereby constitutes and appoints Kendrick B. 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388" w:lineRule="exact"/>
        <w:rPr>
          <w:sz w:val="20"/>
          <w:szCs w:val="20"/>
          <w:color w:val="auto"/>
        </w:rPr>
      </w:pPr>
    </w:p>
    <w:p>
      <w:pPr>
        <w:ind w:right="1180"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380" w:type="dxa"/>
            <w:vAlign w:val="bottom"/>
          </w:tcPr>
          <w:p>
            <w:pPr>
              <w:spacing w:after="0"/>
              <w:rPr>
                <w:sz w:val="17"/>
                <w:szCs w:val="17"/>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2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 Kendrick B. Melrose</w:t>
            </w:r>
          </w:p>
        </w:tc>
        <w:tc>
          <w:tcPr>
            <w:tcW w:w="37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Chairman, Chief Executive</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President and Director</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 Stephen P. Wolfe</w:t>
            </w:r>
          </w:p>
        </w:tc>
        <w:tc>
          <w:tcPr>
            <w:tcW w:w="37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Vice President Finance</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and Chief Financial Officer</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P. Wolfe</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ind w:left="6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2001</w:t>
      </w:r>
    </w:p>
    <w:p>
      <w:pPr>
        <w:sectPr>
          <w:pgSz w:w="11900" w:h="16838" w:orient="portrait"/>
          <w:cols w:equalWidth="0" w:num="2">
            <w:col w:w="8880" w:space="720"/>
            <w:col w:w="1460"/>
          </w:cols>
          <w:pgMar w:left="240" w:top="312"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Randy B. James</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and Controller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Ronald O. Baukol</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Robert C. Buhrmaster</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Winslow H. Buxton</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Winslow H. Buxton</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Janet K. Cooper</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Katherine J. Harless</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Katherine J. Harless</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Robert H. Nassau</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Nassau</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Dale R. Olseth</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Dale R. Olseth</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Christopher A. Twomey</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A. Twomey</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Gregg W. Steinhafel</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Gregg W. Steinhafel</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Edwin H. Wingate</w:t>
            </w: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2420" w:type="dxa"/>
            <w:vAlign w:val="bottom"/>
          </w:tcPr>
          <w:p>
            <w:pPr>
              <w:ind w:left="960"/>
              <w:spacing w:after="0"/>
              <w:rPr>
                <w:sz w:val="20"/>
                <w:szCs w:val="20"/>
                <w:color w:val="auto"/>
              </w:rPr>
            </w:pPr>
            <w:r>
              <w:rPr>
                <w:rFonts w:ascii="Courier New" w:cs="Courier New" w:eastAsia="Courier New" w:hAnsi="Courier New"/>
                <w:sz w:val="18"/>
                <w:szCs w:val="18"/>
                <w:color w:val="auto"/>
                <w:w w:val="95"/>
              </w:rPr>
              <w:t>March 13, 2001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H. Wingate</w:t>
            </w:r>
          </w:p>
        </w:tc>
        <w:tc>
          <w:tcPr>
            <w:tcW w:w="4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1013"/>
        </w:trPr>
        <w:tc>
          <w:tcPr>
            <w:tcW w:w="3900" w:type="dxa"/>
            <w:vAlign w:val="bottom"/>
          </w:tcPr>
          <w:p>
            <w:pPr>
              <w:spacing w:after="0"/>
              <w:rPr>
                <w:sz w:val="24"/>
                <w:szCs w:val="24"/>
                <w:color w:val="auto"/>
              </w:rPr>
            </w:pPr>
          </w:p>
        </w:tc>
        <w:tc>
          <w:tcPr>
            <w:tcW w:w="4740" w:type="dxa"/>
            <w:vAlign w:val="bottom"/>
          </w:tcPr>
          <w:p>
            <w:pPr>
              <w:ind w:left="120"/>
              <w:spacing w:after="0"/>
              <w:rPr>
                <w:sz w:val="20"/>
                <w:szCs w:val="20"/>
                <w:color w:val="auto"/>
              </w:rPr>
            </w:pPr>
            <w:r>
              <w:rPr>
                <w:rFonts w:ascii="Courier New" w:cs="Courier New" w:eastAsia="Courier New" w:hAnsi="Courier New"/>
                <w:sz w:val="18"/>
                <w:szCs w:val="18"/>
                <w:color w:val="auto"/>
              </w:rPr>
              <w:t>II-6</w:t>
            </w:r>
          </w:p>
        </w:tc>
        <w:tc>
          <w:tcPr>
            <w:tcW w:w="2420" w:type="dxa"/>
            <w:vAlign w:val="bottom"/>
          </w:tcPr>
          <w:p>
            <w:pPr>
              <w:spacing w:after="0"/>
              <w:rPr>
                <w:sz w:val="24"/>
                <w:szCs w:val="24"/>
                <w:color w:val="auto"/>
              </w:rPr>
            </w:pPr>
          </w:p>
        </w:tc>
      </w:tr>
    </w:tbl>
    <w:p>
      <w:pPr>
        <w:sectPr>
          <w:pgSz w:w="11900" w:h="16838" w:orient="portrait"/>
          <w:cols w:equalWidth="0" w:num="1">
            <w:col w:w="11060"/>
          </w:cols>
          <w:pgMar w:left="240" w:top="312" w:right="599"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LIST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100"/>
            <w:col w:w="9059"/>
          </w:cols>
          <w:pgMar w:left="240" w:top="312" w:right="1440" w:bottom="1440" w:gutter="0" w:footer="0" w:header="0"/>
          <w:type w:val="continuous"/>
        </w:sectPr>
      </w:pPr>
    </w:p>
    <w:p>
      <w:pPr>
        <w:spacing w:after="0" w:line="24" w:lineRule="exact"/>
        <w:rPr>
          <w:sz w:val="20"/>
          <w:szCs w:val="20"/>
          <w:color w:val="auto"/>
        </w:rPr>
      </w:pPr>
    </w:p>
    <w:p>
      <w:pPr>
        <w:ind w:left="1160" w:hanging="1152"/>
        <w:spacing w:after="0"/>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including indentures</w:t>
      </w:r>
    </w:p>
    <w:p>
      <w:pPr>
        <w:spacing w:after="0" w:line="223" w:lineRule="exact"/>
        <w:rPr>
          <w:rFonts w:ascii="Courier New" w:cs="Courier New" w:eastAsia="Courier New" w:hAnsi="Courier New"/>
          <w:sz w:val="16"/>
          <w:szCs w:val="16"/>
          <w:color w:val="auto"/>
        </w:rPr>
      </w:pPr>
    </w:p>
    <w:p>
      <w:pPr>
        <w:ind w:left="2120" w:right="1999" w:hanging="948"/>
        <w:spacing w:after="0" w:line="27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4(a)</w:t>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w:t>
      </w:r>
    </w:p>
    <w:p>
      <w:pPr>
        <w:spacing w:after="0" w:line="178" w:lineRule="exact"/>
        <w:rPr>
          <w:rFonts w:ascii="Courier New" w:cs="Courier New" w:eastAsia="Courier New" w:hAnsi="Courier New"/>
          <w:sz w:val="16"/>
          <w:szCs w:val="16"/>
          <w:color w:val="auto"/>
        </w:rPr>
      </w:pPr>
    </w:p>
    <w:p>
      <w:pPr>
        <w:ind w:left="2120" w:right="1879" w:hanging="94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4(b)Certificate of Incorporation of Registrant (incorporated by reference to Exhibit 4.2 to Registrant's Registration Statement on Form S-3, Registration No. 33-16125)</w:t>
      </w:r>
    </w:p>
    <w:p>
      <w:pPr>
        <w:spacing w:after="0" w:line="208" w:lineRule="exact"/>
        <w:rPr>
          <w:rFonts w:ascii="Courier New" w:cs="Courier New" w:eastAsia="Courier New" w:hAnsi="Courier New"/>
          <w:sz w:val="16"/>
          <w:szCs w:val="16"/>
          <w:color w:val="auto"/>
        </w:rPr>
      </w:pPr>
    </w:p>
    <w:p>
      <w:pPr>
        <w:ind w:left="2120" w:right="1579" w:hanging="94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4(c)Certificate of Amendment to Certificate of Incorporation dated December 9, 1986 (incorporated by reference to Exhibit 3 to Registrant's Quarterly Report on Form 10-Q for the quarter ended January 30, 1987, Commission File No. 1-8649)</w:t>
      </w:r>
    </w:p>
    <w:p>
      <w:pPr>
        <w:spacing w:after="0" w:line="207" w:lineRule="exact"/>
        <w:rPr>
          <w:rFonts w:ascii="Courier New" w:cs="Courier New" w:eastAsia="Courier New" w:hAnsi="Courier New"/>
          <w:sz w:val="16"/>
          <w:szCs w:val="16"/>
          <w:color w:val="auto"/>
        </w:rPr>
      </w:pPr>
    </w:p>
    <w:p>
      <w:pPr>
        <w:ind w:left="2120" w:right="1879" w:hanging="948"/>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4(d)</w:t>
      </w:r>
      <w:r>
        <w:rPr>
          <w:rFonts w:ascii="Courier New" w:cs="Courier New" w:eastAsia="Courier New" w:hAnsi="Courier New"/>
          <w:sz w:val="16"/>
          <w:szCs w:val="16"/>
          <w:color w:val="auto"/>
        </w:rPr>
        <w:t>Certificate of Designation to Certificate of Incorporation dated May 28, 1998 (incorporated by reference to Exhibit (c)(1) to Registrant's Current Report on Form 8-K dated May 27, 1998, Commission File No.</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1-8649)</w:t>
      </w:r>
    </w:p>
    <w:p>
      <w:pPr>
        <w:spacing w:after="0" w:line="207" w:lineRule="exact"/>
        <w:rPr>
          <w:rFonts w:ascii="Courier New" w:cs="Courier New" w:eastAsia="Courier New" w:hAnsi="Courier New"/>
          <w:sz w:val="16"/>
          <w:szCs w:val="16"/>
          <w:color w:val="auto"/>
        </w:rPr>
      </w:pPr>
    </w:p>
    <w:p>
      <w:pPr>
        <w:ind w:left="2120" w:right="1579" w:hanging="94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4(e)Bylaws of Registrant, as amended (incorporated by reference to Exhibit 3(ii) and 4(d) to Registrant"s Form 10-Q for the quarter ended April 30, 1999)</w:t>
      </w:r>
    </w:p>
    <w:p>
      <w:pPr>
        <w:spacing w:after="0" w:line="208" w:lineRule="exact"/>
        <w:rPr>
          <w:rFonts w:ascii="Courier New" w:cs="Courier New" w:eastAsia="Courier New" w:hAnsi="Courier New"/>
          <w:sz w:val="16"/>
          <w:szCs w:val="16"/>
          <w:color w:val="auto"/>
        </w:rPr>
      </w:pPr>
    </w:p>
    <w:p>
      <w:pPr>
        <w:ind w:left="2120" w:right="1779" w:hanging="948"/>
        <w:spacing w:after="0" w:line="27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4(f)</w:t>
      </w:r>
      <w:r>
        <w:rPr>
          <w:rFonts w:ascii="Courier New" w:cs="Courier New" w:eastAsia="Courier New" w:hAnsi="Courier New"/>
          <w:sz w:val="16"/>
          <w:szCs w:val="16"/>
          <w:color w:val="auto"/>
        </w:rPr>
        <w:t>Rights Agreement dated as of May 20, 1998, between the Registrant and Norwest Bank Minnesota National Association, relating to rights to purchase Series B Junior Participating Voting Preferred Stock (incorporated by reference to Exhibit (c)(1) to Registrant's Current Report on Form 8-K dated May 27, 1998, Commission File No. 1-8649).</w:t>
      </w:r>
    </w:p>
    <w:p>
      <w:pPr>
        <w:spacing w:after="0" w:line="185" w:lineRule="exact"/>
        <w:rPr>
          <w:rFonts w:ascii="Courier New" w:cs="Courier New" w:eastAsia="Courier New" w:hAnsi="Courier New"/>
          <w:sz w:val="16"/>
          <w:szCs w:val="16"/>
          <w:color w:val="auto"/>
        </w:rPr>
      </w:pPr>
    </w:p>
    <w:p>
      <w:pPr>
        <w:ind w:left="2120" w:right="1679" w:hanging="94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4(g)Indenture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800"/>
              <w:spacing w:after="0"/>
              <w:rPr>
                <w:sz w:val="20"/>
                <w:szCs w:val="20"/>
                <w:color w:val="auto"/>
              </w:rPr>
            </w:pPr>
            <w:r>
              <w:rPr>
                <w:rFonts w:ascii="Courier New" w:cs="Courier New" w:eastAsia="Courier New" w:hAnsi="Courier New"/>
                <w:sz w:val="18"/>
                <w:szCs w:val="18"/>
                <w:color w:val="auto"/>
                <w:w w:val="98"/>
              </w:rPr>
              <w:t>Opinion of counsel</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regarding legality.</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606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Consent of KPMG LLP.</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2740" w:type="dxa"/>
            <w:vAlign w:val="bottom"/>
          </w:tcPr>
          <w:p>
            <w:pPr>
              <w:ind w:left="800"/>
              <w:spacing w:after="0"/>
              <w:rPr>
                <w:sz w:val="20"/>
                <w:szCs w:val="20"/>
                <w:color w:val="auto"/>
              </w:rPr>
            </w:pPr>
            <w:r>
              <w:rPr>
                <w:rFonts w:ascii="Courier New" w:cs="Courier New" w:eastAsia="Courier New" w:hAnsi="Courier New"/>
                <w:sz w:val="18"/>
                <w:szCs w:val="18"/>
                <w:color w:val="auto"/>
                <w:w w:val="98"/>
              </w:rPr>
              <w:t>Consent of counsel</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(contained in Exhibit 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2740" w:type="dxa"/>
            <w:vAlign w:val="bottom"/>
          </w:tcPr>
          <w:p>
            <w:pPr>
              <w:ind w:left="800"/>
              <w:spacing w:after="0"/>
              <w:rPr>
                <w:sz w:val="20"/>
                <w:szCs w:val="20"/>
                <w:color w:val="auto"/>
              </w:rPr>
            </w:pPr>
            <w:r>
              <w:rPr>
                <w:rFonts w:ascii="Courier New" w:cs="Courier New" w:eastAsia="Courier New" w:hAnsi="Courier New"/>
                <w:sz w:val="18"/>
                <w:szCs w:val="18"/>
                <w:color w:val="auto"/>
                <w:w w:val="98"/>
              </w:rPr>
              <w:t>Powers of Attorney</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w w:val="96"/>
              </w:rPr>
              <w:t>(contained in signature pages).</w:t>
            </w:r>
          </w:p>
        </w:tc>
      </w:tr>
    </w:tbl>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5</w:t>
      </w:r>
    </w:p>
    <w:p>
      <w:pPr>
        <w:spacing w:after="0" w:line="200" w:lineRule="exact"/>
        <w:rPr>
          <w:sz w:val="20"/>
          <w:szCs w:val="20"/>
          <w:color w:val="auto"/>
        </w:rPr>
      </w:pPr>
    </w:p>
    <w:p>
      <w:pPr>
        <w:sectPr>
          <w:pgSz w:w="11900" w:h="16838" w:orient="portrait"/>
          <w:cols w:equalWidth="0" w:num="2">
            <w:col w:w="6760" w:space="720"/>
            <w:col w:w="2739"/>
          </w:cols>
          <w:pgMar w:left="240" w:top="14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Minneapolis, Minnesota 55420</w:t>
      </w:r>
    </w:p>
    <w:p>
      <w:pPr>
        <w:spacing w:after="0" w:line="200"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am Vice President, Secretary and General Counsel of The Toro Company (the "Company"). In connection with the Registration Statement on Form S-8 filed by the Company with the Securities and Exchange Commission relating to an aggregate of up to 120,000 shares of Common Stock, $1.00 par value per share (the "Common Stock"), and up to 120,000 related Preferred Share Purchase Rights (the "Rights") of the Company, to be issued in connection with The Toro Company 2000 Directors Stock Plan, please be advised that as counsel to the Company, upon examination of such corporate documents and records as I have deemed necessary or appropriate for the purpose of rendering this opinion, it is my opinion that:</w:t>
      </w:r>
    </w:p>
    <w:p>
      <w:pPr>
        <w:spacing w:after="0" w:line="215" w:lineRule="exact"/>
        <w:rPr>
          <w:sz w:val="20"/>
          <w:szCs w:val="20"/>
          <w:color w:val="auto"/>
        </w:rPr>
      </w:pPr>
    </w:p>
    <w:p>
      <w:pPr>
        <w:jc w:val="both"/>
        <w:ind w:left="960" w:right="2319" w:hanging="4"/>
        <w:spacing w:after="0" w:line="236" w:lineRule="auto"/>
        <w:tabs>
          <w:tab w:leader="none" w:pos="148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in accordance with proper corporate authorizations, will be legally issued, fully paid and non-assessable; and</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48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1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7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Lawrence McIntyre</w:t>
      </w:r>
    </w:p>
    <w:p>
      <w:pPr>
        <w:spacing w:after="0" w:line="238" w:lineRule="auto"/>
        <w:rPr>
          <w:sz w:val="20"/>
          <w:szCs w:val="20"/>
          <w:color w:val="auto"/>
        </w:rPr>
      </w:pPr>
      <w:r>
        <w:rPr>
          <w:rFonts w:ascii="Courier New" w:cs="Courier New" w:eastAsia="Courier New" w:hAnsi="Courier New"/>
          <w:sz w:val="18"/>
          <w:szCs w:val="18"/>
          <w:color w:val="auto"/>
        </w:rPr>
        <w:t>Vice President, Secretary</w:t>
      </w:r>
    </w:p>
    <w:p>
      <w:pPr>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14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of The Toro Company:</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consent to the use of our reports incorporated herein by reference in this Form S-8.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19,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lowerRoman"/>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8"/>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2019-12-13T14:05:12Z</dcterms:created>
  <dcterms:modified xsi:type="dcterms:W3CDTF">2019-12-13T14:05:12Z</dcterms:modified>
</cp:coreProperties>
</file>