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174625</wp:posOffset>
            </wp:positionH>
            <wp:positionV relativeFrom="page">
              <wp:posOffset>629285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534670</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8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899"/>
        <w:spacing w:after="0"/>
        <w:rPr>
          <w:sz w:val="20"/>
          <w:szCs w:val="20"/>
          <w:color w:val="auto"/>
        </w:rPr>
      </w:pPr>
      <w:r>
        <w:rPr>
          <w:rFonts w:ascii="Arial" w:cs="Arial" w:eastAsia="Arial" w:hAnsi="Arial"/>
          <w:sz w:val="20"/>
          <w:szCs w:val="20"/>
          <w:b w:val="1"/>
          <w:bCs w:val="1"/>
          <w:color w:val="auto"/>
        </w:rPr>
        <w:t>Washington, D.C. 20549</w:t>
      </w:r>
    </w:p>
    <w:p>
      <w:pPr>
        <w:spacing w:after="0" w:line="202"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51" w:lineRule="exact"/>
        <w:rPr>
          <w:sz w:val="24"/>
          <w:szCs w:val="24"/>
          <w:color w:val="auto"/>
        </w:rPr>
      </w:pPr>
    </w:p>
    <w:p>
      <w:pPr>
        <w:jc w:val="center"/>
        <w:ind w:right="-899"/>
        <w:spacing w:after="0"/>
        <w:rPr>
          <w:sz w:val="20"/>
          <w:szCs w:val="20"/>
          <w:color w:val="auto"/>
        </w:rPr>
      </w:pPr>
      <w:r>
        <w:rPr>
          <w:rFonts w:ascii="Arial" w:cs="Arial" w:eastAsia="Arial" w:hAnsi="Arial"/>
          <w:sz w:val="20"/>
          <w:szCs w:val="20"/>
          <w:b w:val="1"/>
          <w:bCs w:val="1"/>
          <w:color w:val="auto"/>
        </w:rPr>
        <w:t>For the fiscal year ended December 31, 2018</w:t>
      </w:r>
    </w:p>
    <w:p>
      <w:pPr>
        <w:spacing w:after="0" w:line="256" w:lineRule="exact"/>
        <w:rPr>
          <w:sz w:val="24"/>
          <w:szCs w:val="24"/>
          <w:color w:val="auto"/>
        </w:rPr>
      </w:pPr>
    </w:p>
    <w:p>
      <w:pPr>
        <w:ind w:left="5560"/>
        <w:spacing w:after="0"/>
        <w:rPr>
          <w:sz w:val="20"/>
          <w:szCs w:val="20"/>
          <w:color w:val="auto"/>
        </w:rPr>
      </w:pPr>
      <w:r>
        <w:rPr>
          <w:rFonts w:ascii="Arial" w:cs="Arial" w:eastAsia="Arial" w:hAnsi="Arial"/>
          <w:sz w:val="20"/>
          <w:szCs w:val="20"/>
          <w:b w:val="1"/>
          <w:bCs w:val="1"/>
          <w:color w:val="auto"/>
        </w:rPr>
        <w:t>OR</w:t>
      </w:r>
    </w:p>
    <w:p>
      <w:pPr>
        <w:spacing w:after="0" w:line="265"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o TRANSITION REPORT PURSUANT TO SECTION 15(d) OF THE SECURITIES EXCHANGE ACT OF 1934</w:t>
      </w:r>
    </w:p>
    <w:p>
      <w:pPr>
        <w:spacing w:after="0" w:line="263" w:lineRule="exact"/>
        <w:rPr>
          <w:sz w:val="24"/>
          <w:szCs w:val="24"/>
          <w:color w:val="auto"/>
        </w:rPr>
      </w:pPr>
    </w:p>
    <w:p>
      <w:pPr>
        <w:ind w:left="3000"/>
        <w:spacing w:after="0"/>
        <w:rPr>
          <w:sz w:val="20"/>
          <w:szCs w:val="20"/>
          <w:color w:val="auto"/>
        </w:rPr>
      </w:pPr>
      <w:r>
        <w:rPr>
          <w:rFonts w:ascii="Arial" w:cs="Arial" w:eastAsia="Arial" w:hAnsi="Arial"/>
          <w:sz w:val="20"/>
          <w:szCs w:val="20"/>
          <w:b w:val="1"/>
          <w:bCs w:val="1"/>
          <w:color w:val="auto"/>
        </w:rPr>
        <w:t>For the transition period from _____________ to _____________</w:t>
      </w:r>
    </w:p>
    <w:p>
      <w:pPr>
        <w:spacing w:after="0" w:line="256" w:lineRule="exact"/>
        <w:rPr>
          <w:sz w:val="24"/>
          <w:szCs w:val="24"/>
          <w:color w:val="auto"/>
        </w:rPr>
      </w:pPr>
    </w:p>
    <w:p>
      <w:pPr>
        <w:ind w:left="4400"/>
        <w:spacing w:after="0"/>
        <w:rPr>
          <w:sz w:val="20"/>
          <w:szCs w:val="20"/>
          <w:color w:val="auto"/>
        </w:rPr>
      </w:pPr>
      <w:r>
        <w:rPr>
          <w:rFonts w:ascii="Arial" w:cs="Arial" w:eastAsia="Arial" w:hAnsi="Arial"/>
          <w:sz w:val="20"/>
          <w:szCs w:val="20"/>
          <w:color w:val="auto"/>
        </w:rPr>
        <w:t xml:space="preserve">Commission file number: </w:t>
      </w:r>
      <w:r>
        <w:rPr>
          <w:rFonts w:ascii="Arial" w:cs="Arial" w:eastAsia="Arial" w:hAnsi="Arial"/>
          <w:sz w:val="20"/>
          <w:szCs w:val="20"/>
          <w:b w:val="1"/>
          <w:bCs w:val="1"/>
          <w:color w:val="auto"/>
        </w:rPr>
        <w:t>1-8649</w:t>
      </w:r>
    </w:p>
    <w:p>
      <w:pPr>
        <w:spacing w:after="0" w:line="262" w:lineRule="exact"/>
        <w:rPr>
          <w:sz w:val="24"/>
          <w:szCs w:val="24"/>
          <w:color w:val="auto"/>
        </w:rPr>
      </w:pPr>
    </w:p>
    <w:p>
      <w:pPr>
        <w:spacing w:after="0"/>
        <w:rPr>
          <w:sz w:val="20"/>
          <w:szCs w:val="20"/>
          <w:color w:val="auto"/>
        </w:rPr>
      </w:pPr>
      <w:r>
        <w:rPr>
          <w:rFonts w:ascii="Arial" w:cs="Arial" w:eastAsia="Arial" w:hAnsi="Arial"/>
          <w:sz w:val="20"/>
          <w:szCs w:val="20"/>
          <w:color w:val="auto"/>
        </w:rPr>
        <w:t>A. Full title of the plan and address of the plan, if different from that of the issuer named below:</w:t>
      </w:r>
    </w:p>
    <w:p>
      <w:pPr>
        <w:spacing w:after="0" w:line="219"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color w:val="auto"/>
        </w:rPr>
        <w:t>The Toro Company Investment, Savings, and Employee Stock Ownership Plan</w:t>
      </w:r>
    </w:p>
    <w:p>
      <w:pPr>
        <w:spacing w:after="0" w:line="260"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color w:val="auto"/>
        </w:rPr>
        <w:t>The Toro Company</w:t>
      </w:r>
    </w:p>
    <w:p>
      <w:pPr>
        <w:spacing w:after="0" w:line="28"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color w:val="auto"/>
        </w:rPr>
        <w:t>8111 Lyndale Avenue South</w:t>
      </w:r>
    </w:p>
    <w:p>
      <w:pPr>
        <w:spacing w:after="0" w:line="4"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color w:val="auto"/>
        </w:rPr>
        <w:t>Bloomington, MN 55420</w:t>
      </w:r>
    </w:p>
    <w:p>
      <w:pPr>
        <w:spacing w:after="0" w:line="4"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color w:val="auto"/>
        </w:rPr>
        <w:t>Attn: Managing Director, Total Rewards &amp; Employee Services</w:t>
      </w:r>
    </w:p>
    <w:p>
      <w:pPr>
        <w:spacing w:after="0" w:line="233" w:lineRule="exact"/>
        <w:rPr>
          <w:sz w:val="24"/>
          <w:szCs w:val="24"/>
          <w:color w:val="auto"/>
        </w:rPr>
      </w:pPr>
    </w:p>
    <w:p>
      <w:pPr>
        <w:spacing w:after="0"/>
        <w:rPr>
          <w:sz w:val="20"/>
          <w:szCs w:val="20"/>
          <w:color w:val="auto"/>
        </w:rPr>
      </w:pPr>
      <w:r>
        <w:rPr>
          <w:rFonts w:ascii="Arial" w:cs="Arial" w:eastAsia="Arial" w:hAnsi="Arial"/>
          <w:sz w:val="20"/>
          <w:szCs w:val="20"/>
          <w:color w:val="auto"/>
        </w:rPr>
        <w:t>B. Name of issuer of the securities held pursuant to the plan and the address of its principal executive office:</w:t>
      </w:r>
    </w:p>
    <w:p>
      <w:pPr>
        <w:spacing w:after="0" w:line="205" w:lineRule="exact"/>
        <w:rPr>
          <w:sz w:val="24"/>
          <w:szCs w:val="24"/>
          <w:color w:val="auto"/>
        </w:rPr>
      </w:pPr>
    </w:p>
    <w:p>
      <w:pPr>
        <w:ind w:left="4360"/>
        <w:spacing w:after="0"/>
        <w:rPr>
          <w:sz w:val="20"/>
          <w:szCs w:val="20"/>
          <w:color w:val="auto"/>
        </w:rPr>
      </w:pPr>
      <w:r>
        <w:rPr>
          <w:rFonts w:ascii="Arial" w:cs="Arial" w:eastAsia="Arial" w:hAnsi="Arial"/>
          <w:sz w:val="32"/>
          <w:szCs w:val="32"/>
          <w:b w:val="1"/>
          <w:bCs w:val="1"/>
          <w:color w:val="auto"/>
        </w:rPr>
        <w:t>The Toro Company</w:t>
      </w:r>
    </w:p>
    <w:p>
      <w:pPr>
        <w:spacing w:after="0" w:line="48"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color w:val="auto"/>
        </w:rPr>
        <w:t>8111 Lyndale Avenue South</w:t>
      </w:r>
    </w:p>
    <w:p>
      <w:pPr>
        <w:spacing w:after="0" w:line="4" w:lineRule="exact"/>
        <w:rPr>
          <w:sz w:val="24"/>
          <w:szCs w:val="24"/>
          <w:color w:val="auto"/>
        </w:rPr>
      </w:pPr>
    </w:p>
    <w:p>
      <w:pPr>
        <w:jc w:val="center"/>
        <w:ind w:right="-899"/>
        <w:spacing w:after="0"/>
        <w:rPr>
          <w:sz w:val="20"/>
          <w:szCs w:val="20"/>
          <w:color w:val="auto"/>
        </w:rPr>
      </w:pPr>
      <w:r>
        <w:rPr>
          <w:rFonts w:ascii="Arial" w:cs="Arial" w:eastAsia="Arial" w:hAnsi="Arial"/>
          <w:sz w:val="22"/>
          <w:szCs w:val="22"/>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1042035</wp:posOffset>
            </wp:positionV>
            <wp:extent cx="72123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956310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0520"/>
          </w:cols>
          <w:pgMar w:left="240" w:top="1440" w:right="11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TORO COMPANY INVESTMENT, SAVINGS,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EMPLOYEE STOCK OWNERSHIP PLAN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Financial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2018 and 2017</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(With Report of Independent Registered Public Accounting Firm Thereon)</w:t>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gridSpan w:val="3"/>
          </w:tcPr>
          <w:p>
            <w:pPr>
              <w:ind w:left="220"/>
              <w:spacing w:after="0"/>
              <w:rPr>
                <w:sz w:val="20"/>
                <w:szCs w:val="20"/>
                <w:color w:val="auto"/>
              </w:rPr>
            </w:pPr>
            <w:r>
              <w:rPr>
                <w:rFonts w:ascii="Arial" w:cs="Arial" w:eastAsia="Arial" w:hAnsi="Arial"/>
                <w:sz w:val="18"/>
                <w:szCs w:val="18"/>
                <w:b w:val="1"/>
                <w:bCs w:val="1"/>
                <w:color w:val="auto"/>
              </w:rPr>
              <w:t>Table of Contents</w:t>
            </w:r>
          </w:p>
        </w:tc>
      </w:tr>
      <w:tr>
        <w:trPr>
          <w:trHeight w:val="648"/>
        </w:trPr>
        <w:tc>
          <w:tcPr>
            <w:tcW w:w="40" w:type="dxa"/>
            <w:vAlign w:val="bottom"/>
          </w:tcPr>
          <w:p>
            <w:pPr>
              <w:spacing w:after="0"/>
              <w:rPr>
                <w:sz w:val="24"/>
                <w:szCs w:val="24"/>
                <w:color w:val="auto"/>
              </w:rPr>
            </w:pPr>
          </w:p>
        </w:tc>
        <w:tc>
          <w:tcPr>
            <w:tcW w:w="478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c>
          <w:tcPr>
            <w:tcW w:w="6600" w:type="dxa"/>
            <w:vAlign w:val="bottom"/>
            <w:gridSpan w:val="3"/>
          </w:tcPr>
          <w:p>
            <w:pPr>
              <w:ind w:left="5520"/>
              <w:spacing w:after="0"/>
              <w:rPr>
                <w:sz w:val="20"/>
                <w:szCs w:val="20"/>
                <w:color w:val="auto"/>
              </w:rPr>
            </w:pPr>
            <w:r>
              <w:rPr>
                <w:rFonts w:ascii="Arial" w:cs="Arial" w:eastAsia="Arial" w:hAnsi="Arial"/>
                <w:sz w:val="18"/>
                <w:szCs w:val="18"/>
                <w:b w:val="1"/>
                <w:bCs w:val="1"/>
                <w:color w:val="auto"/>
                <w:w w:val="91"/>
              </w:rPr>
              <w:t>Page Number</w:t>
            </w:r>
          </w:p>
        </w:tc>
      </w:tr>
      <w:tr>
        <w:trPr>
          <w:trHeight w:val="27"/>
        </w:trPr>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42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Report of Independent Registered Public Accounting Firm</w:t>
              </w:r>
            </w:hyperlink>
          </w:p>
        </w:tc>
        <w:tc>
          <w:tcPr>
            <w:tcW w:w="560" w:type="dxa"/>
            <w:vAlign w:val="bottom"/>
            <w:gridSpan w:val="3"/>
          </w:tcPr>
          <w:p>
            <w:pPr>
              <w:spacing w:after="0"/>
              <w:rPr>
                <w:sz w:val="17"/>
                <w:szCs w:val="17"/>
                <w:color w:val="auto"/>
              </w:rPr>
            </w:pPr>
          </w:p>
        </w:tc>
        <w:tc>
          <w:tcPr>
            <w:tcW w:w="64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4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Net Assets Available for Benefits</w:t>
              </w:r>
            </w:hyperlink>
          </w:p>
        </w:tc>
        <w:tc>
          <w:tcPr>
            <w:tcW w:w="1340" w:type="dxa"/>
            <w:vAlign w:val="bottom"/>
            <w:gridSpan w:val="4"/>
          </w:tcPr>
          <w:p>
            <w:pPr>
              <w:spacing w:after="0"/>
              <w:rPr>
                <w:sz w:val="21"/>
                <w:szCs w:val="21"/>
                <w:color w:val="auto"/>
              </w:rPr>
            </w:pPr>
          </w:p>
        </w:tc>
        <w:tc>
          <w:tcPr>
            <w:tcW w:w="64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78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Changes in Net Assets Available for Benefits</w:t>
              </w:r>
            </w:hyperlink>
          </w:p>
        </w:tc>
        <w:tc>
          <w:tcPr>
            <w:tcW w:w="6600" w:type="dxa"/>
            <w:vAlign w:val="bottom"/>
            <w:gridSpan w:val="3"/>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50"/>
        </w:trPr>
        <w:tc>
          <w:tcPr>
            <w:tcW w:w="40" w:type="dxa"/>
            <w:vAlign w:val="bottom"/>
          </w:tcPr>
          <w:p>
            <w:pPr>
              <w:spacing w:after="0"/>
              <w:rPr>
                <w:sz w:val="21"/>
                <w:szCs w:val="21"/>
                <w:color w:val="auto"/>
              </w:rPr>
            </w:pPr>
          </w:p>
        </w:tc>
        <w:tc>
          <w:tcPr>
            <w:tcW w:w="4280" w:type="dxa"/>
            <w:vAlign w:val="bottom"/>
            <w:tcBorders>
              <w:top w:val="single" w:sz="8" w:color="0000EE"/>
            </w:tcBorders>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500" w:type="dxa"/>
            <w:vAlign w:val="bottom"/>
            <w:gridSpan w:val="2"/>
          </w:tcPr>
          <w:p>
            <w:pPr>
              <w:spacing w:after="0"/>
              <w:rPr>
                <w:sz w:val="21"/>
                <w:szCs w:val="21"/>
                <w:color w:val="auto"/>
              </w:rPr>
            </w:pPr>
          </w:p>
        </w:tc>
        <w:tc>
          <w:tcPr>
            <w:tcW w:w="64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560" w:type="dxa"/>
            <w:vAlign w:val="bottom"/>
            <w:gridSpan w:val="7"/>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Schedule H, Line 4i - Schedule of Assets (Held at End of Year)</w:t>
              </w:r>
            </w:hyperlink>
          </w:p>
        </w:tc>
        <w:tc>
          <w:tcPr>
            <w:tcW w:w="220" w:type="dxa"/>
            <w:vAlign w:val="bottom"/>
          </w:tcPr>
          <w:p>
            <w:pPr>
              <w:spacing w:after="0"/>
              <w:rPr>
                <w:sz w:val="21"/>
                <w:szCs w:val="21"/>
                <w:color w:val="auto"/>
              </w:rPr>
            </w:pPr>
          </w:p>
        </w:tc>
        <w:tc>
          <w:tcPr>
            <w:tcW w:w="6600" w:type="dxa"/>
            <w:vAlign w:val="bottom"/>
            <w:gridSpan w:val="3"/>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Signatures</w:t>
              </w:r>
            </w:hyperlink>
          </w:p>
        </w:tc>
        <w:tc>
          <w:tcPr>
            <w:tcW w:w="3800" w:type="dxa"/>
            <w:vAlign w:val="bottom"/>
            <w:gridSpan w:val="6"/>
          </w:tcPr>
          <w:p>
            <w:pPr>
              <w:spacing w:after="0"/>
              <w:rPr>
                <w:sz w:val="21"/>
                <w:szCs w:val="21"/>
                <w:color w:val="auto"/>
              </w:rPr>
            </w:pPr>
          </w:p>
        </w:tc>
        <w:tc>
          <w:tcPr>
            <w:tcW w:w="220" w:type="dxa"/>
            <w:vAlign w:val="bottom"/>
          </w:tcPr>
          <w:p>
            <w:pPr>
              <w:spacing w:after="0"/>
              <w:rPr>
                <w:sz w:val="21"/>
                <w:szCs w:val="21"/>
                <w:color w:val="auto"/>
              </w:rPr>
            </w:pPr>
          </w:p>
        </w:tc>
        <w:tc>
          <w:tcPr>
            <w:tcW w:w="6600" w:type="dxa"/>
            <w:vAlign w:val="bottom"/>
            <w:gridSpan w:val="3"/>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6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gridSpan w:val="2"/>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Exhibit Index</w:t>
              </w:r>
            </w:hyperlink>
          </w:p>
        </w:tc>
        <w:tc>
          <w:tcPr>
            <w:tcW w:w="3800" w:type="dxa"/>
            <w:vAlign w:val="bottom"/>
            <w:gridSpan w:val="6"/>
          </w:tcPr>
          <w:p>
            <w:pPr>
              <w:spacing w:after="0"/>
              <w:rPr>
                <w:sz w:val="21"/>
                <w:szCs w:val="21"/>
                <w:color w:val="auto"/>
              </w:rPr>
            </w:pPr>
          </w:p>
        </w:tc>
        <w:tc>
          <w:tcPr>
            <w:tcW w:w="6600" w:type="dxa"/>
            <w:vAlign w:val="bottom"/>
            <w:gridSpan w:val="3"/>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 and Employee Stock Ownership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2018 and 2017, the related statement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2018 and 2017, and the changes in net assets available for benefits for the years then ended,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Accompanying Supplemental Information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Schedule H, line 4i - Schedule of Assets (Held at End of the Year) as of December 31, 2018,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been able to determine the specific year that we began serving as the Plan’s auditor, however we are aware that we have served as the Plan’s auditor since at least 1993.</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27, 2019</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47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3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Assets held by trustee, at fair value:</w:t>
            </w:r>
          </w:p>
        </w:tc>
        <w:tc>
          <w:tcPr>
            <w:tcW w:w="3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Investments at fair value</w:t>
            </w:r>
          </w:p>
        </w:tc>
        <w:tc>
          <w:tcPr>
            <w:tcW w:w="3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953,423,543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Interest in The Toro Company Master Trust Fund</w:t>
            </w:r>
          </w:p>
        </w:tc>
        <w:tc>
          <w:tcPr>
            <w:tcW w:w="36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1,136,196,265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assets held by trustee, at fair value</w:t>
            </w:r>
          </w:p>
        </w:tc>
        <w:tc>
          <w:tcPr>
            <w:tcW w:w="3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953,423,543</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1,136,196,265</w:t>
            </w:r>
          </w:p>
        </w:tc>
      </w:tr>
      <w:tr>
        <w:trPr>
          <w:trHeight w:val="32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3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Employer contribution receivable</w:t>
            </w:r>
          </w:p>
        </w:tc>
        <w:tc>
          <w:tcPr>
            <w:tcW w:w="36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13,876,572</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13,499,337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Employee contribution receivable</w:t>
            </w:r>
          </w:p>
        </w:tc>
        <w:tc>
          <w:tcPr>
            <w:tcW w:w="3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140,397</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91,529</w:t>
            </w: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Notes receivable from participants</w:t>
            </w:r>
          </w:p>
        </w:tc>
        <w:tc>
          <w:tcPr>
            <w:tcW w:w="36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86,643</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11,984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Assets in-transit from merged plan</w:t>
            </w:r>
          </w:p>
        </w:tc>
        <w:tc>
          <w:tcPr>
            <w:tcW w:w="3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4,676,591</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Borders>
              <w:top w:val="single" w:sz="8" w:color="auto"/>
            </w:tcBorders>
          </w:tcPr>
          <w:p>
            <w:pPr>
              <w:spacing w:after="0"/>
              <w:rPr>
                <w:sz w:val="20"/>
                <w:szCs w:val="20"/>
                <w:color w:val="auto"/>
              </w:rPr>
            </w:pPr>
          </w:p>
        </w:tc>
        <w:tc>
          <w:tcPr>
            <w:tcW w:w="466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color w:val="auto"/>
              </w:rPr>
              <w:t>Total receivables</w:t>
            </w:r>
          </w:p>
        </w:tc>
        <w:tc>
          <w:tcPr>
            <w:tcW w:w="36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18,780,203</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13,602,850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3640" w:type="dxa"/>
            <w:vAlign w:val="bottom"/>
            <w:tcBorders>
              <w:bottom w:val="single" w:sz="8" w:color="auto"/>
            </w:tcBorders>
            <w:shd w:val="clear" w:color="auto" w:fill="CCEEFF"/>
          </w:tcPr>
          <w:p>
            <w:pPr>
              <w:spacing w:after="0"/>
              <w:rPr>
                <w:sz w:val="24"/>
                <w:szCs w:val="24"/>
                <w:color w:val="auto"/>
              </w:rPr>
            </w:pPr>
          </w:p>
        </w:tc>
        <w:tc>
          <w:tcPr>
            <w:tcW w:w="36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Total assets</w:t>
            </w:r>
          </w:p>
        </w:tc>
        <w:tc>
          <w:tcPr>
            <w:tcW w:w="36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972,203,746</w:t>
            </w:r>
          </w:p>
        </w:tc>
        <w:tc>
          <w:tcPr>
            <w:tcW w:w="4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1,149,799,115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03"/>
        </w:trPr>
        <w:tc>
          <w:tcPr>
            <w:tcW w:w="4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LIABILITIES</w:t>
            </w:r>
          </w:p>
        </w:tc>
        <w:tc>
          <w:tcPr>
            <w:tcW w:w="3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4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Excess contributions payable</w:t>
            </w:r>
          </w:p>
        </w:tc>
        <w:tc>
          <w:tcPr>
            <w:tcW w:w="3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90,442</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liabilities</w:t>
            </w:r>
          </w:p>
        </w:tc>
        <w:tc>
          <w:tcPr>
            <w:tcW w:w="36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90,442</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4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3640" w:type="dxa"/>
            <w:vAlign w:val="bottom"/>
            <w:tcBorders>
              <w:bottom w:val="single" w:sz="8" w:color="auto"/>
            </w:tcBorders>
            <w:shd w:val="clear" w:color="auto" w:fill="CCEEFF"/>
          </w:tcPr>
          <w:p>
            <w:pPr>
              <w:spacing w:after="0"/>
              <w:rPr>
                <w:sz w:val="24"/>
                <w:szCs w:val="24"/>
                <w:color w:val="auto"/>
              </w:rPr>
            </w:pPr>
          </w:p>
        </w:tc>
        <w:tc>
          <w:tcPr>
            <w:tcW w:w="36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Net assets available for benefits</w:t>
            </w:r>
          </w:p>
        </w:tc>
        <w:tc>
          <w:tcPr>
            <w:tcW w:w="3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972,113,304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1,149,799,115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3"/>
        </w:trPr>
        <w:tc>
          <w:tcPr>
            <w:tcW w:w="4700" w:type="dxa"/>
            <w:vAlign w:val="bottom"/>
            <w:gridSpan w:val="4"/>
          </w:tcPr>
          <w:p>
            <w:pPr>
              <w:spacing w:after="0"/>
              <w:rPr>
                <w:sz w:val="20"/>
                <w:szCs w:val="20"/>
                <w:color w:val="auto"/>
              </w:rPr>
            </w:pPr>
            <w:r>
              <w:rPr>
                <w:rFonts w:ascii="Arial" w:cs="Arial" w:eastAsia="Arial" w:hAnsi="Arial"/>
                <w:sz w:val="18"/>
                <w:szCs w:val="18"/>
                <w:color w:val="auto"/>
              </w:rPr>
              <w:t>See accompanying Notes to Financial Statements.</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7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0" w:type="dxa"/>
            <w:vAlign w:val="bottom"/>
          </w:tcPr>
          <w:p>
            <w:pPr>
              <w:jc w:val="right"/>
              <w:ind w:right="245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(loss):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Net depreciation in the fair value of investments</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(109,730,251)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dividends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16,390,118</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1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169,789,565</w:t>
            </w:r>
          </w:p>
        </w:tc>
      </w:tr>
      <w:tr>
        <w:trPr>
          <w:trHeight w:val="27"/>
        </w:trPr>
        <w:tc>
          <w:tcPr>
            <w:tcW w:w="6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investment income (loss)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(93,340,133)</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169,789,565</w:t>
            </w:r>
          </w:p>
        </w:tc>
      </w:tr>
      <w:tr>
        <w:trPr>
          <w:trHeight w:val="324"/>
        </w:trPr>
        <w:tc>
          <w:tcPr>
            <w:tcW w:w="6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Employer cash contributions</w:t>
            </w:r>
          </w:p>
        </w:tc>
        <w:tc>
          <w:tcPr>
            <w:tcW w:w="1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14,718,132</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14,329,439</w:t>
            </w:r>
          </w:p>
        </w:tc>
      </w:tr>
      <w:tr>
        <w:trPr>
          <w:trHeight w:val="27"/>
        </w:trPr>
        <w:tc>
          <w:tcPr>
            <w:tcW w:w="6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non-cash stock contributions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3,949,388</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3,823,255</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Employee contributions</w:t>
            </w:r>
          </w:p>
        </w:tc>
        <w:tc>
          <w:tcPr>
            <w:tcW w:w="1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20,452,942</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18,881,565</w:t>
            </w:r>
          </w:p>
        </w:tc>
      </w:tr>
      <w:tr>
        <w:trPr>
          <w:trHeight w:val="27"/>
        </w:trPr>
        <w:tc>
          <w:tcPr>
            <w:tcW w:w="6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Rollover contributions</w:t>
            </w:r>
          </w:p>
        </w:tc>
        <w:tc>
          <w:tcPr>
            <w:tcW w:w="1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1,839,495</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2,780,336</w:t>
            </w:r>
          </w:p>
        </w:tc>
      </w:tr>
      <w:tr>
        <w:trPr>
          <w:trHeight w:val="237"/>
        </w:trPr>
        <w:tc>
          <w:tcPr>
            <w:tcW w:w="69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contributions</w:t>
            </w:r>
          </w:p>
        </w:tc>
        <w:tc>
          <w:tcPr>
            <w:tcW w:w="1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40,959,957</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39,814,595</w:t>
            </w:r>
          </w:p>
        </w:tc>
      </w:tr>
      <w:tr>
        <w:trPr>
          <w:trHeight w:val="27"/>
        </w:trPr>
        <w:tc>
          <w:tcPr>
            <w:tcW w:w="6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9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Deductions from net assets:</w:t>
            </w:r>
          </w:p>
        </w:tc>
        <w:tc>
          <w:tcPr>
            <w:tcW w:w="1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(129,782,858)</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(92,184,660)</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Administrative and other</w:t>
            </w:r>
          </w:p>
        </w:tc>
        <w:tc>
          <w:tcPr>
            <w:tcW w:w="13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(284,313)</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(270,877)</w:t>
            </w:r>
          </w:p>
        </w:tc>
      </w:tr>
      <w:tr>
        <w:trPr>
          <w:trHeight w:val="27"/>
        </w:trPr>
        <w:tc>
          <w:tcPr>
            <w:tcW w:w="6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deductions from net assets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(130,067,171)</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(92,455,537)</w:t>
            </w:r>
          </w:p>
        </w:tc>
      </w:tr>
      <w:tr>
        <w:trPr>
          <w:trHeight w:val="324"/>
        </w:trPr>
        <w:tc>
          <w:tcPr>
            <w:tcW w:w="6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9"/>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net assets available for benefits</w:t>
            </w:r>
          </w:p>
        </w:tc>
        <w:tc>
          <w:tcPr>
            <w:tcW w:w="1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(182,447,347)</w:t>
            </w: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117,148,623</w:t>
            </w:r>
          </w:p>
        </w:tc>
      </w:tr>
      <w:tr>
        <w:trPr>
          <w:trHeight w:val="318"/>
        </w:trPr>
        <w:tc>
          <w:tcPr>
            <w:tcW w:w="69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assets from another plan</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4,761,536</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5,519,074</w:t>
            </w:r>
          </w:p>
        </w:tc>
      </w:tr>
      <w:tr>
        <w:trPr>
          <w:trHeight w:val="324"/>
        </w:trPr>
        <w:tc>
          <w:tcPr>
            <w:tcW w:w="6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w:t>
            </w:r>
          </w:p>
        </w:tc>
        <w:tc>
          <w:tcPr>
            <w:tcW w:w="1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13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1,149,799,115</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1,027,131,418</w:t>
            </w:r>
          </w:p>
        </w:tc>
      </w:tr>
      <w:tr>
        <w:trPr>
          <w:trHeight w:val="27"/>
        </w:trPr>
        <w:tc>
          <w:tcPr>
            <w:tcW w:w="6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End of year</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972,113,304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1,149,799,115</w:t>
            </w:r>
          </w:p>
        </w:tc>
      </w:tr>
      <w:tr>
        <w:trPr>
          <w:trHeight w:val="20"/>
        </w:trPr>
        <w:tc>
          <w:tcPr>
            <w:tcW w:w="69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 to Financial Statements</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December 31,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Description of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Toro Company (the "company" or the "Plan administrator")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The company sells its products worldwide through a network of distributors, dealers, mass retailers, hardware retailers, equipment rental centers, home centers, as well as online (direct to end-users).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description of The Toro Company Investment, Savings, and Employee Stock Ownership Plan (the "Plan") is provided for general information purposes only. Participants should refer to the Plan document amended and restated as of January 1, 2012 for more complete information for calendar years prior to 2016. The Plan document was amended and restated effective January 1, 2016 as part of the regular five-year cycle of amendments and restatements. The Plan is subject to the provisions of the Employee Retirement Income Security Act of 1974 ("ERISA"). There is a profit sharing portion and an employee stock ownership ("ESOP") portion of the Plan. The portions of participant accounts that hold common stock, par value $1.00 per share ("Common Stock"), of the company are included in the ESOP portion of the Plan. The portions of participant accounts that do not hold such stock are included in the profit sharing portion of the Plan.</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Employees ("participants") are eligible to contribute to the profit sharing portion of the Plan after they have completed 30 consecutive days of employment. Participants may make their own contributions to the Plan. In addition, at the time an employee first becomes a participant in the Plan, the employee will be automatically enrolled to contribute 4% of such person’s compensation to the profit sharing portion of the Plan, unless the Participant affirmatively elects otherwise. The company also makes discretionary matching contributions to the profit sharing portion of the Plan with respect to participant salary reduction contributions. Plan participants are also eligible for annual ESOP and investment fund contributions that may be made by the company to the Plan on their behalf. The primary purpose of the ESOP portion of the Plan is to provide employees who become participants in the Plan an opportunity to have their account balances invested in Common Stock of the company. Discretionary company matching contributions to participant salary reduction contributions and annual discretionary contributions, together with earnings attributable thereto, vest at a rate of 20% after one year of vesting service, with an additional 20% vesting each year of vesting service thereafter until the participant is 100% vested.</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Participants may choose to have their accounts, including those initially invested in Common Stock of the company, invested in any of the investment funds made available under the Plan or, subject to certain limitations, in Common Stock of the company. All contributions under the Plan are made to a trust that holds all of the assets of the Plan.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Participants may receive distributions from their vested accounts under the Plan upon termination of service or death in the form of a lump-sum payment or in installments. Additionally, at age 59½, participants are able to take in-service withdrawals.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 company, a withdrawal or distribution can be in the form of Common Stock of the company or cash.</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Benefit payments and transfers of participants’ interests are made by Fidelity Investments (the "Trustee") and are recorded when paid or transferred, respectively. Administrative costs of the Plan are shared by the company and Plan participants, depending upon the type of administrative cost, and are recorded when the expense has been incurred. Investment management fees are netted against investment income.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years ended December 31, 2018 and 2017, forfeited non-vested accounts totaled $186,879 and $118,982 respectively. These amounts are used to offset future company contributions.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Plan Mergers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Boss Union 401(k)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December 31, 2018, the Boss Union 401(k) Plan (the "Boss Plan") merged with, and into, the Plan (the "Boss Plan merger"). On December 31, 2018, the transfer of all assets, including in-kind investments, of the Boss Plan into the Plan was initiated. The transfer of such assets of the Boss Plan is included within transfer of assets from another plan in the Statement of Changes in Net Assets Available for Benefits for the year ending December 31, 2018; of which $4,676,591 of cash-in-transit was recorded as assets in-transit from merged plan on the Statement of Net Assets Available for Benefits as of December 31, 2018 as the transfer was not completed until January 2, 2019 and $84,945 of outstanding participant loans was recorded as notes receivable from participants on the Statement of Net Assets Available for Benefits as of December 31, 2018.</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Outstanding participant loans transferred from the Boss Plan to the Plan remain outstanding in accordance with the existing terms of the promissory note and plan loan policy in effect immediately before the Boss plan merger. Under such existing terms, participant loans are secured by the vested balance in the participant’s account and bear interest at a fixed interest rate equal to 1% above the prime rate. Loans are repayable over periods up to five years with the exception of loans used to purchase a primary residence of the participant. Participant loans are recorded as notes receivable from participants on the Statement of Net Assets Available for Benefits. Such participant loans are valued at the unpaid principal balance plus any accrued but unpaid interest. Interest income is recorded on the accrual basis and related fees are recorded as administrative expense when incurred. No allowance for credit losses has been recorded on the outstanding participant loan balance as of December 31, 2018 and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Toro Company Profit-Sharing Plan for Plymouth Union Employees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Effective December 31, 2017, The Toro Company Profit-Sharing Plan for Plymouth Union Employees (the "Plymouth Plan") merged with, and into, the Plan (the "Plymouth Plan merger"). As of December 31, 2017, all assets, including in-kind investments, of the Plymouth Plan were transferred into the Plan and the Plan's assets represented the total value of the investments held by the Trustee in the Master Trust. The Statement of Net Assets Available for Benefits reflects the fair value of the assets of the Plan and the Plymouth Plan as of December 31, 2018 and 2017. The Statement of Changes in Net Assets Available for Benefits reflects the activity of the Plan and the Plymouth Plan for the year ended December 31, 2018. The Statement of Changes in Net Assets Available for Benefits for the year ended December 31, 2017 reflects the activity of the Plan and the transfer of the fair value of assets from the Plymouth Plan of $5,519,074 on December 31, 2017. Included in the investments transferred into the Plan on December 31, 2017 was $2,511,658 of Common Stock of the company. As a result of the Plymouth Plan merger, the Plan's net assets remained held by the Trustee but were no longer held within a Master Trust as of December 31, 2018. The Plan’s percentage interest in the net assets of the Master Trust was 100% as of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of the Plan are prepared in accordance with United States generally accepted accounting principles ("U.S. GAAP") and are presented on the accrual basis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Financial Statements and any Supplemental Schedules in conformity with U.S. GAAP requires the Plan's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has investments in a variety of investment funds that,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Statements of Net Assets Available for Benefits.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Valuation of Investments and Income Recognition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Plan's investments are stated at fair value. Fair value is the price that would be received to sell an asset or paid to transfer a liability in an orderly transaction between market participants as of the measurement date. Refer to Note 6,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additional information regarding the fair value measurements of the Plan's investments. Purchases and sales of all investments are recorded on a trade-date basis. Net appreciation, or depreciation, includes the Plan's gains, or losses, respectively, on investments bought and sold, as well as held during the year and is reflected in the Statements of Changes in Net Assets Available for Benefits. Interest is recorded on an accrual basis. Dividends are recorded on the ex-dividend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assets held by the Plan include the Common Stock of the company. At December 31, 2018 and 2017, approximately 35% and 40% of the investments of the Plan were invested in Common Stock of the company, respectively. The underlying value of the Common Stock of the company is entirely dependent upon the performance of the company and the market’s evaluation of such performance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Contributions Payable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Plan is required to return contributions to participants in the event certain nondiscrimination tests and and/or participant contribution limits defined under the Internal Revenue Code (the "Code" or "IRC") are not satisfied. As of December 31, 2018, amounts payable to participants for return contributions of $90,442 were included in excess contributions payable within the Statements of Net Assets Available for Benefits, with a corresponding reduction to employee contributions within the Statements of Changes in Net Assets Available for Benefits. As of December 31, 2017, there were no amounts payable for return contributions as the Plan satisfied the nondiscrimination tests and participant contribution limits.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indirectly invests in guaranteed investment contracts and security-backed contracts through the Wells Fargo Stable Return Fund G.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Stable value collective trust funds, which include these investment contracts held by a defined contribution plan, are required to be reported at fair value. The yield earned by the Wells Fargo Stable Return Fund G at December 31, 2018 and 2017 was 3.07% and 2.36%,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to be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Financial Accounting Standards Board issued Accounting Standards Update No. 2018-13, </w:t>
      </w:r>
      <w:r>
        <w:rPr>
          <w:rFonts w:ascii="Arial" w:cs="Arial" w:eastAsia="Arial" w:hAnsi="Arial"/>
          <w:sz w:val="18"/>
          <w:szCs w:val="18"/>
          <w:i w:val="1"/>
          <w:iCs w:val="1"/>
          <w:color w:val="auto"/>
        </w:rPr>
        <w:t>Fair Value Measurement (Topic 820) -</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which modifies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amended guidance is effective for all entities for fiscal years, and interim periods within those fiscal years, beginning after December 15, 2019. Early adoption is permitted for any removed or modified disclosures. The amended guidance will become effective for the Plan on January 1, 2020. The Plan administrator is currently evaluating the impact of this new standard on the Financial Statements and Notes to Financial Statements of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Funding Policy, Contributions, and Plan Transfers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profit sharing portion of the Plan, the company, at its discretion, may choose to make an annual contribution to a qualified participant’s account in the form of cash. This contribution is invested based on a participant’s selection of investment options under the 401(k) feature. To the extent that a contribution is made for a plan year, it is allocated based on the participant’s eligible compensation for the plan year, plus the participant’s eligible compensation above the Social Security taxable wage base.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ESOP portion of the Plan, the company, at its discretion, may choose to make an annual contribution to a qualified participant’s account in the form of Common Stock of the company. To the extent that a contribution is made for a plan year, it is allocated based on the participant’s eligible compensation for the plan year.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Participants can also elect to make salary reduction contributions to the Plan under a 401(k) feature and to make rollover contributions from other qualified plans. The company may, at its discretion, make a matching contribution to participant salary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reduction contributions to the Plan. Transfers to, or from, other plans represent participant elected rollovers to, or from, plans of other employers or other transfers to, or from, other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Party-in-Interest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Trustee and the company are parties-in-interest with respect to the Plan. The Plan’s investments are held by the Trustee, and some of the investment funds available to participants include investment funds under a self-directed brokerage account and money market funds managed by the Trustee. Transactions between the Plan and the Trustee are exempt from being considered as "prohibited transactions" under the ERISA Section 408(b). The Plan had no prohibited transactions with parties-in-interest during 2018 and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and 2017, the Plan held 6,056,747 and 6,954,716 shares, respectively, of Common Stock of the company, with a cost basis of approximately $81.1 million and $82.2 million, respectively. During the years ended December 31, 2018 and 2017, the Plan recorded Common Stock dividend income of $5.3 million and $4.4 million, respectively. Transactions involving Common Stock of the company qualify as party-in-interest transactions that are exempt from the prohibited transaction rules under ERISA.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Plan Termination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voluntarily agreed to make contributions to the Plan. Each participant’s interest in the Plan is 100% vested at all times, except for the portion attributable to matching contributions, which is vested in the manner described within Note 1, </w:t>
      </w:r>
      <w:r>
        <w:rPr>
          <w:rFonts w:ascii="Arial" w:cs="Arial" w:eastAsia="Arial" w:hAnsi="Arial"/>
          <w:sz w:val="18"/>
          <w:szCs w:val="18"/>
          <w:i w:val="1"/>
          <w:iCs w:val="1"/>
          <w:color w:val="auto"/>
        </w:rPr>
        <w:t>Summary Description of Plan</w:t>
      </w:r>
      <w:r>
        <w:rPr>
          <w:rFonts w:ascii="Arial" w:cs="Arial" w:eastAsia="Arial" w:hAnsi="Arial"/>
          <w:sz w:val="18"/>
          <w:szCs w:val="18"/>
          <w:color w:val="auto"/>
        </w:rPr>
        <w:t>. Although the company has not expressed any intent to terminate the Plan, it may do so at any time. Upon termination of the Plan, interests of active participants in the Plan would fully vest.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and the Master Trust categorize their assets and liabilities into one of three levels based on the assumptions and inputs used in valuing the asset or liability. Level 1 provides the most reliable measure of fair value, while Level 3 generally requires significant management judgment. The three levels are defined as follows: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Plan and Master Trust's investments in mutual funds, money market funds, and investments in Common Stock of the company are classified as Level 1 assets in the fair value hierarchy. Mutual funds and investments in Common Stock of the company are valued based on the unadjusted closing market price reported on the active market on which the individual securities are traded. Money market funds are open-end, actively traded mutual funds that are registered with the United States Securities and Exchange Commission and are valued at the daily closing price, or net asset value ("NAV"), as reported by the fund. Investments held within the self-directed brokerage account are classified as Level 1 assets in the fair value hierarchy and primarily consist of mutual funds and common stocks that are valued based on the unadjusted closing market price reported on the active market on which the individual securities are traded. The Plan and Master Trust's investments in common collective trust funds are classified as Level 2 assets in the fair value hierarchy. Common collective trust funds have the characteristics of a structure similar to a mutual fund and are valued based on the readily determinable quoted market price that each fund publishes at the end of each day. While the underlying assets are actively traded on an exchange, the common collective trust funds are not and, therefore, are classified as Level 2 assets in the fair value hierarchy. There were no transfers between Level 1 and Level 2 and there have been no changes in the methodologies used for assets measured at fair value during the years ended December 31, 2018 and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Plan's assets measured at fair value and NAV as of December 31, 2018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282,825,781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282,825,781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315,487,003</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315,487,003</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4,338,732</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4,338,732</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12,312,222</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12,312,222</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1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338,459,805</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338,459,805</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3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Investments at fair value and NAV</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953,423,543</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637,936,540</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315,487,003</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Master Trust assets measured at fair value and NAV as of December 31, 2017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333,191,028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333,191,028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11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330,374,919</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330,374,919</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4,269,905</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4,269,905</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11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14,696,230</w:t>
            </w: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14,696,230</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1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453,664,183</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453,664,183</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3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Investments at fair value and NAV</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1,136,196,265</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805,821,346</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330,374,919</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Master Trust Fund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The Trustee has historically maintained one Master Trust for two profit sharing and retirement plans sponsored by the company; the Plan and the Plymouth Plan. The purpose of the Master Trust was to pool investment transactions and achieve uniform rates of return on comparable funds under both plans. Investment income related to the Master Trust is allocated to the individual plans based upon beginning of the month balances invested in the Plan. As noted within Note 1, </w:t>
      </w:r>
      <w:r>
        <w:rPr>
          <w:rFonts w:ascii="Arial" w:cs="Arial" w:eastAsia="Arial" w:hAnsi="Arial"/>
          <w:sz w:val="17"/>
          <w:szCs w:val="17"/>
          <w:i w:val="1"/>
          <w:iCs w:val="1"/>
          <w:color w:val="auto"/>
        </w:rPr>
        <w:t>Summary Description of Plan</w:t>
      </w:r>
      <w:r>
        <w:rPr>
          <w:rFonts w:ascii="Arial" w:cs="Arial" w:eastAsia="Arial" w:hAnsi="Arial"/>
          <w:sz w:val="17"/>
          <w:szCs w:val="17"/>
          <w:color w:val="auto"/>
        </w:rPr>
        <w:t>, effective December 31, 2017, the Plymouth Plan merged with, and into, the Plan and all assets, including in-kind investments, of the Plymouth Plan were transferred into the Plan. As a result of the Plymouth Plan merger, the Plan's net assets remained held by the Trustee but were no longer held within a Master Trust as of December 31, 2018. The Plan’s percentage interest in the net assets of the Master Trust was 100% as of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Master Trust investments at fair value and NAV as of December 31, 2018 and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448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46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448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333,191,028</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Common collective trust funds</w:t>
            </w:r>
          </w:p>
        </w:tc>
        <w:tc>
          <w:tcPr>
            <w:tcW w:w="4480" w:type="dxa"/>
            <w:vAlign w:val="bottom"/>
          </w:tcPr>
          <w:p>
            <w:pPr>
              <w:spacing w:after="0"/>
              <w:rPr>
                <w:sz w:val="21"/>
                <w:szCs w:val="21"/>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330,374,919</w:t>
            </w:r>
          </w:p>
        </w:tc>
      </w:tr>
      <w:tr>
        <w:trPr>
          <w:trHeight w:val="27"/>
        </w:trPr>
        <w:tc>
          <w:tcPr>
            <w:tcW w:w="4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4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4,269,905</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Self-directed brokerage</w:t>
            </w:r>
          </w:p>
        </w:tc>
        <w:tc>
          <w:tcPr>
            <w:tcW w:w="4480" w:type="dxa"/>
            <w:vAlign w:val="bottom"/>
          </w:tcPr>
          <w:p>
            <w:pPr>
              <w:spacing w:after="0"/>
              <w:rPr>
                <w:sz w:val="21"/>
                <w:szCs w:val="21"/>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14,696,230</w:t>
            </w:r>
          </w:p>
        </w:tc>
      </w:tr>
      <w:tr>
        <w:trPr>
          <w:trHeight w:val="27"/>
        </w:trPr>
        <w:tc>
          <w:tcPr>
            <w:tcW w:w="4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Toro Company Common Stock</w:t>
            </w:r>
          </w:p>
        </w:tc>
        <w:tc>
          <w:tcPr>
            <w:tcW w:w="44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453,664,183</w:t>
            </w:r>
          </w:p>
        </w:tc>
      </w:tr>
      <w:tr>
        <w:trPr>
          <w:trHeight w:val="237"/>
        </w:trPr>
        <w:tc>
          <w:tcPr>
            <w:tcW w:w="46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Master Trust investments at fair value and NAV</w:t>
            </w:r>
          </w:p>
        </w:tc>
        <w:tc>
          <w:tcPr>
            <w:tcW w:w="448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1,136,196,265</w:t>
            </w:r>
          </w:p>
        </w:tc>
      </w:tr>
      <w:tr>
        <w:trPr>
          <w:trHeight w:val="67"/>
        </w:trPr>
        <w:tc>
          <w:tcPr>
            <w:tcW w:w="4640" w:type="dxa"/>
            <w:vAlign w:val="bottom"/>
            <w:tcBorders>
              <w:bottom w:val="single" w:sz="8" w:color="auto"/>
            </w:tcBorders>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305"/>
        </w:trPr>
        <w:tc>
          <w:tcPr>
            <w:tcW w:w="4640" w:type="dxa"/>
            <w:vAlign w:val="bottom"/>
            <w:tcBorders>
              <w:bottom w:val="single" w:sz="8" w:color="auto"/>
            </w:tcBorders>
            <w:shd w:val="clear" w:color="auto" w:fill="CCEEFF"/>
          </w:tcPr>
          <w:p>
            <w:pPr>
              <w:spacing w:after="0"/>
              <w:rPr>
                <w:sz w:val="24"/>
                <w:szCs w:val="24"/>
                <w:color w:val="auto"/>
              </w:rPr>
            </w:pPr>
          </w:p>
        </w:tc>
        <w:tc>
          <w:tcPr>
            <w:tcW w:w="44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Plan interest in Master Trust</w:t>
            </w:r>
          </w:p>
        </w:tc>
        <w:tc>
          <w:tcPr>
            <w:tcW w:w="448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1,136,196,265</w:t>
            </w:r>
          </w:p>
        </w:tc>
      </w:tr>
      <w:tr>
        <w:trPr>
          <w:trHeight w:val="27"/>
        </w:trPr>
        <w:tc>
          <w:tcPr>
            <w:tcW w:w="46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669"/>
        </w:trPr>
        <w:tc>
          <w:tcPr>
            <w:tcW w:w="4640" w:type="dxa"/>
            <w:vAlign w:val="bottom"/>
          </w:tcPr>
          <w:p>
            <w:pPr>
              <w:spacing w:after="0"/>
              <w:rPr>
                <w:sz w:val="24"/>
                <w:szCs w:val="24"/>
                <w:color w:val="auto"/>
              </w:rPr>
            </w:pPr>
          </w:p>
        </w:tc>
        <w:tc>
          <w:tcPr>
            <w:tcW w:w="4480" w:type="dxa"/>
            <w:vAlign w:val="bottom"/>
          </w:tcPr>
          <w:p>
            <w:pPr>
              <w:jc w:val="right"/>
              <w:ind w:right="327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Net investment income for the Master Trust for the years ended December 31, 2018 and 2017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2660" w:type="dxa"/>
            <w:vAlign w:val="bottom"/>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4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appreciation in fair value of investments:</w:t>
            </w:r>
          </w:p>
        </w:tc>
        <w:tc>
          <w:tcPr>
            <w:tcW w:w="2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266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45,637,589</w:t>
            </w:r>
          </w:p>
        </w:tc>
      </w:tr>
      <w:tr>
        <w:trPr>
          <w:trHeight w:val="27"/>
        </w:trPr>
        <w:tc>
          <w:tcPr>
            <w:tcW w:w="6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collective trust funds</w:t>
            </w:r>
          </w:p>
        </w:tc>
        <w:tc>
          <w:tcPr>
            <w:tcW w:w="2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36,220,031</w:t>
            </w:r>
          </w:p>
        </w:tc>
      </w:tr>
      <w:tr>
        <w:trPr>
          <w:trHeight w:val="243"/>
        </w:trPr>
        <w:tc>
          <w:tcPr>
            <w:tcW w:w="6460" w:type="dxa"/>
            <w:vAlign w:val="bottom"/>
          </w:tcPr>
          <w:p>
            <w:pPr>
              <w:ind w:left="180"/>
              <w:spacing w:after="0"/>
              <w:rPr>
                <w:sz w:val="20"/>
                <w:szCs w:val="20"/>
                <w:color w:val="auto"/>
              </w:rPr>
            </w:pPr>
            <w:r>
              <w:rPr>
                <w:rFonts w:ascii="Arial" w:cs="Arial" w:eastAsia="Arial" w:hAnsi="Arial"/>
                <w:sz w:val="18"/>
                <w:szCs w:val="18"/>
                <w:color w:val="auto"/>
              </w:rPr>
              <w:t>Self-directed brokerage</w:t>
            </w:r>
          </w:p>
        </w:tc>
        <w:tc>
          <w:tcPr>
            <w:tcW w:w="2660" w:type="dxa"/>
            <w:vAlign w:val="bottom"/>
          </w:tcPr>
          <w:p>
            <w:pPr>
              <w:spacing w:after="0"/>
              <w:rPr>
                <w:sz w:val="21"/>
                <w:szCs w:val="21"/>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2,150,638</w:t>
            </w:r>
          </w:p>
        </w:tc>
      </w:tr>
      <w:tr>
        <w:trPr>
          <w:trHeight w:val="27"/>
        </w:trPr>
        <w:tc>
          <w:tcPr>
            <w:tcW w:w="6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Toro Company Common Stock</w:t>
            </w:r>
          </w:p>
        </w:tc>
        <w:tc>
          <w:tcPr>
            <w:tcW w:w="26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68,745,393</w:t>
            </w:r>
          </w:p>
        </w:tc>
      </w:tr>
      <w:tr>
        <w:trPr>
          <w:trHeight w:val="237"/>
        </w:trPr>
        <w:tc>
          <w:tcPr>
            <w:tcW w:w="6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realized and unrealized appreciation</w:t>
            </w:r>
          </w:p>
        </w:tc>
        <w:tc>
          <w:tcPr>
            <w:tcW w:w="26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152,753,651</w:t>
            </w:r>
          </w:p>
        </w:tc>
      </w:tr>
      <w:tr>
        <w:trPr>
          <w:trHeight w:val="27"/>
        </w:trPr>
        <w:tc>
          <w:tcPr>
            <w:tcW w:w="6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and interest</w:t>
            </w:r>
          </w:p>
        </w:tc>
        <w:tc>
          <w:tcPr>
            <w:tcW w:w="26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17,871,623</w:t>
            </w:r>
          </w:p>
        </w:tc>
      </w:tr>
      <w:tr>
        <w:trPr>
          <w:trHeight w:val="237"/>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Master Trust net investment income</w:t>
            </w:r>
          </w:p>
        </w:tc>
        <w:tc>
          <w:tcPr>
            <w:tcW w:w="266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170,625,274</w:t>
            </w:r>
          </w:p>
        </w:tc>
      </w:tr>
      <w:tr>
        <w:trPr>
          <w:trHeight w:val="27"/>
        </w:trPr>
        <w:tc>
          <w:tcPr>
            <w:tcW w:w="64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Administrator received a favorable determination letter dated November 1, 2017 from the Internal Revenue Service ("IRS") stating that the Plan constitutes a qualified plan under Section 401(a) of the IRC and that the trust created under the Plan is exempt from federal income tax under Section 501(a) of the Code. The Plan administrator believes that the Plan is designed and is currently being operated in compliance with the applicable requirements of the IRC.</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requires the Plan’s administrator to evaluate tax positions taken by the Plan and recognize a tax liability, or asset, if the Plan has taken an uncertain position that more likely than not would not be sustained upon examination by the IRS. The Plan’s administrator has concluded that as of December 31, 2018,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January 1, 2019, the plan administrator amended the Plan such that for Plan years beginning on or after January 1, 2019 (i) company matching contributions to participant salary reduction contributions shall be equal to 100% of the participant's salary reduction contributions not to exceed 4% of the participant's eligible compensation; (ii) the rate of participant salary reduction contributions will be increased by one percent during June of each calendar year, beginning in June of 2020 and not to exceed ten percent of the participant's compensation, for participant's covered by the Plan's automatic escalation provisions; and (iii) company matching contributions to participant salary reduction contributions and annual discretionary contributions, together with earnings attributable thereto, shall be fully vested upon completion of two years of vesting service. Discretionary company matching contributions to participant salary reduction contributions and annual discretionary contributions, together with earnings attributable thereto, for plan year's beginning prior to January 1, 2019 will continue to vest at a rate of 20% after one year of vesting service, with an additional 20% vesting each year of vesting service thereafter until the participant is 100% vested.</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evaluated all additional subsequent events through June 27, 2019, the date that the Financial Statements were available to be issued, and concluded that no subsequent events have occurred that would require recognition in the Financial Statements or disclosure in the Notes to the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080" w:type="dxa"/>
            <w:vAlign w:val="bottom"/>
          </w:tcPr>
          <w:p>
            <w:pPr>
              <w:jc w:val="center"/>
              <w:ind w:left="219"/>
              <w:spacing w:after="0"/>
              <w:rPr>
                <w:sz w:val="20"/>
                <w:szCs w:val="20"/>
                <w:color w:val="auto"/>
              </w:rPr>
            </w:pPr>
            <w:r>
              <w:rPr>
                <w:rFonts w:ascii="Arial" w:cs="Arial" w:eastAsia="Arial" w:hAnsi="Arial"/>
                <w:sz w:val="16"/>
                <w:szCs w:val="16"/>
                <w:b w:val="1"/>
                <w:bCs w:val="1"/>
                <w:color w:val="auto"/>
                <w:w w:val="93"/>
              </w:rPr>
              <w:t>Description of Investment, Including Maturity</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080" w:type="dxa"/>
            <w:vAlign w:val="bottom"/>
          </w:tcPr>
          <w:p>
            <w:pPr>
              <w:jc w:val="center"/>
              <w:ind w:left="199"/>
              <w:spacing w:after="0"/>
              <w:rPr>
                <w:sz w:val="20"/>
                <w:szCs w:val="20"/>
                <w:color w:val="auto"/>
              </w:rPr>
            </w:pPr>
            <w:r>
              <w:rPr>
                <w:rFonts w:ascii="Arial" w:cs="Arial" w:eastAsia="Arial" w:hAnsi="Arial"/>
                <w:sz w:val="16"/>
                <w:szCs w:val="16"/>
                <w:b w:val="1"/>
                <w:bCs w:val="1"/>
                <w:color w:val="auto"/>
                <w:w w:val="93"/>
              </w:rPr>
              <w:t>Date, Rate of Interest, Collateral, and Par or</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220" w:type="dxa"/>
            <w:vAlign w:val="bottom"/>
          </w:tcPr>
          <w:p>
            <w:pPr>
              <w:spacing w:after="0"/>
              <w:rPr>
                <w:sz w:val="18"/>
                <w:szCs w:val="18"/>
                <w:color w:val="auto"/>
              </w:rPr>
            </w:pPr>
          </w:p>
        </w:tc>
        <w:tc>
          <w:tcPr>
            <w:tcW w:w="4720" w:type="dxa"/>
            <w:vAlign w:val="bottom"/>
          </w:tcPr>
          <w:p>
            <w:pPr>
              <w:ind w:left="720"/>
              <w:spacing w:after="0"/>
              <w:rPr>
                <w:sz w:val="20"/>
                <w:szCs w:val="20"/>
                <w:color w:val="auto"/>
              </w:rPr>
            </w:pPr>
            <w:r>
              <w:rPr>
                <w:rFonts w:ascii="Arial" w:cs="Arial" w:eastAsia="Arial" w:hAnsi="Arial"/>
                <w:sz w:val="16"/>
                <w:szCs w:val="16"/>
                <w:b w:val="1"/>
                <w:bCs w:val="1"/>
                <w:color w:val="auto"/>
              </w:rPr>
              <w:t>Identity of Issue, Borrower, Lessor, or Similar Party</w:t>
            </w:r>
          </w:p>
        </w:tc>
        <w:tc>
          <w:tcPr>
            <w:tcW w:w="4080" w:type="dxa"/>
            <w:vAlign w:val="bottom"/>
          </w:tcPr>
          <w:p>
            <w:pPr>
              <w:jc w:val="center"/>
              <w:ind w:left="219"/>
              <w:spacing w:after="0"/>
              <w:rPr>
                <w:sz w:val="20"/>
                <w:szCs w:val="20"/>
                <w:color w:val="auto"/>
              </w:rPr>
            </w:pPr>
            <w:r>
              <w:rPr>
                <w:rFonts w:ascii="Arial" w:cs="Arial" w:eastAsia="Arial" w:hAnsi="Arial"/>
                <w:sz w:val="16"/>
                <w:szCs w:val="16"/>
                <w:b w:val="1"/>
                <w:bCs w:val="1"/>
                <w:color w:val="auto"/>
                <w:w w:val="96"/>
              </w:rPr>
              <w:t>Maturity Value</w:t>
            </w:r>
          </w:p>
        </w:tc>
        <w:tc>
          <w:tcPr>
            <w:tcW w:w="78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Cost</w:t>
            </w:r>
          </w:p>
        </w:tc>
        <w:tc>
          <w:tcPr>
            <w:tcW w:w="34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Current Value</w:t>
            </w:r>
          </w:p>
        </w:tc>
      </w:tr>
      <w:tr>
        <w:trPr>
          <w:trHeight w:val="33"/>
        </w:trPr>
        <w:tc>
          <w:tcPr>
            <w:tcW w:w="2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 Rowe Price International Discovery Fund I Class</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Mutual Fund</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10,471,905</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Vanguard Institution Index Fund</w:t>
            </w:r>
          </w:p>
        </w:tc>
        <w:tc>
          <w:tcPr>
            <w:tcW w:w="4080" w:type="dxa"/>
            <w:vAlign w:val="bottom"/>
          </w:tcPr>
          <w:p>
            <w:pPr>
              <w:ind w:left="380"/>
              <w:spacing w:after="0"/>
              <w:rPr>
                <w:sz w:val="20"/>
                <w:szCs w:val="20"/>
                <w:color w:val="auto"/>
              </w:rPr>
            </w:pPr>
            <w:r>
              <w:rPr>
                <w:rFonts w:ascii="Arial" w:cs="Arial" w:eastAsia="Arial" w:hAnsi="Arial"/>
                <w:sz w:val="16"/>
                <w:szCs w:val="16"/>
                <w:color w:val="auto"/>
              </w:rPr>
              <w:t>Mutual Fund</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157,163,497</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Mid-Cap Index Fund Institutional Shares</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Mutual Fund</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44,462,622</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Vanguard Small-Cap Index Fund Institutional Shares</w:t>
            </w:r>
          </w:p>
        </w:tc>
        <w:tc>
          <w:tcPr>
            <w:tcW w:w="4080" w:type="dxa"/>
            <w:vAlign w:val="bottom"/>
          </w:tcPr>
          <w:p>
            <w:pPr>
              <w:ind w:left="380"/>
              <w:spacing w:after="0"/>
              <w:rPr>
                <w:sz w:val="20"/>
                <w:szCs w:val="20"/>
                <w:color w:val="auto"/>
              </w:rPr>
            </w:pPr>
            <w:r>
              <w:rPr>
                <w:rFonts w:ascii="Arial" w:cs="Arial" w:eastAsia="Arial" w:hAnsi="Arial"/>
                <w:sz w:val="16"/>
                <w:szCs w:val="16"/>
                <w:color w:val="auto"/>
              </w:rPr>
              <w:t>Mutual Fund</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6,136,178</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Explorer Fund Admiral Shares</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Mutual Fund</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13,532,323</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Goldman Sachs Small Cap Value Fund Institutional Class</w:t>
            </w:r>
          </w:p>
        </w:tc>
        <w:tc>
          <w:tcPr>
            <w:tcW w:w="4080" w:type="dxa"/>
            <w:vAlign w:val="bottom"/>
          </w:tcPr>
          <w:p>
            <w:pPr>
              <w:ind w:left="380"/>
              <w:spacing w:after="0"/>
              <w:rPr>
                <w:sz w:val="20"/>
                <w:szCs w:val="20"/>
                <w:color w:val="auto"/>
              </w:rPr>
            </w:pPr>
            <w:r>
              <w:rPr>
                <w:rFonts w:ascii="Arial" w:cs="Arial" w:eastAsia="Arial" w:hAnsi="Arial"/>
                <w:sz w:val="16"/>
                <w:szCs w:val="16"/>
                <w:color w:val="auto"/>
              </w:rPr>
              <w:t>Mutual Fund</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23,586,892</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PIMCO International Bond Fund (Unhedged) Institutional Class</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Mutual Fund</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2,988,164</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American Funds EuroPacific Growth Fund® Class R-6</w:t>
            </w:r>
          </w:p>
        </w:tc>
        <w:tc>
          <w:tcPr>
            <w:tcW w:w="4080" w:type="dxa"/>
            <w:vAlign w:val="bottom"/>
          </w:tcPr>
          <w:p>
            <w:pPr>
              <w:ind w:left="380"/>
              <w:spacing w:after="0"/>
              <w:rPr>
                <w:sz w:val="20"/>
                <w:szCs w:val="20"/>
                <w:color w:val="auto"/>
              </w:rPr>
            </w:pPr>
            <w:r>
              <w:rPr>
                <w:rFonts w:ascii="Arial" w:cs="Arial" w:eastAsia="Arial" w:hAnsi="Arial"/>
                <w:sz w:val="16"/>
                <w:szCs w:val="16"/>
                <w:color w:val="auto"/>
              </w:rPr>
              <w:t>Mutual Fund</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24,484,200</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Wells Fargo Stable Return Fund</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70,183,649</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BTC U.S. Debt Index Fund T</w:t>
            </w:r>
          </w:p>
        </w:tc>
        <w:tc>
          <w:tcPr>
            <w:tcW w:w="4080" w:type="dxa"/>
            <w:vAlign w:val="bottom"/>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16,389,757</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Retirement Income Trust II</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4,970,009</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Vanguard Target 2015</w:t>
            </w:r>
          </w:p>
        </w:tc>
        <w:tc>
          <w:tcPr>
            <w:tcW w:w="4080" w:type="dxa"/>
            <w:vAlign w:val="bottom"/>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8,156,121</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2020</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29,021,759</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Vanguard Target 2025</w:t>
            </w:r>
          </w:p>
        </w:tc>
        <w:tc>
          <w:tcPr>
            <w:tcW w:w="4080" w:type="dxa"/>
            <w:vAlign w:val="bottom"/>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64,605,726</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2030</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40,056,941</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Vanguard Target 2035</w:t>
            </w:r>
          </w:p>
        </w:tc>
        <w:tc>
          <w:tcPr>
            <w:tcW w:w="4080" w:type="dxa"/>
            <w:vAlign w:val="bottom"/>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27,294,965</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2040</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20,540,664</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Vanguard Target 2045</w:t>
            </w:r>
          </w:p>
        </w:tc>
        <w:tc>
          <w:tcPr>
            <w:tcW w:w="4080" w:type="dxa"/>
            <w:vAlign w:val="bottom"/>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15,583,779</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2050</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10,095,068</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Vanguard Target 2055</w:t>
            </w:r>
          </w:p>
        </w:tc>
        <w:tc>
          <w:tcPr>
            <w:tcW w:w="4080" w:type="dxa"/>
            <w:vAlign w:val="bottom"/>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7,024,773</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Vanguard Target 2060</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1,479,212</w:t>
            </w:r>
          </w:p>
        </w:tc>
      </w:tr>
      <w:tr>
        <w:trPr>
          <w:trHeight w:val="224"/>
        </w:trPr>
        <w:tc>
          <w:tcPr>
            <w:tcW w:w="220" w:type="dxa"/>
            <w:vAlign w:val="bottom"/>
          </w:tcPr>
          <w:p>
            <w:pPr>
              <w:spacing w:after="0"/>
              <w:rPr>
                <w:sz w:val="19"/>
                <w:szCs w:val="19"/>
                <w:color w:val="auto"/>
              </w:rPr>
            </w:pPr>
          </w:p>
        </w:tc>
        <w:tc>
          <w:tcPr>
            <w:tcW w:w="4720" w:type="dxa"/>
            <w:vAlign w:val="bottom"/>
          </w:tcPr>
          <w:p>
            <w:pPr>
              <w:ind w:left="80"/>
              <w:spacing w:after="0"/>
              <w:rPr>
                <w:sz w:val="20"/>
                <w:szCs w:val="20"/>
                <w:color w:val="auto"/>
              </w:rPr>
            </w:pPr>
            <w:r>
              <w:rPr>
                <w:rFonts w:ascii="Arial" w:cs="Arial" w:eastAsia="Arial" w:hAnsi="Arial"/>
                <w:sz w:val="16"/>
                <w:szCs w:val="16"/>
                <w:color w:val="auto"/>
              </w:rPr>
              <w:t>Vanguard Target 2065</w:t>
            </w:r>
          </w:p>
        </w:tc>
        <w:tc>
          <w:tcPr>
            <w:tcW w:w="4080" w:type="dxa"/>
            <w:vAlign w:val="bottom"/>
          </w:tcPr>
          <w:p>
            <w:pPr>
              <w:ind w:left="380"/>
              <w:spacing w:after="0"/>
              <w:rPr>
                <w:sz w:val="20"/>
                <w:szCs w:val="20"/>
                <w:color w:val="auto"/>
              </w:rPr>
            </w:pPr>
            <w:r>
              <w:rPr>
                <w:rFonts w:ascii="Arial" w:cs="Arial" w:eastAsia="Arial" w:hAnsi="Arial"/>
                <w:sz w:val="16"/>
                <w:szCs w:val="16"/>
                <w:color w:val="auto"/>
              </w:rPr>
              <w:t>Common Collective Trust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84,580</w:t>
            </w:r>
          </w:p>
        </w:tc>
      </w:tr>
      <w:tr>
        <w:trPr>
          <w:trHeight w:val="47"/>
        </w:trPr>
        <w:tc>
          <w:tcPr>
            <w:tcW w:w="4940" w:type="dxa"/>
            <w:vAlign w:val="bottom"/>
            <w:gridSpan w:val="2"/>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Fidelity Treasury Only Money Market</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4,338,732</w:t>
            </w:r>
          </w:p>
        </w:tc>
      </w:tr>
      <w:tr>
        <w:trPr>
          <w:trHeight w:val="224"/>
        </w:trPr>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4720" w:type="dxa"/>
            <w:vAlign w:val="bottom"/>
          </w:tcPr>
          <w:p>
            <w:pPr>
              <w:ind w:left="80"/>
              <w:spacing w:after="0"/>
              <w:rPr>
                <w:sz w:val="20"/>
                <w:szCs w:val="20"/>
                <w:color w:val="auto"/>
              </w:rPr>
            </w:pPr>
            <w:r>
              <w:rPr>
                <w:rFonts w:ascii="Arial" w:cs="Arial" w:eastAsia="Arial" w:hAnsi="Arial"/>
                <w:sz w:val="16"/>
                <w:szCs w:val="16"/>
                <w:color w:val="auto"/>
              </w:rPr>
              <w:t>Fidelity Brokerage Link</w:t>
            </w:r>
          </w:p>
        </w:tc>
        <w:tc>
          <w:tcPr>
            <w:tcW w:w="4080" w:type="dxa"/>
            <w:vAlign w:val="bottom"/>
          </w:tcPr>
          <w:p>
            <w:pPr>
              <w:ind w:left="380"/>
              <w:spacing w:after="0"/>
              <w:rPr>
                <w:sz w:val="20"/>
                <w:szCs w:val="20"/>
                <w:color w:val="auto"/>
              </w:rPr>
            </w:pPr>
            <w:r>
              <w:rPr>
                <w:rFonts w:ascii="Arial" w:cs="Arial" w:eastAsia="Arial" w:hAnsi="Arial"/>
                <w:sz w:val="16"/>
                <w:szCs w:val="16"/>
                <w:color w:val="auto"/>
              </w:rPr>
              <w:t>Pooled Brokerage Account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12,312,222</w:t>
            </w:r>
          </w:p>
        </w:tc>
      </w:tr>
      <w:tr>
        <w:trPr>
          <w:trHeight w:val="47"/>
        </w:trPr>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The Toro Company</w:t>
            </w:r>
          </w:p>
        </w:tc>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Toro Company Common Stock</w:t>
            </w:r>
          </w:p>
        </w:tc>
        <w:tc>
          <w:tcPr>
            <w:tcW w:w="7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338,459,805</w:t>
            </w:r>
          </w:p>
        </w:tc>
      </w:tr>
      <w:tr>
        <w:trPr>
          <w:trHeight w:val="224"/>
        </w:trPr>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4720" w:type="dxa"/>
            <w:vAlign w:val="bottom"/>
          </w:tcPr>
          <w:p>
            <w:pPr>
              <w:ind w:left="80"/>
              <w:spacing w:after="0"/>
              <w:rPr>
                <w:sz w:val="20"/>
                <w:szCs w:val="20"/>
                <w:color w:val="auto"/>
              </w:rPr>
            </w:pPr>
            <w:r>
              <w:rPr>
                <w:rFonts w:ascii="Arial" w:cs="Arial" w:eastAsia="Arial" w:hAnsi="Arial"/>
                <w:sz w:val="16"/>
                <w:szCs w:val="16"/>
                <w:color w:val="auto"/>
              </w:rPr>
              <w:t>Participant Loan Fund</w:t>
            </w:r>
          </w:p>
        </w:tc>
        <w:tc>
          <w:tcPr>
            <w:tcW w:w="4080" w:type="dxa"/>
            <w:vAlign w:val="bottom"/>
          </w:tcPr>
          <w:p>
            <w:pPr>
              <w:ind w:left="380"/>
              <w:spacing w:after="0"/>
              <w:rPr>
                <w:sz w:val="20"/>
                <w:szCs w:val="20"/>
                <w:color w:val="auto"/>
              </w:rPr>
            </w:pPr>
            <w:r>
              <w:rPr>
                <w:rFonts w:ascii="Arial" w:cs="Arial" w:eastAsia="Arial" w:hAnsi="Arial"/>
                <w:sz w:val="16"/>
                <w:szCs w:val="16"/>
                <w:color w:val="auto"/>
              </w:rPr>
              <w:t>Notes receivable from participants***</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86,643</w:t>
            </w:r>
          </w:p>
        </w:tc>
      </w:tr>
      <w:tr>
        <w:trPr>
          <w:trHeight w:val="47"/>
        </w:trPr>
        <w:tc>
          <w:tcPr>
            <w:tcW w:w="4940" w:type="dxa"/>
            <w:vAlign w:val="bottom"/>
            <w:tcBorders>
              <w:bottom w:val="single" w:sz="8" w:color="auto"/>
            </w:tcBorders>
            <w:gridSpan w:val="2"/>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953,510,186</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4720" w:type="dxa"/>
            <w:vAlign w:val="bottom"/>
            <w:tcBorders>
              <w:top w:val="single" w:sz="8" w:color="auto"/>
              <w:bottom w:val="single" w:sz="8" w:color="auto"/>
            </w:tcBorders>
          </w:tcPr>
          <w:p>
            <w:pPr>
              <w:spacing w:after="0" w:line="20" w:lineRule="exact"/>
              <w:rPr>
                <w:sz w:val="1"/>
                <w:szCs w:val="1"/>
                <w:color w:val="auto"/>
              </w:rPr>
            </w:pPr>
          </w:p>
        </w:tc>
        <w:tc>
          <w:tcPr>
            <w:tcW w:w="4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80" w:hanging="210"/>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Party-in-interest as defined by ERISA.</w:t>
      </w:r>
    </w:p>
    <w:p>
      <w:pPr>
        <w:spacing w:after="0" w:line="55" w:lineRule="exact"/>
        <w:rPr>
          <w:sz w:val="20"/>
          <w:szCs w:val="20"/>
          <w:color w:val="auto"/>
        </w:rPr>
      </w:pPr>
    </w:p>
    <w:p>
      <w:pPr>
        <w:ind w:left="460" w:hanging="290"/>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Cost information is not required for participant-directed investments and therefore is not included.</w:t>
      </w:r>
    </w:p>
    <w:p>
      <w:pPr>
        <w:spacing w:after="0" w:line="55" w:lineRule="exact"/>
        <w:rPr>
          <w:rFonts w:ascii="Arial" w:cs="Arial" w:eastAsia="Arial" w:hAnsi="Arial"/>
          <w:sz w:val="14"/>
          <w:szCs w:val="14"/>
          <w:color w:val="auto"/>
        </w:rPr>
      </w:pPr>
    </w:p>
    <w:p>
      <w:pPr>
        <w:ind w:left="520" w:hanging="35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26 loans outstanding with 1-5 year terms and interest rates of 4.25% - 6.25%.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Toro Company Investment, Savings,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Employee Stock Ownership Plan</w:t>
      </w: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27, 2019</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Vice President, Treasurer and Chief Financial Officer of The Toro Company</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authorized officer and principal financial and accounting officer)</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Exhibit Number</w:t>
            </w:r>
          </w:p>
        </w:tc>
        <w:tc>
          <w:tcPr>
            <w:tcW w:w="90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r>
      <w:tr>
        <w:trPr>
          <w:trHeight w:val="196"/>
        </w:trPr>
        <w:tc>
          <w:tcPr>
            <w:tcW w:w="2440" w:type="dxa"/>
            <w:vAlign w:val="bottom"/>
            <w:tcBorders>
              <w:left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23.1</w:t>
            </w:r>
          </w:p>
        </w:tc>
        <w:tc>
          <w:tcPr>
            <w:tcW w:w="9000" w:type="dxa"/>
            <w:vAlign w:val="bottom"/>
            <w:tcBorders>
              <w:right w:val="single" w:sz="8" w:color="auto"/>
            </w:tcBorders>
            <w:gridSpan w:val="3"/>
          </w:tcPr>
          <w:p>
            <w:pPr>
              <w:ind w:left="20"/>
              <w:spacing w:after="0" w:line="196" w:lineRule="exact"/>
              <w:rPr>
                <w:sz w:val="20"/>
                <w:szCs w:val="20"/>
                <w:color w:val="auto"/>
              </w:rPr>
            </w:pPr>
            <w:r>
              <w:rPr>
                <w:rFonts w:ascii="Arial" w:cs="Arial" w:eastAsia="Arial" w:hAnsi="Arial"/>
                <w:sz w:val="18"/>
                <w:szCs w:val="18"/>
                <w:color w:val="0000FF"/>
              </w:rPr>
              <w:t>Consent of Independent Registered Public Accounting Firm.</w:t>
            </w:r>
          </w:p>
        </w:tc>
      </w:tr>
      <w:tr>
        <w:trPr>
          <w:trHeight w:val="48"/>
        </w:trPr>
        <w:tc>
          <w:tcPr>
            <w:tcW w:w="244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360" w:type="dxa"/>
            <w:vAlign w:val="bottom"/>
            <w:tcBorders>
              <w:top w:val="single" w:sz="8" w:color="0000FF"/>
              <w:bottom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r>
      <w:tr>
        <w:trPr>
          <w:trHeight w:val="453"/>
        </w:trPr>
        <w:tc>
          <w:tcPr>
            <w:tcW w:w="2440" w:type="dxa"/>
            <w:vAlign w:val="bottom"/>
          </w:tcPr>
          <w:p>
            <w:pPr>
              <w:spacing w:after="0"/>
              <w:rPr>
                <w:sz w:val="24"/>
                <w:szCs w:val="24"/>
                <w:color w:val="auto"/>
              </w:rPr>
            </w:pPr>
          </w:p>
        </w:tc>
        <w:tc>
          <w:tcPr>
            <w:tcW w:w="4380" w:type="dxa"/>
            <w:vAlign w:val="bottom"/>
            <w:gridSpan w:val="2"/>
          </w:tcPr>
          <w:p>
            <w:pPr>
              <w:jc w:val="right"/>
              <w:ind w:right="1020"/>
              <w:spacing w:after="0"/>
              <w:rPr>
                <w:sz w:val="20"/>
                <w:szCs w:val="20"/>
                <w:color w:val="auto"/>
              </w:rPr>
            </w:pPr>
            <w:r>
              <w:rPr>
                <w:rFonts w:ascii="Arial" w:cs="Arial" w:eastAsia="Arial" w:hAnsi="Arial"/>
                <w:sz w:val="18"/>
                <w:szCs w:val="18"/>
                <w:color w:val="auto"/>
              </w:rPr>
              <w:t>12</w:t>
            </w:r>
          </w:p>
        </w:tc>
        <w:tc>
          <w:tcPr>
            <w:tcW w:w="4620" w:type="dxa"/>
            <w:vAlign w:val="bottom"/>
          </w:tcPr>
          <w:p>
            <w:pPr>
              <w:spacing w:after="0"/>
              <w:rPr>
                <w:sz w:val="24"/>
                <w:szCs w:val="24"/>
                <w:color w:val="auto"/>
              </w:rPr>
            </w:pPr>
          </w:p>
        </w:tc>
      </w:tr>
    </w:tbl>
    <w:p>
      <w:pPr>
        <w:sectPr>
          <w:pgSz w:w="11900" w:h="16838" w:orient="portrait"/>
          <w:cols w:equalWidth="0" w:num="1">
            <w:col w:w="11440"/>
          </w:cols>
          <w:pgMar w:left="240" w:top="1229" w:right="2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Management Investment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 and Employee Stock Ownership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(Nos. 033-59563, 333-11860, 333-100004, 333-119504, and 333-215251) on Form S-8 of The Toro Company of our report dated June 27, 2019, with respect to the statements of net assets available for benefits of The Toro Company Investment, Savings, and Employee Stock Ownership Plan as of December 31, 2018 and 2017, the related statements of changes in net assets available for benefits for the years then ended, the related notes, and the supplemental schedule of Schedule H, line 4i - schedule of assets (held at end of year) as of December 31, 2018, which report appears in the December 31, 2018 annual report on Form 11-K of The Toro Company Investment, Savings, and Employee Stock Ownership Plan.</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2019-12-01T09:32:23Z</dcterms:created>
  <dcterms:modified xsi:type="dcterms:W3CDTF">2019-12-01T09:32:23Z</dcterms:modified>
</cp:coreProperties>
</file>