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641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641794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60" w:type="dxa"/>
            <w:vAlign w:val="bottom"/>
            <w:gridSpan w:val="6"/>
          </w:tcPr>
          <w:p>
            <w:pPr>
              <w:ind w:left="60"/>
              <w:spacing w:after="0"/>
              <w:rPr>
                <w:sz w:val="20"/>
                <w:szCs w:val="20"/>
                <w:color w:val="auto"/>
              </w:rPr>
            </w:pPr>
            <w:r>
              <w:rPr>
                <w:rFonts w:ascii="Arial" w:cs="Arial" w:eastAsia="Arial" w:hAnsi="Arial"/>
                <w:sz w:val="13"/>
                <w:szCs w:val="13"/>
                <w:color w:val="auto"/>
                <w:w w:val="97"/>
              </w:rPr>
              <w:t>5. Relationship of Reporting Person(s) to Issuer</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3"/>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MOELLER PETER D</w:t>
              </w:r>
            </w:hyperlink>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5"/>
          </w:tcPr>
          <w:p>
            <w:pPr>
              <w:spacing w:after="0" w:line="150"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TORO CO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TTC</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tcBorders>
              <w:bottom w:val="single" w:sz="8" w:color="0000EE"/>
            </w:tcBorders>
            <w:gridSpan w:val="3"/>
            <w:vMerge w:val="continue"/>
          </w:tcPr>
          <w:p>
            <w:pPr>
              <w:spacing w:after="0"/>
              <w:rPr>
                <w:sz w:val="4"/>
                <w:szCs w:val="4"/>
                <w:color w:val="auto"/>
              </w:rPr>
            </w:pPr>
          </w:p>
        </w:tc>
        <w:tc>
          <w:tcPr>
            <w:tcW w:w="600" w:type="dxa"/>
            <w:vAlign w:val="bottom"/>
            <w:vMerge w:val="restart"/>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gridSpan w:val="3"/>
          </w:tcPr>
          <w:p>
            <w:pPr>
              <w:spacing w:after="0"/>
              <w:rPr>
                <w:sz w:val="3"/>
                <w:szCs w:val="3"/>
                <w:color w:val="auto"/>
              </w:rPr>
            </w:pPr>
          </w:p>
        </w:tc>
        <w:tc>
          <w:tcPr>
            <w:tcW w:w="6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gridSpan w:val="6"/>
            <w:vMerge w:val="restart"/>
          </w:tcPr>
          <w:p>
            <w:pPr>
              <w:spacing w:after="0"/>
              <w:rPr>
                <w:sz w:val="20"/>
                <w:szCs w:val="20"/>
                <w:color w:val="auto"/>
              </w:rPr>
            </w:pPr>
            <w:r>
              <w:rPr>
                <w:rFonts w:ascii="Arial" w:cs="Arial" w:eastAsia="Arial" w:hAnsi="Arial"/>
                <w:sz w:val="13"/>
                <w:szCs w:val="13"/>
                <w:color w:val="auto"/>
                <w:w w:val="96"/>
              </w:rPr>
              <w:t>3. Date of Earliest Transaction (Month/Day/Year)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80"/>
              <w:spacing w:after="0" w:line="128" w:lineRule="exact"/>
              <w:rPr>
                <w:sz w:val="20"/>
                <w:szCs w:val="20"/>
                <w:color w:val="auto"/>
              </w:rPr>
            </w:pPr>
            <w:r>
              <w:rPr>
                <w:rFonts w:ascii="Arial" w:cs="Arial" w:eastAsia="Arial" w:hAnsi="Arial"/>
                <w:sz w:val="13"/>
                <w:szCs w:val="13"/>
                <w:color w:val="auto"/>
              </w:rPr>
              <w:t>below)</w:t>
            </w:r>
          </w:p>
        </w:tc>
        <w:tc>
          <w:tcPr>
            <w:tcW w:w="780" w:type="dxa"/>
            <w:vAlign w:val="bottom"/>
          </w:tcPr>
          <w:p>
            <w:pPr>
              <w:spacing w:after="0"/>
              <w:rPr>
                <w:sz w:val="11"/>
                <w:szCs w:val="11"/>
                <w:color w:val="auto"/>
              </w:rPr>
            </w:pPr>
          </w:p>
        </w:tc>
        <w:tc>
          <w:tcPr>
            <w:tcW w:w="840" w:type="dxa"/>
            <w:vAlign w:val="bottom"/>
            <w:gridSpan w:val="2"/>
          </w:tcPr>
          <w:p>
            <w:pPr>
              <w:ind w:left="240"/>
              <w:spacing w:after="0" w:line="128" w:lineRule="exact"/>
              <w:rPr>
                <w:sz w:val="20"/>
                <w:szCs w:val="20"/>
                <w:color w:val="auto"/>
              </w:rPr>
            </w:pPr>
            <w:r>
              <w:rPr>
                <w:rFonts w:ascii="Arial" w:cs="Arial" w:eastAsia="Arial" w:hAnsi="Arial"/>
                <w:sz w:val="13"/>
                <w:szCs w:val="13"/>
                <w:color w:val="auto"/>
              </w:rPr>
              <w:t>below)</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4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0000FF"/>
              </w:rPr>
              <w:t>Group VP, Undg, Spec Con &amp; Inl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w w:val="99"/>
              </w:rPr>
              <w:t>8111 LYNDALE AVENUE SOUTH</w:t>
            </w:r>
          </w:p>
        </w:tc>
        <w:tc>
          <w:tcPr>
            <w:tcW w:w="1020" w:type="dxa"/>
            <w:vAlign w:val="bottom"/>
          </w:tcPr>
          <w:p>
            <w:pPr>
              <w:spacing w:after="0"/>
              <w:rPr>
                <w:sz w:val="18"/>
                <w:szCs w:val="18"/>
                <w:color w:val="auto"/>
              </w:rPr>
            </w:pPr>
          </w:p>
        </w:tc>
        <w:tc>
          <w:tcPr>
            <w:tcW w:w="12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03/02/2026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540" w:type="dxa"/>
            <w:vAlign w:val="bottom"/>
            <w:tcBorders>
              <w:bottom w:val="single" w:sz="8" w:color="2C2C2C"/>
            </w:tcBorders>
            <w:gridSpan w:val="2"/>
          </w:tcPr>
          <w:p>
            <w:pPr>
              <w:spacing w:after="0"/>
              <w:rPr>
                <w:sz w:val="16"/>
                <w:szCs w:val="16"/>
                <w:color w:val="auto"/>
              </w:rPr>
            </w:pPr>
          </w:p>
        </w:tc>
        <w:tc>
          <w:tcPr>
            <w:tcW w:w="1940" w:type="dxa"/>
            <w:vAlign w:val="bottom"/>
            <w:tcBorders>
              <w:bottom w:val="single" w:sz="8" w:color="2C2C2C"/>
            </w:tcBorders>
            <w:gridSpan w:val="4"/>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gridSpan w:val="2"/>
          </w:tcPr>
          <w:p>
            <w:pPr>
              <w:spacing w:after="0"/>
              <w:rPr>
                <w:sz w:val="16"/>
                <w:szCs w:val="16"/>
                <w:color w:val="auto"/>
              </w:rPr>
            </w:pPr>
          </w:p>
        </w:tc>
        <w:tc>
          <w:tcPr>
            <w:tcW w:w="2880" w:type="dxa"/>
            <w:vAlign w:val="bottom"/>
            <w:tcBorders>
              <w:bottom w:val="single" w:sz="8" w:color="2C2C2C"/>
            </w:tcBorders>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5"/>
                <w:szCs w:val="15"/>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BLOOMINGTON MN</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55420</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4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880" w:type="dxa"/>
            <w:vAlign w:val="bottom"/>
            <w:tcBorders>
              <w:top w:val="single" w:sz="8" w:color="2C2C2C"/>
            </w:tcBorders>
            <w:gridSpan w:val="17"/>
          </w:tcPr>
          <w:p>
            <w:pPr>
              <w:jc w:val="right"/>
              <w:ind w:right="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jc w:val="center"/>
              <w:ind w:right="137"/>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60" w:type="dxa"/>
            <w:vAlign w:val="bottom"/>
            <w:gridSpan w:val="5"/>
          </w:tcPr>
          <w:p>
            <w:pPr>
              <w:jc w:val="center"/>
              <w:ind w:left="614"/>
              <w:spacing w:after="0" w:line="125"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w w:val="95"/>
              </w:rPr>
              <w:t>(A) or</w:t>
            </w: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94"/>
              <w:spacing w:after="0"/>
              <w:rPr>
                <w:sz w:val="20"/>
                <w:szCs w:val="20"/>
                <w:color w:val="auto"/>
              </w:rPr>
            </w:pPr>
            <w:r>
              <w:rPr>
                <w:rFonts w:ascii="Times New Roman" w:cs="Times New Roman" w:eastAsia="Times New Roman" w:hAnsi="Times New Roman"/>
                <w:sz w:val="16"/>
                <w:szCs w:val="16"/>
                <w:color w:val="0000FF"/>
              </w:rPr>
              <w:t>03/02/2026</w:t>
            </w: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w w:val="86"/>
              </w:rPr>
              <w:t>M</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950.862</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100.29</w:t>
            </w:r>
          </w:p>
        </w:tc>
        <w:tc>
          <w:tcPr>
            <w:tcW w:w="1520" w:type="dxa"/>
            <w:vAlign w:val="bottom"/>
            <w:tcBorders>
              <w:bottom w:val="single" w:sz="8" w:color="2C2C2C"/>
            </w:tcBorders>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4"/>
              </w:rPr>
              <w:t>956.586</w:t>
            </w:r>
            <w:r>
              <w:rPr>
                <w:rFonts w:ascii="Times New Roman" w:cs="Times New Roman" w:eastAsia="Times New Roman" w:hAnsi="Times New Roman"/>
                <w:sz w:val="20"/>
                <w:szCs w:val="20"/>
                <w:color w:val="008000"/>
                <w:w w:val="94"/>
                <w:vertAlign w:val="superscript"/>
              </w:rPr>
              <w:t>(1)</w:t>
            </w: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60" w:type="dxa"/>
            <w:vAlign w:val="bottom"/>
            <w:gridSpan w:val="5"/>
          </w:tcPr>
          <w:p>
            <w:pPr>
              <w:jc w:val="center"/>
              <w:ind w:left="594"/>
              <w:spacing w:after="0"/>
              <w:rPr>
                <w:sz w:val="20"/>
                <w:szCs w:val="20"/>
                <w:color w:val="auto"/>
              </w:rPr>
            </w:pPr>
            <w:r>
              <w:rPr>
                <w:rFonts w:ascii="Times New Roman" w:cs="Times New Roman" w:eastAsia="Times New Roman" w:hAnsi="Times New Roman"/>
                <w:sz w:val="16"/>
                <w:szCs w:val="16"/>
                <w:color w:val="0000FF"/>
              </w:rPr>
              <w:t>03/02/2026</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291</w:t>
            </w:r>
          </w:p>
        </w:tc>
        <w:tc>
          <w:tcPr>
            <w:tcW w:w="12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gridSpan w:val="2"/>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100.29</w:t>
            </w:r>
          </w:p>
        </w:tc>
        <w:tc>
          <w:tcPr>
            <w:tcW w:w="1520" w:type="dxa"/>
            <w:vAlign w:val="bottom"/>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9"/>
              </w:rPr>
              <w:t>665.586</w:t>
            </w: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Moeller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tcPr>
          <w:p>
            <w:pPr>
              <w:jc w:val="center"/>
              <w:ind w:right="342"/>
              <w:spacing w:after="0" w:line="200" w:lineRule="exact"/>
              <w:rPr>
                <w:sz w:val="20"/>
                <w:szCs w:val="20"/>
                <w:color w:val="auto"/>
              </w:rPr>
            </w:pPr>
            <w:r>
              <w:rPr>
                <w:rFonts w:ascii="Times New Roman" w:cs="Times New Roman" w:eastAsia="Times New Roman" w:hAnsi="Times New Roman"/>
                <w:sz w:val="16"/>
                <w:szCs w:val="16"/>
                <w:color w:val="0000FF"/>
                <w:w w:val="95"/>
              </w:rPr>
              <w:t>6,234.969</w:t>
            </w:r>
            <w:r>
              <w:rPr>
                <w:rFonts w:ascii="Times New Roman" w:cs="Times New Roman" w:eastAsia="Times New Roman" w:hAnsi="Times New Roman"/>
                <w:sz w:val="20"/>
                <w:szCs w:val="20"/>
                <w:color w:val="008000"/>
                <w:w w:val="95"/>
                <w:vertAlign w:val="superscript"/>
              </w:rPr>
              <w:t>(2)</w:t>
            </w:r>
          </w:p>
        </w:tc>
        <w:tc>
          <w:tcPr>
            <w:tcW w:w="540" w:type="dxa"/>
            <w:vAlign w:val="bottom"/>
          </w:tcPr>
          <w:p>
            <w:pPr>
              <w:jc w:val="center"/>
              <w:ind w:right="33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The Toro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vMerge w:val="restart"/>
          </w:tcPr>
          <w:p>
            <w:pPr>
              <w:jc w:val="center"/>
              <w:ind w:right="342"/>
              <w:spacing w:after="0"/>
              <w:rPr>
                <w:sz w:val="20"/>
                <w:szCs w:val="20"/>
                <w:color w:val="auto"/>
              </w:rPr>
            </w:pPr>
            <w:r>
              <w:rPr>
                <w:rFonts w:ascii="Times New Roman" w:cs="Times New Roman" w:eastAsia="Times New Roman" w:hAnsi="Times New Roman"/>
                <w:sz w:val="16"/>
                <w:szCs w:val="16"/>
                <w:color w:val="0000FF"/>
                <w:w w:val="95"/>
              </w:rPr>
              <w:t>4,194.168</w:t>
            </w:r>
            <w:r>
              <w:rPr>
                <w:rFonts w:ascii="Times New Roman" w:cs="Times New Roman" w:eastAsia="Times New Roman" w:hAnsi="Times New Roman"/>
                <w:sz w:val="20"/>
                <w:szCs w:val="20"/>
                <w:color w:val="008000"/>
                <w:w w:val="95"/>
                <w:vertAlign w:val="superscript"/>
              </w:rPr>
              <w:t>(3)</w:t>
            </w: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right="342"/>
              <w:spacing w:after="0"/>
              <w:rPr>
                <w:sz w:val="20"/>
                <w:szCs w:val="20"/>
                <w:color w:val="auto"/>
              </w:rPr>
            </w:pPr>
            <w:r>
              <w:rPr>
                <w:rFonts w:ascii="Times New Roman" w:cs="Times New Roman" w:eastAsia="Times New Roman" w:hAnsi="Times New Roman"/>
                <w:sz w:val="16"/>
                <w:szCs w:val="16"/>
                <w:color w:val="0000FF"/>
                <w:w w:val="95"/>
              </w:rPr>
              <w:t>3,174.191</w:t>
            </w:r>
            <w:r>
              <w:rPr>
                <w:rFonts w:ascii="Times New Roman" w:cs="Times New Roman" w:eastAsia="Times New Roman" w:hAnsi="Times New Roman"/>
                <w:sz w:val="20"/>
                <w:szCs w:val="20"/>
                <w:color w:val="008000"/>
                <w:w w:val="95"/>
                <w:vertAlign w:val="superscript"/>
              </w:rPr>
              <w:t>(4)</w:t>
            </w: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6"/>
          </w:tcPr>
          <w:p>
            <w:pPr>
              <w:jc w:val="center"/>
              <w:ind w:righ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40" w:type="dxa"/>
            <w:vAlign w:val="bottom"/>
            <w:gridSpan w:val="14"/>
          </w:tcPr>
          <w:p>
            <w:pPr>
              <w:jc w:val="center"/>
              <w:ind w:left="4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6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3"/>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0"/>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950.862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80" w:type="dxa"/>
            <w:vAlign w:val="bottom"/>
            <w:gridSpan w:val="2"/>
            <w:vMerge w:val="restart"/>
          </w:tcPr>
          <w:p>
            <w:pPr>
              <w:jc w:val="right"/>
              <w:ind w:right="199"/>
              <w:spacing w:after="0" w:line="138" w:lineRule="exact"/>
              <w:rPr>
                <w:sz w:val="20"/>
                <w:szCs w:val="20"/>
                <w:color w:val="auto"/>
              </w:rPr>
            </w:pPr>
            <w:r>
              <w:rPr>
                <w:rFonts w:ascii="Times New Roman" w:cs="Times New Roman" w:eastAsia="Times New Roman" w:hAnsi="Times New Roman"/>
                <w:sz w:val="13"/>
                <w:szCs w:val="13"/>
                <w:color w:val="0000FF"/>
              </w:rPr>
              <w:t>03/02/2026</w:t>
            </w:r>
          </w:p>
        </w:tc>
        <w:tc>
          <w:tcPr>
            <w:tcW w:w="1020" w:type="dxa"/>
            <w:vAlign w:val="bottom"/>
          </w:tcPr>
          <w:p>
            <w:pPr>
              <w:spacing w:after="0"/>
              <w:rPr>
                <w:sz w:val="5"/>
                <w:szCs w:val="5"/>
                <w:color w:val="auto"/>
              </w:rPr>
            </w:pPr>
          </w:p>
        </w:tc>
        <w:tc>
          <w:tcPr>
            <w:tcW w:w="740" w:type="dxa"/>
            <w:vAlign w:val="bottom"/>
            <w:gridSpan w:val="4"/>
            <w:vMerge w:val="restart"/>
          </w:tcPr>
          <w:p>
            <w:pPr>
              <w:jc w:val="center"/>
              <w:ind w:right="272"/>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gridSpan w:val="2"/>
            <w:vMerge w:val="restart"/>
          </w:tcPr>
          <w:p>
            <w:pPr>
              <w:ind w:left="400"/>
              <w:spacing w:after="0" w:line="138" w:lineRule="exact"/>
              <w:rPr>
                <w:sz w:val="20"/>
                <w:szCs w:val="20"/>
                <w:color w:val="auto"/>
              </w:rPr>
            </w:pPr>
            <w:r>
              <w:rPr>
                <w:rFonts w:ascii="Times New Roman" w:cs="Times New Roman" w:eastAsia="Times New Roman" w:hAnsi="Times New Roman"/>
                <w:sz w:val="13"/>
                <w:szCs w:val="13"/>
                <w:color w:val="0000FF"/>
              </w:rPr>
              <w:t>950.862</w:t>
            </w: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540" w:type="dxa"/>
            <w:vAlign w:val="bottom"/>
            <w:vMerge w:val="restart"/>
          </w:tcPr>
          <w:p>
            <w:pPr>
              <w:ind w:left="38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20,722.227</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5"/>
              </w:rPr>
              <w:t>20,722.227</w:t>
            </w:r>
          </w:p>
        </w:tc>
        <w:tc>
          <w:tcPr>
            <w:tcW w:w="54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154"/>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2,634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2,634</w:t>
            </w:r>
          </w:p>
        </w:tc>
        <w:tc>
          <w:tcPr>
            <w:tcW w:w="540" w:type="dxa"/>
            <w:vAlign w:val="bottom"/>
            <w:vMerge w:val="restart"/>
          </w:tcPr>
          <w:p>
            <w:pPr>
              <w:ind w:left="38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-2315210</wp:posOffset>
            </wp:positionV>
            <wp:extent cx="28575" cy="2320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202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2.651 shares of common stock acquired by the reporting person since the date of his last report under a dividend reinvestment feature of the account in which the shares are held.</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24.662 shares of common stock acquired by the reporting person since the date of his last report under a dividend reinvestment feature of the account in which the shares are held.</w:t>
      </w:r>
    </w:p>
    <w:p>
      <w:pPr>
        <w:spacing w:after="0" w:line="38" w:lineRule="exact"/>
        <w:rPr>
          <w:rFonts w:ascii="Times New Roman" w:cs="Times New Roman" w:eastAsia="Times New Roman" w:hAnsi="Times New Roman"/>
          <w:sz w:val="13"/>
          <w:szCs w:val="13"/>
          <w:color w:val="008000"/>
        </w:rPr>
      </w:pPr>
    </w:p>
    <w:p>
      <w:pPr>
        <w:ind w:left="40" w:right="7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18.339 net shares acquired by the reporting person since the date of his last report under the dividend reinvestment feature of The Toro Company Retirement Plan less quarterly non-discretionary administrative fees.</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12.051 performance share units acquired by the reporting person since the date of his last report under the dividend reinvestment feature of The Toro Company Deferred Compensation Plan for Officers.</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full on October 10, 2028, which is the third anniversary of the date of grant.</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December 22, 2025 grant date.</w:t>
      </w:r>
    </w:p>
    <w:p>
      <w:pPr>
        <w:sectPr>
          <w:pgSz w:w="11900" w:h="16838" w:orient="portrait"/>
          <w:cols w:equalWidth="0" w:num="1">
            <w:col w:w="11080"/>
          </w:cols>
          <w:pgMar w:left="460" w:top="214" w:right="359" w:bottom="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Joanna M. Totsky,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wp:posOffset>
            </wp:positionV>
            <wp:extent cx="1304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292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40" w:space="160"/>
            <w:col w:w="2280"/>
          </w:cols>
          <w:pgMar w:left="460" w:top="214"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2026-03-04T06:40:31Z</dcterms:created>
  <dcterms:modified xsi:type="dcterms:W3CDTF">2026-03-04T06:40:31Z</dcterms:modified>
</cp:coreProperties>
</file>