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034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0345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HOFFMAN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03/23/2012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6"/>
        <w:spacing w:after="0"/>
        <w:rPr>
          <w:sz w:val="20"/>
          <w:szCs w:val="20"/>
          <w:color w:val="auto"/>
        </w:rPr>
      </w:pPr>
      <w:r>
        <w:rPr>
          <w:rFonts w:ascii="Arial" w:cs="Arial" w:eastAsia="Arial" w:hAnsi="Arial"/>
          <w:sz w:val="17"/>
          <w:szCs w:val="17"/>
          <w:color w:val="0000FF"/>
        </w:rPr>
        <w:t>Chmn., CEO &amp; Pres.</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58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6"/>
            <w:vMerge w:val="restart"/>
          </w:tcPr>
          <w:p>
            <w:pPr>
              <w:ind w:left="5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580" w:type="dxa"/>
            <w:vAlign w:val="bottom"/>
            <w:gridSpan w:val="5"/>
            <w:vMerge w:val="continue"/>
          </w:tcPr>
          <w:p>
            <w:pPr>
              <w:spacing w:after="0"/>
              <w:rPr>
                <w:sz w:val="11"/>
                <w:szCs w:val="11"/>
                <w:color w:val="auto"/>
              </w:rPr>
            </w:pPr>
          </w:p>
        </w:tc>
        <w:tc>
          <w:tcPr>
            <w:tcW w:w="3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980" w:type="dxa"/>
            <w:vAlign w:val="bottom"/>
            <w:gridSpan w:val="3"/>
          </w:tcPr>
          <w:p>
            <w:pPr>
              <w:ind w:left="560"/>
              <w:spacing w:after="0"/>
              <w:rPr>
                <w:sz w:val="20"/>
                <w:szCs w:val="20"/>
                <w:color w:val="auto"/>
              </w:rPr>
            </w:pPr>
            <w:r>
              <w:rPr>
                <w:rFonts w:ascii="Arial" w:cs="Arial" w:eastAsia="Arial" w:hAnsi="Arial"/>
                <w:sz w:val="13"/>
                <w:szCs w:val="13"/>
                <w:color w:val="auto"/>
              </w:rPr>
              <w:t>Line)</w:t>
            </w: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820" w:type="dxa"/>
            <w:vAlign w:val="bottom"/>
          </w:tcPr>
          <w:p>
            <w:pPr>
              <w:jc w:val="right"/>
              <w:ind w:right="303"/>
              <w:spacing w:after="0"/>
              <w:rPr>
                <w:sz w:val="20"/>
                <w:szCs w:val="20"/>
                <w:color w:val="auto"/>
              </w:rPr>
            </w:pPr>
            <w:r>
              <w:rPr>
                <w:rFonts w:ascii="Arial" w:cs="Arial" w:eastAsia="Arial" w:hAnsi="Arial"/>
                <w:sz w:val="17"/>
                <w:szCs w:val="17"/>
                <w:color w:val="0000FF"/>
              </w:rPr>
              <w:t>55420-1196</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180" w:type="dxa"/>
            <w:vAlign w:val="bottom"/>
            <w:gridSpan w:val="5"/>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140" w:type="dxa"/>
            <w:vAlign w:val="bottom"/>
            <w:gridSpan w:val="4"/>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1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20" w:type="dxa"/>
            <w:vAlign w:val="bottom"/>
            <w:vMerge w:val="restart"/>
          </w:tcPr>
          <w:p>
            <w:pPr>
              <w:ind w:left="120"/>
              <w:spacing w:after="0"/>
              <w:rPr>
                <w:sz w:val="20"/>
                <w:szCs w:val="20"/>
                <w:color w:val="auto"/>
              </w:rPr>
            </w:pPr>
            <w:r>
              <w:rPr>
                <w:rFonts w:ascii="Arial" w:cs="Arial" w:eastAsia="Arial" w:hAnsi="Arial"/>
                <w:sz w:val="13"/>
                <w:szCs w:val="13"/>
                <w:color w:val="auto"/>
              </w:rPr>
              <w:t>(State)</w:t>
            </w:r>
          </w:p>
        </w:tc>
        <w:tc>
          <w:tcPr>
            <w:tcW w:w="2140" w:type="dxa"/>
            <w:vAlign w:val="bottom"/>
            <w:gridSpan w:val="2"/>
            <w:vMerge w:val="restart"/>
          </w:tcPr>
          <w:p>
            <w:pPr>
              <w:ind w:left="58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14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4360" w:type="dxa"/>
            <w:vAlign w:val="bottom"/>
            <w:tcBorders>
              <w:bottom w:val="single" w:sz="8" w:color="2C2C2C"/>
            </w:tcBorders>
            <w:gridSpan w:val="7"/>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9"/>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1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40" w:type="dxa"/>
            <w:vAlign w:val="bottom"/>
            <w:gridSpan w:val="2"/>
          </w:tcPr>
          <w:p>
            <w:pPr>
              <w:ind w:left="10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40" w:type="dxa"/>
            <w:vAlign w:val="bottom"/>
            <w:gridSpan w:val="2"/>
          </w:tcPr>
          <w:p>
            <w:pPr>
              <w:ind w:left="108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2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40" w:type="dxa"/>
            <w:vAlign w:val="bottom"/>
            <w:gridSpan w:val="2"/>
          </w:tcPr>
          <w:p>
            <w:pPr>
              <w:jc w:val="center"/>
              <w:ind w:left="943"/>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gridSpan w:val="2"/>
          </w:tcPr>
          <w:p>
            <w:pPr>
              <w:jc w:val="center"/>
              <w:ind w:left="943"/>
              <w:spacing w:after="0"/>
              <w:rPr>
                <w:sz w:val="20"/>
                <w:szCs w:val="20"/>
                <w:color w:val="auto"/>
              </w:rPr>
            </w:pPr>
            <w:r>
              <w:rPr>
                <w:rFonts w:ascii="Arial" w:cs="Arial" w:eastAsia="Arial" w:hAnsi="Arial"/>
                <w:sz w:val="17"/>
                <w:szCs w:val="17"/>
                <w:color w:val="0000FF"/>
                <w:w w:val="93"/>
              </w:rPr>
              <w:t>03/23/2012</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20,000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16.1375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257,559.862</w:t>
            </w:r>
            <w:r>
              <w:rPr>
                <w:rFonts w:ascii="Arial" w:cs="Arial" w:eastAsia="Arial" w:hAnsi="Arial"/>
                <w:sz w:val="22"/>
                <w:szCs w:val="22"/>
                <w:color w:val="008000"/>
                <w:w w:val="88"/>
                <w:vertAlign w:val="superscript"/>
              </w:rPr>
              <w:t>(1)</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gridSpan w:val="2"/>
          </w:tcPr>
          <w:p>
            <w:pPr>
              <w:jc w:val="center"/>
              <w:ind w:left="943"/>
              <w:spacing w:after="0"/>
              <w:rPr>
                <w:sz w:val="20"/>
                <w:szCs w:val="20"/>
                <w:color w:val="auto"/>
              </w:rPr>
            </w:pPr>
            <w:r>
              <w:rPr>
                <w:rFonts w:ascii="Arial" w:cs="Arial" w:eastAsia="Arial" w:hAnsi="Arial"/>
                <w:sz w:val="17"/>
                <w:szCs w:val="17"/>
                <w:color w:val="0000FF"/>
                <w:w w:val="93"/>
              </w:rPr>
              <w:t>03/23/2012</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20,000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70.12</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0"/>
              </w:rPr>
              <w:t>237,559.862</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2140" w:type="dxa"/>
            <w:vAlign w:val="bottom"/>
            <w:gridSpan w:val="2"/>
          </w:tcPr>
          <w:p>
            <w:pPr>
              <w:jc w:val="center"/>
              <w:ind w:left="943"/>
              <w:spacing w:after="0"/>
              <w:rPr>
                <w:sz w:val="20"/>
                <w:szCs w:val="20"/>
                <w:color w:val="auto"/>
              </w:rPr>
            </w:pPr>
            <w:r>
              <w:rPr>
                <w:rFonts w:ascii="Arial" w:cs="Arial" w:eastAsia="Arial" w:hAnsi="Arial"/>
                <w:sz w:val="17"/>
                <w:szCs w:val="17"/>
                <w:color w:val="0000FF"/>
                <w:w w:val="93"/>
              </w:rPr>
              <w:t>03/23/2012</w:t>
            </w:r>
          </w:p>
        </w:tc>
        <w:tc>
          <w:tcPr>
            <w:tcW w:w="1140" w:type="dxa"/>
            <w:vAlign w:val="bottom"/>
          </w:tcPr>
          <w:p>
            <w:pPr>
              <w:spacing w:after="0"/>
              <w:rPr>
                <w:sz w:val="23"/>
                <w:szCs w:val="23"/>
                <w:color w:val="auto"/>
              </w:rPr>
            </w:pPr>
          </w:p>
        </w:tc>
        <w:tc>
          <w:tcPr>
            <w:tcW w:w="800" w:type="dxa"/>
            <w:vAlign w:val="bottom"/>
          </w:tcPr>
          <w:p>
            <w:pPr>
              <w:jc w:val="center"/>
              <w:ind w:right="297"/>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93"/>
              </w:rPr>
              <w:t>6,196</w:t>
            </w:r>
          </w:p>
        </w:tc>
        <w:tc>
          <w:tcPr>
            <w:tcW w:w="560" w:type="dxa"/>
            <w:vAlign w:val="bottom"/>
          </w:tcPr>
          <w:p>
            <w:pPr>
              <w:jc w:val="center"/>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16.1375</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0"/>
              </w:rPr>
              <w:t>243,755.862</w:t>
            </w:r>
          </w:p>
        </w:tc>
        <w:tc>
          <w:tcPr>
            <w:tcW w:w="960" w:type="dxa"/>
            <w:vAlign w:val="bottom"/>
          </w:tcPr>
          <w:p>
            <w:pPr>
              <w:ind w:left="420"/>
              <w:spacing w:after="0"/>
              <w:rPr>
                <w:sz w:val="20"/>
                <w:szCs w:val="20"/>
                <w:color w:val="auto"/>
              </w:rPr>
            </w:pPr>
            <w:r>
              <w:rPr>
                <w:rFonts w:ascii="Arial" w:cs="Arial" w:eastAsia="Arial" w:hAnsi="Arial"/>
                <w:sz w:val="17"/>
                <w:szCs w:val="17"/>
                <w:color w:val="0000FF"/>
              </w:rPr>
              <w:t>D</w:t>
            </w: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2140" w:type="dxa"/>
            <w:vAlign w:val="bottom"/>
            <w:gridSpan w:val="2"/>
          </w:tcPr>
          <w:p>
            <w:pPr>
              <w:jc w:val="center"/>
              <w:ind w:left="943"/>
              <w:spacing w:after="0"/>
              <w:rPr>
                <w:sz w:val="20"/>
                <w:szCs w:val="20"/>
                <w:color w:val="auto"/>
              </w:rPr>
            </w:pPr>
            <w:r>
              <w:rPr>
                <w:rFonts w:ascii="Arial" w:cs="Arial" w:eastAsia="Arial" w:hAnsi="Arial"/>
                <w:sz w:val="17"/>
                <w:szCs w:val="17"/>
                <w:color w:val="0000FF"/>
                <w:w w:val="93"/>
              </w:rPr>
              <w:t>03/23/2012</w:t>
            </w:r>
          </w:p>
        </w:tc>
        <w:tc>
          <w:tcPr>
            <w:tcW w:w="1140" w:type="dxa"/>
            <w:vAlign w:val="bottom"/>
          </w:tcPr>
          <w:p>
            <w:pPr>
              <w:spacing w:after="0"/>
              <w:rPr>
                <w:sz w:val="23"/>
                <w:szCs w:val="23"/>
                <w:color w:val="auto"/>
              </w:rPr>
            </w:pPr>
          </w:p>
        </w:tc>
        <w:tc>
          <w:tcPr>
            <w:tcW w:w="800" w:type="dxa"/>
            <w:vAlign w:val="bottom"/>
          </w:tcPr>
          <w:p>
            <w:pPr>
              <w:jc w:val="center"/>
              <w:ind w:right="297"/>
              <w:spacing w:after="0"/>
              <w:rPr>
                <w:sz w:val="20"/>
                <w:szCs w:val="20"/>
                <w:color w:val="auto"/>
              </w:rPr>
            </w:pPr>
            <w:r>
              <w:rPr>
                <w:rFonts w:ascii="Arial" w:cs="Arial" w:eastAsia="Arial" w:hAnsi="Arial"/>
                <w:sz w:val="13"/>
                <w:szCs w:val="13"/>
                <w:color w:val="0000FF"/>
              </w:rPr>
              <w:t>F</w:t>
            </w:r>
          </w:p>
        </w:tc>
        <w:tc>
          <w:tcPr>
            <w:tcW w:w="760" w:type="dxa"/>
            <w:vAlign w:val="bottom"/>
          </w:tcPr>
          <w:p>
            <w:pPr>
              <w:jc w:val="center"/>
              <w:spacing w:after="0"/>
              <w:rPr>
                <w:sz w:val="20"/>
                <w:szCs w:val="20"/>
                <w:color w:val="auto"/>
              </w:rPr>
            </w:pPr>
            <w:r>
              <w:rPr>
                <w:rFonts w:ascii="Arial" w:cs="Arial" w:eastAsia="Arial" w:hAnsi="Arial"/>
                <w:sz w:val="17"/>
                <w:szCs w:val="17"/>
                <w:color w:val="0000FF"/>
                <w:w w:val="93"/>
              </w:rPr>
              <w:t>1,422</w:t>
            </w:r>
          </w:p>
        </w:tc>
        <w:tc>
          <w:tcPr>
            <w:tcW w:w="5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70.32</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0"/>
              </w:rPr>
              <w:t>242,333.862</w:t>
            </w:r>
          </w:p>
        </w:tc>
        <w:tc>
          <w:tcPr>
            <w:tcW w:w="960" w:type="dxa"/>
            <w:vAlign w:val="bottom"/>
          </w:tcPr>
          <w:p>
            <w:pPr>
              <w:ind w:left="420"/>
              <w:spacing w:after="0"/>
              <w:rPr>
                <w:sz w:val="20"/>
                <w:szCs w:val="20"/>
                <w:color w:val="auto"/>
              </w:rPr>
            </w:pPr>
            <w:r>
              <w:rPr>
                <w:rFonts w:ascii="Arial" w:cs="Arial" w:eastAsia="Arial" w:hAnsi="Arial"/>
                <w:sz w:val="17"/>
                <w:szCs w:val="17"/>
                <w:color w:val="0000FF"/>
              </w:rPr>
              <w:t>D</w:t>
            </w: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27"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The Toro</w:t>
      </w:r>
    </w:p>
    <w:p>
      <w:pPr>
        <w:spacing w:after="0" w:line="26"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Company</w:t>
      </w:r>
    </w:p>
    <w:p>
      <w:pPr>
        <w:ind w:left="80"/>
        <w:spacing w:after="0"/>
        <w:tabs>
          <w:tab w:leader="none" w:pos="8420" w:val="left"/>
          <w:tab w:leader="none" w:pos="9920" w:val="left"/>
          <w:tab w:leader="none" w:pos="10480" w:val="left"/>
        </w:tabs>
        <w:rPr>
          <w:sz w:val="20"/>
          <w:szCs w:val="20"/>
          <w:color w:val="auto"/>
        </w:rPr>
      </w:pPr>
      <w:r>
        <w:rPr>
          <w:rFonts w:ascii="Arial" w:cs="Arial" w:eastAsia="Arial" w:hAnsi="Arial"/>
          <w:sz w:val="17"/>
          <w:szCs w:val="17"/>
          <w:color w:val="0000FF"/>
        </w:rPr>
        <w:t>Common Stock</w:t>
      </w:r>
      <w:r>
        <w:rPr>
          <w:sz w:val="20"/>
          <w:szCs w:val="20"/>
          <w:color w:val="auto"/>
        </w:rPr>
        <w:tab/>
      </w:r>
      <w:r>
        <w:rPr>
          <w:rFonts w:ascii="Arial" w:cs="Arial" w:eastAsia="Arial" w:hAnsi="Arial"/>
          <w:sz w:val="17"/>
          <w:szCs w:val="17"/>
          <w:color w:val="0000FF"/>
        </w:rPr>
        <w:t>32,051.409</w:t>
      </w:r>
      <w:r>
        <w:rPr>
          <w:rFonts w:ascii="Arial" w:cs="Arial" w:eastAsia="Arial" w:hAnsi="Arial"/>
          <w:sz w:val="22"/>
          <w:szCs w:val="22"/>
          <w:color w:val="008000"/>
          <w:vertAlign w:val="superscript"/>
        </w:rPr>
        <w:t>(3)</w:t>
      </w:r>
      <w:r>
        <w:rPr>
          <w:sz w:val="20"/>
          <w:szCs w:val="20"/>
          <w:color w:val="auto"/>
        </w:rPr>
        <w:tab/>
      </w:r>
      <w:r>
        <w:rPr>
          <w:rFonts w:ascii="Arial" w:cs="Arial" w:eastAsia="Arial" w:hAnsi="Arial"/>
          <w:sz w:val="17"/>
          <w:szCs w:val="17"/>
          <w:color w:val="0000FF"/>
        </w:rPr>
        <w:t>I</w:t>
      </w:r>
      <w:r>
        <w:rPr>
          <w:sz w:val="20"/>
          <w:szCs w:val="20"/>
          <w:color w:val="auto"/>
        </w:rPr>
        <w:tab/>
      </w:r>
      <w:r>
        <w:rPr>
          <w:rFonts w:ascii="Arial" w:cs="Arial" w:eastAsia="Arial" w:hAnsi="Arial"/>
          <w:sz w:val="15"/>
          <w:szCs w:val="15"/>
          <w:color w:val="0000FF"/>
        </w:rPr>
        <w:t>Investment,</w:t>
      </w:r>
    </w:p>
    <w:p>
      <w:pPr>
        <w:spacing w:after="0" w:line="1"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Savings &amp;</w:t>
      </w:r>
    </w:p>
    <w:p>
      <w:pPr>
        <w:spacing w:after="0" w:line="12"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ESOP</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323"/>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rPr>
              <w:t>48,249.495</w:t>
            </w:r>
            <w:r>
              <w:rPr>
                <w:rFonts w:ascii="Arial" w:cs="Arial" w:eastAsia="Arial" w:hAnsi="Arial"/>
                <w:sz w:val="22"/>
                <w:szCs w:val="22"/>
                <w:color w:val="008000"/>
                <w:vertAlign w:val="superscript"/>
              </w:rPr>
              <w:t>(4)</w:t>
            </w: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8"/>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8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16.1375</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03/23/2012</w:t>
            </w:r>
          </w:p>
        </w:tc>
        <w:tc>
          <w:tcPr>
            <w:tcW w:w="118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jc w:val="right"/>
              <w:spacing w:after="0"/>
              <w:rPr>
                <w:sz w:val="20"/>
                <w:szCs w:val="20"/>
                <w:color w:val="auto"/>
              </w:rPr>
            </w:pPr>
            <w:r>
              <w:rPr>
                <w:rFonts w:ascii="Arial" w:cs="Arial" w:eastAsia="Arial" w:hAnsi="Arial"/>
                <w:sz w:val="13"/>
                <w:szCs w:val="13"/>
                <w:color w:val="0000FF"/>
              </w:rPr>
              <w:t>20,000</w:t>
            </w:r>
          </w:p>
        </w:tc>
        <w:tc>
          <w:tcPr>
            <w:tcW w:w="820" w:type="dxa"/>
            <w:vAlign w:val="bottom"/>
          </w:tcPr>
          <w:p>
            <w:pPr>
              <w:ind w:left="100"/>
              <w:spacing w:after="0"/>
              <w:rPr>
                <w:sz w:val="20"/>
                <w:szCs w:val="20"/>
                <w:color w:val="auto"/>
              </w:rPr>
            </w:pPr>
            <w:r>
              <w:rPr>
                <w:rFonts w:ascii="Arial" w:cs="Arial" w:eastAsia="Arial" w:hAnsi="Arial"/>
                <w:sz w:val="13"/>
                <w:szCs w:val="13"/>
                <w:color w:val="0000FF"/>
              </w:rPr>
              <w:t>12/04/2002</w:t>
            </w:r>
          </w:p>
        </w:tc>
        <w:tc>
          <w:tcPr>
            <w:tcW w:w="760" w:type="dxa"/>
            <w:vAlign w:val="bottom"/>
          </w:tcPr>
          <w:p>
            <w:pPr>
              <w:ind w:left="80"/>
              <w:spacing w:after="0"/>
              <w:rPr>
                <w:sz w:val="20"/>
                <w:szCs w:val="20"/>
                <w:color w:val="auto"/>
              </w:rPr>
            </w:pPr>
            <w:r>
              <w:rPr>
                <w:rFonts w:ascii="Arial" w:cs="Arial" w:eastAsia="Arial" w:hAnsi="Arial"/>
                <w:sz w:val="13"/>
                <w:szCs w:val="13"/>
                <w:color w:val="0000FF"/>
              </w:rPr>
              <w:t>12/04/2012</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2"/>
              <w:spacing w:after="0"/>
              <w:rPr>
                <w:sz w:val="20"/>
                <w:szCs w:val="20"/>
                <w:color w:val="auto"/>
              </w:rPr>
            </w:pPr>
            <w:r>
              <w:rPr>
                <w:rFonts w:ascii="Arial" w:cs="Arial" w:eastAsia="Arial" w:hAnsi="Arial"/>
                <w:sz w:val="17"/>
                <w:szCs w:val="17"/>
                <w:color w:val="0000FF"/>
                <w:w w:val="88"/>
              </w:rPr>
              <w:t>20,000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tcPr>
          <w:p>
            <w:pPr>
              <w:jc w:val="right"/>
              <w:ind w:right="118"/>
              <w:spacing w:after="0"/>
              <w:rPr>
                <w:sz w:val="20"/>
                <w:szCs w:val="20"/>
                <w:color w:val="auto"/>
              </w:rPr>
            </w:pPr>
            <w:r>
              <w:rPr>
                <w:rFonts w:ascii="Arial" w:cs="Arial" w:eastAsia="Arial" w:hAnsi="Arial"/>
                <w:sz w:val="13"/>
                <w:szCs w:val="13"/>
                <w:color w:val="0000FF"/>
              </w:rPr>
              <w:t>15,804</w:t>
            </w:r>
          </w:p>
        </w:tc>
        <w:tc>
          <w:tcPr>
            <w:tcW w:w="880" w:type="dxa"/>
            <w:vAlign w:val="bottom"/>
          </w:tcPr>
          <w:p>
            <w:pPr>
              <w:ind w:left="460"/>
              <w:spacing w:after="0"/>
              <w:rPr>
                <w:sz w:val="20"/>
                <w:szCs w:val="20"/>
                <w:color w:val="auto"/>
              </w:rPr>
            </w:pPr>
            <w:r>
              <w:rPr>
                <w:rFonts w:ascii="Arial" w:cs="Arial" w:eastAsia="Arial" w:hAnsi="Arial"/>
                <w:sz w:val="13"/>
                <w:szCs w:val="13"/>
                <w:color w:val="0000FF"/>
              </w:rPr>
              <w:t>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Stock</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2"/>
              <w:spacing w:after="0"/>
              <w:rPr>
                <w:sz w:val="20"/>
                <w:szCs w:val="20"/>
                <w:color w:val="auto"/>
              </w:rPr>
            </w:pPr>
            <w:r>
              <w:rPr>
                <w:rFonts w:ascii="Arial" w:cs="Arial" w:eastAsia="Arial" w:hAnsi="Arial"/>
                <w:sz w:val="17"/>
                <w:szCs w:val="17"/>
                <w:color w:val="0000FF"/>
                <w:w w:val="98"/>
              </w:rPr>
              <w:t>6,196</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16.1375</w:t>
            </w:r>
          </w:p>
        </w:tc>
        <w:tc>
          <w:tcPr>
            <w:tcW w:w="1080" w:type="dxa"/>
            <w:vAlign w:val="bottom"/>
            <w:vMerge w:val="restart"/>
          </w:tcPr>
          <w:p>
            <w:pPr>
              <w:jc w:val="right"/>
              <w:ind w:right="137"/>
              <w:spacing w:after="0" w:line="148" w:lineRule="exact"/>
              <w:rPr>
                <w:sz w:val="20"/>
                <w:szCs w:val="20"/>
                <w:color w:val="auto"/>
              </w:rPr>
            </w:pPr>
            <w:r>
              <w:rPr>
                <w:rFonts w:ascii="Arial" w:cs="Arial" w:eastAsia="Arial" w:hAnsi="Arial"/>
                <w:sz w:val="13"/>
                <w:szCs w:val="13"/>
                <w:color w:val="0000FF"/>
              </w:rPr>
              <w:t>03/23/2012</w:t>
            </w:r>
          </w:p>
        </w:tc>
        <w:tc>
          <w:tcPr>
            <w:tcW w:w="1180" w:type="dxa"/>
            <w:vAlign w:val="bottom"/>
          </w:tcPr>
          <w:p>
            <w:pPr>
              <w:spacing w:after="0"/>
              <w:rPr>
                <w:sz w:val="5"/>
                <w:szCs w:val="5"/>
                <w:color w:val="auto"/>
              </w:rPr>
            </w:pPr>
          </w:p>
        </w:tc>
        <w:tc>
          <w:tcPr>
            <w:tcW w:w="84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M</w:t>
            </w:r>
          </w:p>
        </w:tc>
        <w:tc>
          <w:tcPr>
            <w:tcW w:w="820" w:type="dxa"/>
            <w:vAlign w:val="bottom"/>
            <w:vMerge w:val="restart"/>
          </w:tcPr>
          <w:p>
            <w:pPr>
              <w:jc w:val="right"/>
              <w:ind w:right="39"/>
              <w:spacing w:after="0" w:line="148" w:lineRule="exact"/>
              <w:rPr>
                <w:sz w:val="20"/>
                <w:szCs w:val="20"/>
                <w:color w:val="auto"/>
              </w:rPr>
            </w:pPr>
            <w:r>
              <w:rPr>
                <w:rFonts w:ascii="Arial" w:cs="Arial" w:eastAsia="Arial" w:hAnsi="Arial"/>
                <w:sz w:val="13"/>
                <w:szCs w:val="13"/>
                <w:color w:val="0000FF"/>
              </w:rPr>
              <w:t>6,196</w:t>
            </w:r>
          </w:p>
        </w:tc>
        <w:tc>
          <w:tcPr>
            <w:tcW w:w="820" w:type="dxa"/>
            <w:vAlign w:val="bottom"/>
            <w:vMerge w:val="restart"/>
          </w:tcPr>
          <w:p>
            <w:pPr>
              <w:ind w:left="100"/>
              <w:spacing w:after="0" w:line="148" w:lineRule="exact"/>
              <w:rPr>
                <w:sz w:val="20"/>
                <w:szCs w:val="20"/>
                <w:color w:val="auto"/>
              </w:rPr>
            </w:pPr>
            <w:r>
              <w:rPr>
                <w:rFonts w:ascii="Arial" w:cs="Arial" w:eastAsia="Arial" w:hAnsi="Arial"/>
                <w:sz w:val="13"/>
                <w:szCs w:val="13"/>
                <w:color w:val="0000FF"/>
              </w:rPr>
              <w:t>12/04/2002</w:t>
            </w:r>
          </w:p>
        </w:tc>
        <w:tc>
          <w:tcPr>
            <w:tcW w:w="7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12/04/2012</w:t>
            </w: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vMerge w:val="restart"/>
          </w:tcPr>
          <w:p>
            <w:pPr>
              <w:jc w:val="right"/>
              <w:ind w:right="258"/>
              <w:spacing w:after="0" w:line="148" w:lineRule="exact"/>
              <w:rPr>
                <w:sz w:val="20"/>
                <w:szCs w:val="20"/>
                <w:color w:val="auto"/>
              </w:rPr>
            </w:pPr>
            <w:r>
              <w:rPr>
                <w:rFonts w:ascii="Arial" w:cs="Arial" w:eastAsia="Arial" w:hAnsi="Arial"/>
                <w:sz w:val="13"/>
                <w:szCs w:val="13"/>
                <w:color w:val="0000FF"/>
              </w:rPr>
              <w:t>0</w:t>
            </w:r>
          </w:p>
        </w:tc>
        <w:tc>
          <w:tcPr>
            <w:tcW w:w="880" w:type="dxa"/>
            <w:vAlign w:val="bottom"/>
            <w:vMerge w:val="restart"/>
          </w:tcPr>
          <w:p>
            <w:pPr>
              <w:ind w:left="460"/>
              <w:spacing w:after="0" w:line="148"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713.652 shares of common stock acquired by the reporting person under The Toro Company Dividend Reinvestment Plan since the date of his last report.</w:t>
      </w:r>
    </w:p>
    <w:p>
      <w:pPr>
        <w:spacing w:after="0" w:line="51" w:lineRule="exact"/>
        <w:rPr>
          <w:rFonts w:ascii="Arial" w:cs="Arial" w:eastAsia="Arial" w:hAnsi="Arial"/>
          <w:sz w:val="13"/>
          <w:szCs w:val="13"/>
          <w:color w:val="008000"/>
        </w:rPr>
      </w:pPr>
    </w:p>
    <w:p>
      <w:pPr>
        <w:ind w:left="40" w:right="3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$70.00 to $70.33,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since the date of his last report: 110.912 shares acquired under the dividend reinvestment feature of The Toro Company Investment, Savings &amp; ESOP (IS&amp;ESOP); and 51.472 shares acquired through issuer annual investment fund contributions to the IS&amp;ESOP.</w:t>
      </w:r>
    </w:p>
    <w:p>
      <w:pPr>
        <w:spacing w:after="0" w:line="9"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167.160 performance share units acquired by the reporting person under the dividend reinvestment feature of The Toro Company Deferred Compensation Plan for Officers since the date of his last report.</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03/27/2012</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2019-12-17T01:17:01Z</dcterms:created>
  <dcterms:modified xsi:type="dcterms:W3CDTF">2019-12-17T01:17:01Z</dcterms:modified>
</cp:coreProperties>
</file>