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885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852535"/>
                    </a:xfrm>
                    <a:prstGeom prst="rect">
                      <a:avLst/>
                    </a:prstGeom>
                    <a:noFill/>
                  </pic:spPr>
                </pic:pic>
              </a:graphicData>
            </a:graphic>
          </wp:anchor>
        </w:drawing>
      </w:r>
    </w:p>
    <w:p>
      <w:pPr>
        <w:spacing w:after="0" w:line="108" w:lineRule="exact"/>
        <w:rPr>
          <w:sz w:val="24"/>
          <w:szCs w:val="24"/>
          <w:color w:val="auto"/>
        </w:rPr>
      </w:pPr>
    </w:p>
    <w:p>
      <w:pPr>
        <w:sectPr>
          <w:pgSz w:w="11900" w:h="16879"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RENEE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12/27/2022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7"/>
          <w:szCs w:val="17"/>
          <w:color w:val="0000FF"/>
        </w:rPr>
        <w:t>VP &amp; CFO</w:t>
      </w:r>
    </w:p>
    <w:p>
      <w:pPr>
        <w:spacing w:after="0" w:line="306" w:lineRule="exact"/>
        <w:rPr>
          <w:sz w:val="24"/>
          <w:szCs w:val="24"/>
          <w:color w:val="auto"/>
        </w:rPr>
      </w:pPr>
    </w:p>
    <w:p>
      <w:pPr>
        <w:sectPr>
          <w:pgSz w:w="11900" w:h="16879" w:orient="portrait"/>
          <w:cols w:equalWidth="0" w:num="3">
            <w:col w:w="3200" w:space="720"/>
            <w:col w:w="3100" w:space="720"/>
            <w:col w:w="3340"/>
          </w:cols>
          <w:pgMar w:left="460" w:top="217" w:right="359" w:bottom="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79"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68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80" w:type="dxa"/>
            <w:vAlign w:val="bottom"/>
          </w:tcPr>
          <w:p>
            <w:pPr>
              <w:jc w:val="center"/>
              <w:ind w:left="52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jc w:val="center"/>
              <w:ind w:left="529"/>
              <w:spacing w:after="0"/>
              <w:rPr>
                <w:sz w:val="20"/>
                <w:szCs w:val="20"/>
                <w:color w:val="auto"/>
              </w:rPr>
            </w:pPr>
            <w:r>
              <w:rPr>
                <w:rFonts w:ascii="Times New Roman" w:cs="Times New Roman" w:eastAsia="Times New Roman" w:hAnsi="Times New Roman"/>
                <w:sz w:val="17"/>
                <w:szCs w:val="17"/>
                <w:color w:val="0000FF"/>
                <w:w w:val="98"/>
              </w:rPr>
              <w:t>12/27/2022</w:t>
            </w:r>
          </w:p>
        </w:tc>
        <w:tc>
          <w:tcPr>
            <w:tcW w:w="1080" w:type="dxa"/>
            <w:vAlign w:val="bottom"/>
          </w:tcPr>
          <w:p>
            <w:pPr>
              <w:spacing w:after="0"/>
              <w:rPr>
                <w:sz w:val="17"/>
                <w:szCs w:val="17"/>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1,766</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continue"/>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7"/>
        </w:trPr>
        <w:tc>
          <w:tcPr>
            <w:tcW w:w="2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#3</w:t>
            </w:r>
          </w:p>
        </w:tc>
        <w:tc>
          <w:tcPr>
            <w:tcW w:w="0" w:type="dxa"/>
            <w:vAlign w:val="bottom"/>
          </w:tcPr>
          <w:p>
            <w:pPr>
              <w:spacing w:after="0"/>
              <w:rPr>
                <w:sz w:val="1"/>
                <w:szCs w:val="1"/>
                <w:color w:val="auto"/>
              </w:rPr>
            </w:pPr>
          </w:p>
        </w:tc>
      </w:tr>
      <w:tr>
        <w:trPr>
          <w:trHeight w:val="59"/>
        </w:trPr>
        <w:tc>
          <w:tcPr>
            <w:tcW w:w="23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01/06/2023</w:t>
            </w:r>
          </w:p>
        </w:tc>
        <w:tc>
          <w:tcPr>
            <w:tcW w:w="108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0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40,318.344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01/06/2023</w:t>
            </w:r>
          </w:p>
        </w:tc>
        <w:tc>
          <w:tcPr>
            <w:tcW w:w="10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112.717</w:t>
            </w:r>
            <w:r>
              <w:rPr>
                <w:rFonts w:ascii="Times New Roman" w:cs="Times New Roman" w:eastAsia="Times New Roman" w:hAnsi="Times New Roman"/>
                <w:sz w:val="21"/>
                <w:szCs w:val="21"/>
                <w:color w:val="008000"/>
                <w:w w:val="93"/>
                <w:vertAlign w:val="superscript"/>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15,318.344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12,472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7"/>
        </w:trPr>
        <w:tc>
          <w:tcPr>
            <w:tcW w:w="2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#4</w:t>
            </w:r>
          </w:p>
        </w:tc>
        <w:tc>
          <w:tcPr>
            <w:tcW w:w="0" w:type="dxa"/>
            <w:vAlign w:val="bottom"/>
          </w:tcPr>
          <w:p>
            <w:pPr>
              <w:spacing w:after="0"/>
              <w:rPr>
                <w:sz w:val="1"/>
                <w:szCs w:val="1"/>
                <w:color w:val="auto"/>
              </w:rPr>
            </w:pPr>
          </w:p>
        </w:tc>
      </w:tr>
      <w:tr>
        <w:trPr>
          <w:trHeight w:val="59"/>
        </w:trPr>
        <w:tc>
          <w:tcPr>
            <w:tcW w:w="23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26,460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7"/>
        </w:trPr>
        <w:tc>
          <w:tcPr>
            <w:tcW w:w="2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#5</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The Toro</w:t>
      </w:r>
    </w:p>
    <w:p>
      <w:pPr>
        <w:ind w:left="80"/>
        <w:spacing w:after="0" w:line="204" w:lineRule="auto"/>
        <w:tabs>
          <w:tab w:leader="none" w:pos="8320" w:val="left"/>
          <w:tab w:leader="none" w:pos="9580" w:val="left"/>
          <w:tab w:leader="none" w:pos="10140" w:val="left"/>
        </w:tabs>
        <w:rPr>
          <w:sz w:val="20"/>
          <w:szCs w:val="20"/>
          <w:color w:val="auto"/>
        </w:rPr>
      </w:pPr>
      <w:r>
        <w:rPr>
          <w:rFonts w:ascii="Times New Roman" w:cs="Times New Roman" w:eastAsia="Times New Roman" w:hAnsi="Times New Roman"/>
          <w:sz w:val="27"/>
          <w:szCs w:val="27"/>
          <w:color w:val="0000FF"/>
          <w:vertAlign w:val="subscript"/>
        </w:rPr>
        <w:t>Common Stock</w:t>
      </w:r>
      <w:r>
        <w:rPr>
          <w:sz w:val="20"/>
          <w:szCs w:val="20"/>
          <w:color w:val="auto"/>
        </w:rPr>
        <w:tab/>
      </w:r>
      <w:r>
        <w:rPr>
          <w:rFonts w:ascii="Times New Roman" w:cs="Times New Roman" w:eastAsia="Times New Roman" w:hAnsi="Times New Roman"/>
          <w:sz w:val="27"/>
          <w:szCs w:val="27"/>
          <w:color w:val="0000FF"/>
          <w:vertAlign w:val="subscript"/>
        </w:rPr>
        <w:t>742.73</w:t>
      </w:r>
      <w:r>
        <w:rPr>
          <w:rFonts w:ascii="Times New Roman" w:cs="Times New Roman" w:eastAsia="Times New Roman" w:hAnsi="Times New Roman"/>
          <w:sz w:val="9"/>
          <w:szCs w:val="9"/>
          <w:color w:val="008000"/>
        </w:rPr>
        <w:t>(2)</w:t>
      </w:r>
      <w:r>
        <w:rPr>
          <w:sz w:val="20"/>
          <w:szCs w:val="20"/>
          <w:color w:val="auto"/>
        </w:rPr>
        <w:tab/>
      </w:r>
      <w:r>
        <w:rPr>
          <w:rFonts w:ascii="Times New Roman" w:cs="Times New Roman" w:eastAsia="Times New Roman" w:hAnsi="Times New Roman"/>
          <w:sz w:val="27"/>
          <w:szCs w:val="27"/>
          <w:color w:val="0000FF"/>
          <w:vertAlign w:val="subscript"/>
        </w:rPr>
        <w:t>I</w:t>
      </w:r>
      <w:r>
        <w:rPr>
          <w:sz w:val="20"/>
          <w:szCs w:val="20"/>
          <w:color w:val="auto"/>
        </w:rPr>
        <w:tab/>
      </w:r>
      <w:r>
        <w:rPr>
          <w:rFonts w:ascii="Times New Roman" w:cs="Times New Roman" w:eastAsia="Times New Roman" w:hAnsi="Times New Roman"/>
          <w:sz w:val="24"/>
          <w:szCs w:val="24"/>
          <w:color w:val="0000FF"/>
          <w:vertAlign w:val="superscript"/>
        </w:rPr>
        <w:t>Company</w:t>
      </w:r>
    </w:p>
    <w:p>
      <w:pPr>
        <w:spacing w:after="0" w:line="1"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Retirement</w:t>
      </w:r>
    </w:p>
    <w:p>
      <w:pPr>
        <w:spacing w:after="0" w:line="4" w:lineRule="exact"/>
        <w:rPr>
          <w:sz w:val="24"/>
          <w:szCs w:val="24"/>
          <w:color w:val="auto"/>
        </w:rPr>
      </w:pPr>
    </w:p>
    <w:p>
      <w:pPr>
        <w:ind w:left="10160"/>
        <w:spacing w:after="0"/>
        <w:rPr>
          <w:sz w:val="20"/>
          <w:szCs w:val="20"/>
          <w:color w:val="auto"/>
        </w:rPr>
      </w:pPr>
      <w:r>
        <w:rPr>
          <w:rFonts w:ascii="Times New Roman" w:cs="Times New Roman" w:eastAsia="Times New Roman" w:hAnsi="Times New Roman"/>
          <w:sz w:val="17"/>
          <w:szCs w:val="17"/>
          <w:color w:val="0000FF"/>
        </w:rPr>
        <w:t>Plan</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87,004.809</w:t>
            </w: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14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8"/>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7"/>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38.82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01/06/2023</w:t>
            </w:r>
          </w:p>
        </w:tc>
        <w:tc>
          <w:tcPr>
            <w:tcW w:w="114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25,000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12/04/2025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14,400</w:t>
            </w:r>
          </w:p>
        </w:tc>
        <w:tc>
          <w:tcPr>
            <w:tcW w:w="7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$112.650 to $112.990,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an account adjustment of (0.011) shares since the date of her last report for quarterly non-discretionary administrative fees under The Toro Company Retirement Plan.</w:t>
      </w:r>
    </w:p>
    <w:p>
      <w:pPr>
        <w:sectPr>
          <w:pgSz w:w="11900" w:h="16879"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3. The option vested in three equal annual installments commencing on the first anniversary of the December 4, 2015 grant date.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01/10/2023</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2023-01-10T13:02:57Z</dcterms:created>
  <dcterms:modified xsi:type="dcterms:W3CDTF">2023-01-10T13:02:57Z</dcterms:modified>
</cp:coreProperties>
</file>