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Larson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Corporate Controller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60" w:type="dxa"/>
            <w:vAlign w:val="bottom"/>
            <w:gridSpan w:val="2"/>
          </w:tcPr>
          <w:p>
            <w:pPr>
              <w:ind w:left="580"/>
              <w:spacing w:after="0"/>
              <w:rPr>
                <w:sz w:val="20"/>
                <w:szCs w:val="20"/>
                <w:color w:val="auto"/>
              </w:rPr>
            </w:pPr>
            <w:r>
              <w:rPr>
                <w:rFonts w:ascii="Arial" w:cs="Arial" w:eastAsia="Arial" w:hAnsi="Arial"/>
                <w:sz w:val="18"/>
                <w:szCs w:val="18"/>
                <w:color w:val="0000FF"/>
              </w:rPr>
              <w:t>03/25/2015</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860" w:type="dxa"/>
            <w:vAlign w:val="bottom"/>
          </w:tcPr>
          <w:p>
            <w:pPr>
              <w:ind w:left="20"/>
              <w:spacing w:after="0" w:line="217" w:lineRule="exact"/>
              <w:rPr>
                <w:sz w:val="20"/>
                <w:szCs w:val="20"/>
                <w:color w:val="auto"/>
              </w:rPr>
            </w:pPr>
            <w:r>
              <w:rPr>
                <w:rFonts w:ascii="Arial" w:cs="Arial" w:eastAsia="Arial" w:hAnsi="Arial"/>
                <w:sz w:val="18"/>
                <w:szCs w:val="18"/>
                <w:color w:val="0000FF"/>
                <w:w w:val="83"/>
              </w:rPr>
              <w:t>3,629.962</w:t>
            </w:r>
            <w:r>
              <w:rPr>
                <w:rFonts w:ascii="Arial" w:cs="Arial" w:eastAsia="Arial" w:hAnsi="Arial"/>
                <w:sz w:val="22"/>
                <w:szCs w:val="22"/>
                <w:color w:val="008000"/>
                <w:w w:val="83"/>
                <w:vertAlign w:val="superscript"/>
              </w:rPr>
              <w:t>(1)</w:t>
            </w:r>
          </w:p>
        </w:tc>
        <w:tc>
          <w:tcPr>
            <w:tcW w:w="460" w:type="dxa"/>
            <w:vAlign w:val="bottom"/>
          </w:tcPr>
          <w:p>
            <w:pPr>
              <w:ind w:left="260"/>
              <w:spacing w:after="0"/>
              <w:rPr>
                <w:sz w:val="20"/>
                <w:szCs w:val="20"/>
                <w:color w:val="auto"/>
              </w:rPr>
            </w:pPr>
            <w:r>
              <w:rPr>
                <w:rFonts w:ascii="Arial" w:cs="Arial" w:eastAsia="Arial" w:hAnsi="Arial"/>
                <w:sz w:val="18"/>
                <w:szCs w:val="18"/>
                <w:color w:val="0000FF"/>
              </w:rPr>
              <w:t>D</w:t>
            </w:r>
          </w:p>
        </w:tc>
        <w:tc>
          <w:tcPr>
            <w:tcW w:w="580" w:type="dxa"/>
            <w:vAlign w:val="bottom"/>
          </w:tcPr>
          <w:p>
            <w:pPr>
              <w:ind w:left="2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69</w:t>
            </w:r>
          </w:p>
        </w:tc>
        <w:tc>
          <w:tcPr>
            <w:tcW w:w="40" w:type="dxa"/>
            <w:vAlign w:val="bottom"/>
          </w:tcPr>
          <w:p>
            <w:pPr>
              <w:spacing w:after="0"/>
              <w:rPr>
                <w:sz w:val="18"/>
                <w:szCs w:val="18"/>
                <w:color w:val="auto"/>
              </w:rPr>
            </w:pPr>
          </w:p>
        </w:tc>
        <w:tc>
          <w:tcPr>
            <w:tcW w:w="740" w:type="dxa"/>
            <w:vAlign w:val="bottom"/>
            <w:gridSpan w:val="2"/>
          </w:tcPr>
          <w:p>
            <w:pPr>
              <w:jc w:val="center"/>
              <w:ind w:left="588"/>
              <w:spacing w:after="0"/>
              <w:rPr>
                <w:sz w:val="20"/>
                <w:szCs w:val="20"/>
                <w:color w:val="auto"/>
              </w:rPr>
            </w:pPr>
            <w:r>
              <w:rPr>
                <w:rFonts w:ascii="Arial" w:cs="Arial" w:eastAsia="Arial" w:hAnsi="Arial"/>
                <w:sz w:val="18"/>
                <w:szCs w:val="18"/>
                <w:color w:val="0000FF"/>
                <w:w w:val="79"/>
              </w:rPr>
              <w:t>0</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13,389.425</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6,153.981</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7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7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7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14.482 net shares acquired under the dividend reinvestment feature of The Toro Company Investment, Savings &amp; ESOP (the "IS&amp;ESOP") less quarterly non-discretionary administrative fees; and 57.894 shares acquired through issuer annual investment fund contributions to the IS&amp;ESOP.</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13.18 shares of common stock acquired by the reporting person under The Toro Company Dividend Reinvestment Plan since the date of his last report.</w:t>
      </w:r>
    </w:p>
    <w:p>
      <w:pPr>
        <w:spacing w:after="0" w:line="4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24.956 performance share units acquired by the reporting person since the date of his last report under the dividend reinvestment feature of The Toro Company Deferred Compensation Plan for Officers.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03/27/2015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1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2019-12-23T20:41:36Z</dcterms:created>
  <dcterms:modified xsi:type="dcterms:W3CDTF">2019-12-23T20:41:36Z</dcterms:modified>
</cp:coreProperties>
</file>