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BROWN WILLIAM E JR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02/24/2014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6"/>
        <w:spacing w:after="0"/>
        <w:rPr>
          <w:sz w:val="20"/>
          <w:szCs w:val="20"/>
          <w:color w:val="auto"/>
        </w:rPr>
      </w:pPr>
      <w:r>
        <w:rPr>
          <w:rFonts w:ascii="Arial" w:cs="Arial" w:eastAsia="Arial" w:hAnsi="Arial"/>
          <w:sz w:val="17"/>
          <w:szCs w:val="17"/>
          <w:color w:val="0000FF"/>
        </w:rPr>
        <w:t>Group VP, Comm. &amp; Irrigation</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ind w:left="6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ind w:left="6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8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2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02/24/2014</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15,400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20.095</w:t>
            </w:r>
          </w:p>
        </w:tc>
        <w:tc>
          <w:tcPr>
            <w:tcW w:w="12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119,313.301</w:t>
            </w:r>
            <w:r>
              <w:rPr>
                <w:rFonts w:ascii="Arial" w:cs="Arial" w:eastAsia="Arial" w:hAnsi="Arial"/>
                <w:sz w:val="22"/>
                <w:szCs w:val="22"/>
                <w:color w:val="008000"/>
                <w:w w:val="88"/>
                <w:vertAlign w:val="superscript"/>
              </w:rPr>
              <w:t>(1)</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2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02/24/2014</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15,400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65.471</w:t>
            </w:r>
            <w:r>
              <w:rPr>
                <w:rFonts w:ascii="Arial" w:cs="Arial" w:eastAsia="Arial" w:hAnsi="Arial"/>
                <w:sz w:val="22"/>
                <w:szCs w:val="22"/>
                <w:color w:val="008000"/>
                <w:w w:val="98"/>
                <w:vertAlign w:val="superscript"/>
              </w:rPr>
              <w:t>(2)</w:t>
            </w:r>
          </w:p>
        </w:tc>
        <w:tc>
          <w:tcPr>
            <w:tcW w:w="12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103,913.301</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jc w:val="center"/>
              <w:spacing w:after="0" w:line="214" w:lineRule="exact"/>
              <w:rPr>
                <w:sz w:val="20"/>
                <w:szCs w:val="20"/>
                <w:color w:val="auto"/>
              </w:rPr>
            </w:pPr>
            <w:r>
              <w:rPr>
                <w:rFonts w:ascii="Arial" w:cs="Arial" w:eastAsia="Arial" w:hAnsi="Arial"/>
                <w:sz w:val="17"/>
                <w:szCs w:val="17"/>
                <w:color w:val="0000FF"/>
                <w:w w:val="89"/>
              </w:rPr>
              <w:t>4,845.478</w:t>
            </w:r>
            <w:r>
              <w:rPr>
                <w:rFonts w:ascii="Arial" w:cs="Arial" w:eastAsia="Arial" w:hAnsi="Arial"/>
                <w:sz w:val="22"/>
                <w:szCs w:val="22"/>
                <w:color w:val="008000"/>
                <w:w w:val="89"/>
                <w:vertAlign w:val="superscript"/>
              </w:rPr>
              <w:t>(3)</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40" w:type="dxa"/>
            <w:vAlign w:val="bottom"/>
            <w:tcBorders>
              <w:top w:val="single" w:sz="8" w:color="808080"/>
            </w:tcBorders>
            <w:shd w:val="clear" w:color="auto" w:fill="2C2C2C"/>
          </w:tcPr>
          <w:p>
            <w:pPr>
              <w:spacing w:after="0" w:line="20" w:lineRule="exact"/>
              <w:rPr>
                <w:sz w:val="1"/>
                <w:szCs w:val="1"/>
                <w:color w:val="auto"/>
              </w:rPr>
            </w:pPr>
          </w:p>
        </w:tc>
        <w:tc>
          <w:tcPr>
            <w:tcW w:w="17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20.095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02/24/2014</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15,400</w:t>
            </w: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11/30/2015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15,400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9.488 shares of common stock acquired by the reporting person since the date of his last report under The Toro Company Dividend Reinvestment Plan (the "DRIP") on 3,061.813 shares of restricted stock and related DRIP shares. The restricted stock and all related DRIP shares vest in full on the third anniversary of the date of grant, which was March 20, 2012.</w:t>
      </w:r>
    </w:p>
    <w:p>
      <w:pPr>
        <w:spacing w:after="0" w:line="9" w:lineRule="exact"/>
        <w:rPr>
          <w:rFonts w:ascii="Arial" w:cs="Arial" w:eastAsia="Arial" w:hAnsi="Arial"/>
          <w:sz w:val="13"/>
          <w:szCs w:val="13"/>
          <w:color w:val="008000"/>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$65.08 to $65.79,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14.935 shares of common stock acquired by the reporting person under the dividend reinvestment feature of The Toro Company Investment, Savings &amp; ESOP since the date of his last report.</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November 30, 2005.</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02/26/2014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2019-12-17T02:26:17Z</dcterms:created>
  <dcterms:modified xsi:type="dcterms:W3CDTF">2019-12-17T02:26:17Z</dcterms:modified>
</cp:coreProperties>
</file>