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Date of Report (Date of earliest event reported): July 21,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THE TORO COMPANY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1-8649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41-0580470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1"/>
              </w:rPr>
            </w:pPr>
            <w:r>
              <w:rPr>
                <w:rFonts w:ascii="Times New Roman;serif" w:hAnsi="Times New Roman;serif"/>
                <w:b/>
                <w:color w:val="000000"/>
                <w:sz w:val="21"/>
              </w:rPr>
              <w:t>8111 Lyndale Avenue South</w:t>
            </w:r>
          </w:p>
          <w:p>
            <w:pPr>
              <w:pStyle w:val="TableContents"/>
              <w:bidi w:val="0"/>
              <w:spacing w:lineRule="auto" w:line="240" w:before="0" w:after="0"/>
              <w:jc w:val="center"/>
              <w:rPr>
                <w:rFonts w:ascii="Times New Roman;serif" w:hAnsi="Times New Roman;serif"/>
                <w:b/>
                <w:color w:val="000000"/>
                <w:sz w:val="21"/>
              </w:rPr>
            </w:pPr>
            <w:r>
              <w:rPr>
                <w:rFonts w:ascii="Times New Roman;serif" w:hAnsi="Times New Roman;serif"/>
                <w:b/>
                <w:color w:val="000000"/>
                <w:sz w:val="21"/>
              </w:rPr>
              <w:t>Bloomington, Minnesota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1"/>
              </w:rPr>
              <w:t>55420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1"/>
        </w:rPr>
        <w:t xml:space="preserve">Registrant's telephone number, including area code: </w:t>
      </w:r>
      <w:r>
        <w:rPr>
          <w:rFonts w:ascii="Times New Roman;serif" w:hAnsi="Times New Roman;serif"/>
          <w:b/>
          <w:color w:val="000000"/>
          <w:sz w:val="21"/>
        </w:rPr>
        <w:t xml:space="preserve">(952) 888-8801 </w:t>
      </w:r>
    </w:p>
    <w:p>
      <w:pPr>
        <w:pStyle w:val="TextBody"/>
        <w:bidi w:val="0"/>
        <w:spacing w:lineRule="auto" w:line="288" w:before="60" w:after="283"/>
        <w:jc w:val="center"/>
        <w:rPr>
          <w:rFonts w:ascii="Times New Roman;serif" w:hAnsi="Times New Roman;serif"/>
          <w:b/>
          <w:color w:val="000000"/>
          <w:sz w:val="21"/>
        </w:rPr>
      </w:pPr>
      <w:r>
        <w:rPr>
          <w:rFonts w:ascii="Times New Roman;serif" w:hAnsi="Times New Roman;serif"/>
          <w:b/>
          <w:color w:val="000000"/>
          <w:sz w:val="21"/>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Securities registered pursuant to Section 12(b) of the Act:</w:t>
      </w:r>
    </w:p>
    <w:tbl>
      <w:tblPr>
        <w:tblW w:w="8382" w:type="dxa"/>
        <w:jc w:val="center"/>
        <w:tblInd w:w="0" w:type="dxa"/>
        <w:tblLayout w:type="fixed"/>
        <w:tblCellMar>
          <w:top w:w="28" w:type="dxa"/>
          <w:left w:w="28" w:type="dxa"/>
          <w:bottom w:w="28" w:type="dxa"/>
          <w:right w:w="28" w:type="dxa"/>
        </w:tblCellMar>
      </w:tblPr>
      <w:tblGrid>
        <w:gridCol w:w="1319"/>
        <w:gridCol w:w="1162"/>
        <w:gridCol w:w="1178"/>
        <w:gridCol w:w="484"/>
        <w:gridCol w:w="484"/>
        <w:gridCol w:w="486"/>
        <w:gridCol w:w="956"/>
        <w:gridCol w:w="956"/>
        <w:gridCol w:w="1357"/>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right"/>
        <w:rPr/>
      </w:pPr>
      <w:r>
        <w:rPr>
          <w:rFonts w:ascii="Times New Roman;serif" w:hAnsi="Times New Roman;serif"/>
          <w:b w:val="false"/>
          <w:color w:val="000000"/>
          <w:sz w:val="21"/>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5 – Corporate Governance and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5.02</w:t>
      </w:r>
      <w:r>
        <w:rPr>
          <w:color w:val="000000"/>
        </w:rPr>
        <w:t xml:space="preserve"> </w:t>
      </w:r>
      <w:r>
        <w:rPr>
          <w:rFonts w:ascii="Times New Roman;serif" w:hAnsi="Times New Roman;serif"/>
          <w:b/>
          <w:color w:val="000000"/>
          <w:sz w:val="22"/>
        </w:rPr>
        <w:t>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22, 2026, The Toro Company (the “Company”) announced a planned leadership transition as part of its long-term succession planning process. On July 21, 2026, the Board of Directors (the “Board”) of the Company elected Edric C. Funk as President and Chief Executive Officer, effective as of November 1, 2026, and elected him as a member of the Board effective immediately.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succession plan, current Chairman and Chief Executive Officer, Richard M. Olson, will transition to the role of Executive Chairman, effective November 1, 2026. Mr. Olson has served as the Company’s Chief Executive Officer since November 2016 and Chairman of the Board since November 2017.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Mr. Funk, age 54, joined the Company in 1996 as a design engineer. He transitioned to marketing in 2003 and held roles of increasing responsibility in the Company’s Residential, Landscape Contractor, International, and Commercial businesses. In 2014, Mr. Funk was promoted to director of global product management for the Commercial and International businesses, and in 2017, he was named managing director of the Company’s Center for Technology, Research &amp; Innovation. Mr. Funk became the general manager of the Sitework Systems business in November 2020, before being promoted to group vice president of Golf, Grounds and Irrigation in November 2022. Mr. Funk began serving as the Company’s President and Chief Operating Officer in September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Mr. Funk’s promotion to President and Chief Executive Officer, the Board, upon recommendation of the Compensation &amp; Human Resources Committee of the Board (the “Committee”), (i) increased Mr. Funk’s annual base salary from $715,000 to $1,000,000, effective November 1, 2026, and (ii) set Mr. Funk’s fiscal 2027 annual cash incentive payout target percentage at 120% of his base salary, with such payout to be based on corporate performance measures, weightings and goals that will be determined by the Committee at its meeting expected to be held in December 2026. Any other compensation for Mr. Funk, including the grant of any equity awards, will be determined by the Committee at its meeting expected to be held in December 2026. Effective as of November 1, 2026, Mr. Funk will be eligible for the perquisites available to the Chief Executive Officer as generally described in the Company’s Schedule 14A, Definitive Proxy Statement for its 2026 Annual Meeting of Stockholders under the heading “Executive Compensation” that was filed with the Securities and Exchange Commission on February 3, 2026 (the “Proxy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on July 21, 2026, the Board increased the size of the Board from nine to ten directors and elected Mr. Funk to fill the vacancy created by such increase, effective immediately. Mr. Funk joins the class of directors having a term ending at the Company’s 2027 Annual Meeting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are no other arrangements or understandings between Mr. Funk and any other person pursuant to which he was selected as the Company’s President and Chief Executive Officer or a director of the Company. As of the time of the filing of this report, the Company has not entered into any other material plan, contract or arrangement to which Mr. Funk is a party or in which he participates, or any material amendment, in connection with the election described above. There have been no transactions since the beginning of the Company’s last fiscal year, or are currently proposed, regarding Mr. Funk that are required to be disclosed by Item 404(a) of Regulation S-K and Mr. Funk does not have any “family relationships,” as that term is defined in Item 401(d) of Regulation S-K, with any other executive officer or any director of the Company. As an employee director, Mr. Funk will not receive any director fees or other separate compensation for service on the Board for the period during which he is an employee of the Company and Mr. Funk will not serve on any committees of the Board.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Mr. Olson’s election as Executive Chairman, and upon recommendation of the Committee, the Board (i) set Mr. Olson’s annual base salary at $763,000, effective as of November 1, 2026, and (ii) set Mr. Olson’s fiscal 2027 annual cash incentive payout target percentage at 130% of his base salary, with such payout to be based on corporate performance measures and weightings that will be determined by the Committee at its meeting expected to be held in December 2026. Any other compensation for Mr. Olson, including the grant of any equity awards, will be determined by the Committee at its meeting expected to be held in December 2026. As Executive Chairman, Mr. Olson will continue to be eligible for the perquisites that were available to him as Chief Executive Officer as generally described in the Proxy Statement.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Section 7 - Regulation FD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Attached to this Current Report on Form 8-K as Exhibit 99.1 is a copy of the press release issued by the Company in connection with the announcement of the election of Mr. Funk as President and Chief Executive Officer and Mr. Olson as Executive Chairman.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Section 9 - Financial Statements and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(d)    Exhibits. </w:t>
      </w:r>
    </w:p>
    <w:p>
      <w:pPr>
        <w:pStyle w:val="TextBody"/>
        <w:bidi w:val="0"/>
        <w:spacing w:before="0" w:after="0"/>
        <w:jc w:val="left"/>
        <w:rPr/>
      </w:pPr>
      <w:r>
        <w:rPr/>
      </w:r>
    </w:p>
    <w:tbl>
      <w:tblPr>
        <w:tblW w:w="9746" w:type="dxa"/>
        <w:jc w:val="left"/>
        <w:tblInd w:w="0" w:type="dxa"/>
        <w:tblLayout w:type="fixed"/>
        <w:tblCellMar>
          <w:top w:w="28" w:type="dxa"/>
          <w:left w:w="28" w:type="dxa"/>
          <w:bottom w:w="28" w:type="dxa"/>
          <w:right w:w="28" w:type="dxa"/>
        </w:tblCellMar>
      </w:tblPr>
      <w:tblGrid>
        <w:gridCol w:w="445"/>
        <w:gridCol w:w="391"/>
        <w:gridCol w:w="393"/>
        <w:gridCol w:w="2713"/>
        <w:gridCol w:w="2713"/>
        <w:gridCol w:w="271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Exhibit No.</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99.1</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ressrelease07222026.htm">
              <w:r>
                <w:rPr>
                  <w:rStyle w:val="InternetLink"/>
                  <w:rFonts w:ascii="Times New Roman;serif" w:hAnsi="Times New Roman;serif"/>
                  <w:b w:val="false"/>
                  <w:color w:val="0000FF"/>
                  <w:sz w:val="22"/>
                  <w:u w:val="single"/>
                </w:rPr>
                <w:t xml:space="preserve">Press release dated July 22, 2026 issued by The Toro Company (furnished herewith). </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104</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Cover Page Interactive Data File (embedded within the Inline XBRL document).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69" w:type="dxa"/>
        <w:jc w:val="center"/>
        <w:tblInd w:w="0" w:type="dxa"/>
        <w:tblLayout w:type="fixed"/>
        <w:tblCellMar>
          <w:top w:w="28" w:type="dxa"/>
          <w:left w:w="28" w:type="dxa"/>
          <w:bottom w:w="28" w:type="dxa"/>
          <w:right w:w="28" w:type="dxa"/>
        </w:tblCellMar>
      </w:tblPr>
      <w:tblGrid>
        <w:gridCol w:w="711"/>
        <w:gridCol w:w="625"/>
        <w:gridCol w:w="628"/>
        <w:gridCol w:w="1610"/>
        <w:gridCol w:w="1610"/>
        <w:gridCol w:w="228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TORO COMPANY</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July 22, 2026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Joanna M. Totsky</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Joanna M. Totsky</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762250"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762250" cy="714375"/>
                    </a:xfrm>
                    <a:prstGeom prst="rect">
                      <a:avLst/>
                    </a:prstGeom>
                  </pic:spPr>
                </pic:pic>
              </a:graphicData>
            </a:graphic>
          </wp:inline>
        </w:drawing>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Heather Hille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Vice President, Corporate Affairs and Investor Relations</w:t>
      </w:r>
    </w:p>
    <w:p>
      <w:pPr>
        <w:pStyle w:val="TextBody"/>
        <w:bidi w:val="0"/>
        <w:spacing w:lineRule="auto" w:line="268" w:before="0" w:after="0"/>
        <w:jc w:val="left"/>
        <w:rPr/>
      </w:pPr>
      <w:r>
        <w:rPr>
          <w:rFonts w:ascii="Arial;sans-serif" w:hAnsi="Arial;sans-serif"/>
          <w:b w:val="false"/>
          <w:color w:val="000000"/>
          <w:sz w:val="20"/>
        </w:rPr>
        <w:t xml:space="preserve">(952) 887-8923, </w:t>
      </w:r>
      <w:r>
        <w:rPr>
          <w:rFonts w:ascii="Arial;sans-serif" w:hAnsi="Arial;sans-serif"/>
          <w:b w:val="false"/>
          <w:color w:val="467886"/>
          <w:sz w:val="20"/>
        </w:rPr>
        <w:t>heather.hille@toro.com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Branden Happel</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Senior Manager, Public Relations</w:t>
      </w:r>
    </w:p>
    <w:p>
      <w:pPr>
        <w:pStyle w:val="TextBody"/>
        <w:bidi w:val="0"/>
        <w:spacing w:lineRule="auto" w:line="268" w:before="0" w:after="0"/>
        <w:jc w:val="left"/>
        <w:rPr/>
      </w:pPr>
      <w:r>
        <w:rPr>
          <w:rFonts w:ascii="Arial;sans-serif" w:hAnsi="Arial;sans-serif"/>
          <w:b w:val="false"/>
          <w:color w:val="000000"/>
          <w:sz w:val="20"/>
        </w:rPr>
        <w:t xml:space="preserve">(952) 887-8930, </w:t>
      </w:r>
      <w:r>
        <w:rPr>
          <w:rFonts w:ascii="Arial;sans-serif" w:hAnsi="Arial;sans-serif"/>
          <w:b w:val="false"/>
          <w:color w:val="467886"/>
          <w:sz w:val="20"/>
        </w:rPr>
        <w:t>branden.happel@toro.com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2"/>
        </w:rPr>
      </w:pPr>
      <w:r>
        <w:rPr>
          <w:rFonts w:ascii="Arial;sans-serif" w:hAnsi="Arial;sans-serif"/>
          <w:b w:val="false"/>
          <w:i/>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The Toro Company Elects President and Chief Operating Officer Edric C. Funk to Succeed Richard M. Olson as Chief Executive Officer as Part of Planned Succession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BLOOMINGTON, Minn. (July 22, 2026) – The Toro Company (NYSE: TTC), a leading global provider of solutions for the outdoor environment, today announced a leadership transition as part of its long-term, succession planning process. On July 21, 2026, the company’s board of directors elected president and chief operating officer Edric C. Funk to the position of president and chief executive officer, effective November 1, 2026. He will also join the board of directors, effective immediately. Funk will succeed Richard M. Olson, who will transition to the role of executive chairman of the board following more than four decades with the company, most recently as chief executive officer since 2016.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2"/>
        </w:rPr>
        <w:t>Edric is a proven and highly respected leader within The Toro Company and across the markets we serve,” said Olson. “His outstanding track record of performance and accountability exemplifies what is possible when strong results are balanced with a deep commitment to people and purpose. Throughout his tenure, he has consistently executed key priorities to deliver shareholder value, inspire teams and foster trusting relationships. I have great confidence in the future of The Toro Company under Edric’s leadership to further build on our legacy of innovation and success.” Funk, a 30-year veteran of the company, has served as president and chief operating officer since September 2025 with responsibility for all its global businesses and integrated supply chain operations.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Since joining The Toro Company in 1996 as a design engineer, Funk has developed a deep understanding of its industries and customers through leadership roles spanning engineering, marketing, global product management and technology innovation. He led the company’s Center for Technology, Research and Innovation in 2017, became general manager of the Sitework Systems business in 2020, and later served as group vice president of Golf, Grounds and Irrigation, where he continued to play an influential role in shaping the company’s approach to technical innovation, while demonstrating an appreciation for strong customer relationships, disciplined execution and collaborative leadership.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"It is an honor to take on this role and continue building upon The Toro Company's longstanding commitment to excellence," said Funk. “I am grateful for the confidence and support of the board and extend my sincere appreciation to Rick for his leadership and mentorship. Over the past 30 years, I've had the opportunity to work alongside our exceptional global teams and gain a deep appreciation for the relationships, innovation and customer focus that serve as hallmarks of the company. I look forward to building on those strengths as we advance our market leadership and deliver long-term value for our stakeholders.”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Funk holds a Bachelor of Science in engineering from the University of Minnesota and an MBA from the University of Minnesota – Carlson School of Management. He also has a professional certificate in innovation and technology from the Massachusetts Institute of Technology. He serves on the boards of the National Golf Foundation and The Toro Company Foundation.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2"/>
        </w:rPr>
        <w:t>On behalf of the entire board, we thank Rick for his outstanding leadership and partnership,” said Jeffrey L. Harmening, lead independent director. “His stewardship of The Toro Company has driven strong performance, enhanced shareholder value, and strengthened the company’s position for the future. We are pleased that the organization will continue to benefit from his leadership as executive chairman.”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Olson transitions to executive chairman following a 40-year career at The Toro Company, beginning as a process engineer in Windom, Minnesota. During his tenure as CEO, The Toro Company team has focused on accelerating profitable growth, driving productivity and operational excellence, and empowering people. The company has doubled revenue, expanded into infrastructure markets through strategic acquisitions such as Charles Machine Works, and invested in technology to be a leader in electrification, smart connectivity and robotic solutions. This momentum reflects the strength of The Toro Company’s teams and their unwavering commitment to the company’s purpose of helping customers enrich the beauty, productivity and sustainability of the land, while fostering a culture deeply rooted in people and performance values.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About The Toro Company</w:t>
      </w:r>
    </w:p>
    <w:p>
      <w:pPr>
        <w:pStyle w:val="TextBody"/>
        <w:bidi w:val="0"/>
        <w:spacing w:lineRule="auto" w:line="268" w:before="0" w:after="0"/>
        <w:jc w:val="both"/>
        <w:rPr/>
      </w:pPr>
      <w:r>
        <w:rPr>
          <w:rFonts w:ascii="Arial;sans-serif" w:hAnsi="Arial;sans-serif"/>
          <w:b w:val="false"/>
          <w:color w:val="0A0A0A"/>
          <w:sz w:val="22"/>
          <w:shd w:fill="FFFFFF" w:val="clear"/>
        </w:rPr>
        <w:t xml:space="preserve">The Toro Company (NYSE: TTC) is a leading global provider of solutions for the outdoor environment including turf and landscape maintenance, snow and ice management, underground construction, rental and specialty construction, and irrigation and outdoor lighting solutions. With net sales of $4.5 billion in fiscal 2025,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sans-serif" w:hAnsi="Arial;sans-serif"/>
          <w:b w:val="false"/>
          <w:color w:val="467886"/>
          <w:sz w:val="22"/>
          <w:shd w:fill="FFFFFF" w:val="clear"/>
        </w:rPr>
        <w:t>www.thetorocompany.com</w:t>
      </w:r>
      <w:r>
        <w:rPr>
          <w:rFonts w:ascii="Arial;sans-serif" w:hAnsi="Arial;sans-serif"/>
          <w:b w:val="false"/>
          <w:color w:val="0A0A0A"/>
          <w:sz w:val="22"/>
          <w:shd w:fill="FFFFFF" w:val="clear"/>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A0A0A"/>
          <w:sz w:val="22"/>
          <w:shd w:fill="FFFFFF" w:val="clear"/>
        </w:rPr>
      </w:pPr>
      <w:r>
        <w:rPr>
          <w:rFonts w:ascii="Arial;sans-serif" w:hAnsi="Arial;sans-serif"/>
          <w:b/>
          <w:color w:val="0A0A0A"/>
          <w:sz w:val="22"/>
          <w:shd w:fill="FFFFFF" w:val="clear"/>
        </w:rPr>
        <w:t>Forward-Looking Statements</w:t>
      </w:r>
    </w:p>
    <w:p>
      <w:pPr>
        <w:pStyle w:val="TextBody"/>
        <w:bidi w:val="0"/>
        <w:spacing w:lineRule="auto" w:line="268"/>
        <w:jc w:val="both"/>
        <w:rPr>
          <w:rFonts w:ascii="Arial;sans-serif" w:hAnsi="Arial;sans-serif"/>
          <w:b w:val="false"/>
          <w:color w:val="0A0A0A"/>
          <w:sz w:val="22"/>
          <w:shd w:fill="FFFFFF" w:val="clear"/>
        </w:rPr>
      </w:pPr>
      <w:r>
        <w:rPr>
          <w:rFonts w:ascii="Arial;sans-serif" w:hAnsi="Arial;sans-serif"/>
          <w:b w:val="false"/>
          <w:color w:val="0A0A0A"/>
          <w:sz w:val="22"/>
          <w:shd w:fill="FFFFFF" w:val="clear"/>
        </w:rPr>
        <w:t xml:space="preserve">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"confidence," "continue," "could," "expect," "future," "intend," "look forward," "may," "plan," "position," "potential," "strategy," "will," "would,"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statements regarding the company's leadership transition, the anticipated effectiveness of succession planning, the expected contributions and capabilities of Funk in his new role, and the company's future strategic direction and performance. Particular risks and uncertainties that may cause actual events and results to differ materially from those projected or implied include: risks associated with leadership transition, including the ability to successfully execute the transition and retention of key personnel and management; adverse worldwide economic conditions, including inflationary pressures and higher interest rates; the effect of abnormal weather patterns; customer, government and municipal revenue, budget spending levels and cash conservation efforts; loss of any substantial customer or strategic partnership;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recent acquisition of Tornado Infrastructure Equipment Ltd. and possible additional future impairment of goodwill or other intangible assets; impacts of AMP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A0A0A"/>
          <w:sz w:val="22"/>
          <w:shd w:fill="FFFFFF" w:val="clear"/>
        </w:rPr>
      </w:pPr>
      <w:r>
        <w:rPr>
          <w:rFonts w:ascii="Arial;sans-serif" w:hAnsi="Arial;sans-serif"/>
          <w:b w:val="false"/>
          <w:color w:val="0A0A0A"/>
          <w:sz w:val="22"/>
          <w:shd w:fill="FFFFFF" w:val="clear"/>
        </w:rPr>
        <w:t>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A0A0A"/>
          <w:sz w:val="22"/>
          <w:shd w:fill="FFFFFF" w:val="clear"/>
        </w:rPr>
      </w:pPr>
      <w:r>
        <w:rPr>
          <w:rFonts w:ascii="Arial;sans-serif" w:hAnsi="Arial;sans-serif"/>
          <w:b w:val="false"/>
          <w:color w:val="0A0A0A"/>
          <w:sz w:val="22"/>
          <w:shd w:fill="FFFFFF" w:val="clear"/>
        </w:rPr>
        <w: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2722</Words>
  <Characters>15441</Characters>
  <CharactersWithSpaces>18092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