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668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6681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WOLFE STEPHEN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12/01/2009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46"/>
        <w:spacing w:after="0"/>
        <w:rPr>
          <w:sz w:val="20"/>
          <w:szCs w:val="20"/>
          <w:color w:val="auto"/>
        </w:rPr>
      </w:pPr>
      <w:r>
        <w:rPr>
          <w:rFonts w:ascii="Arial" w:cs="Arial" w:eastAsia="Arial" w:hAnsi="Arial"/>
          <w:sz w:val="17"/>
          <w:szCs w:val="17"/>
          <w:color w:val="0000FF"/>
        </w:rPr>
        <w:t>VP, Finance &amp; CFO</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5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560" w:type="dxa"/>
            <w:vAlign w:val="bottom"/>
          </w:tcPr>
          <w:p>
            <w:pPr>
              <w:spacing w:after="0"/>
              <w:rPr>
                <w:sz w:val="11"/>
                <w:szCs w:val="11"/>
                <w:color w:val="auto"/>
              </w:rPr>
            </w:pPr>
          </w:p>
        </w:tc>
        <w:tc>
          <w:tcPr>
            <w:tcW w:w="182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560" w:type="dxa"/>
            <w:vAlign w:val="bottom"/>
          </w:tcPr>
          <w:p>
            <w:pPr>
              <w:spacing w:after="0"/>
              <w:rPr>
                <w:sz w:val="11"/>
                <w:szCs w:val="11"/>
                <w:color w:val="auto"/>
              </w:rPr>
            </w:pPr>
          </w:p>
        </w:tc>
        <w:tc>
          <w:tcPr>
            <w:tcW w:w="1820" w:type="dxa"/>
            <w:vAlign w:val="bottom"/>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5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9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5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5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5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215"/>
        </w:trPr>
        <w:tc>
          <w:tcPr>
            <w:tcW w:w="256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vMerge w:val="restart"/>
          </w:tcPr>
          <w:p>
            <w:pPr>
              <w:ind w:left="380"/>
              <w:spacing w:after="0"/>
              <w:rPr>
                <w:sz w:val="20"/>
                <w:szCs w:val="20"/>
                <w:color w:val="auto"/>
              </w:rPr>
            </w:pPr>
            <w:r>
              <w:rPr>
                <w:rFonts w:ascii="Arial" w:cs="Arial" w:eastAsia="Arial" w:hAnsi="Arial"/>
                <w:sz w:val="17"/>
                <w:szCs w:val="17"/>
                <w:color w:val="0000FF"/>
              </w:rPr>
              <w:t>55,312</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For</w:t>
            </w:r>
          </w:p>
        </w:tc>
        <w:tc>
          <w:tcPr>
            <w:tcW w:w="0" w:type="dxa"/>
            <w:vAlign w:val="bottom"/>
          </w:tcPr>
          <w:p>
            <w:pPr>
              <w:spacing w:after="0"/>
              <w:rPr>
                <w:sz w:val="1"/>
                <w:szCs w:val="1"/>
                <w:color w:val="auto"/>
              </w:rPr>
            </w:pPr>
          </w:p>
        </w:tc>
      </w:tr>
      <w:tr>
        <w:trPr>
          <w:trHeight w:val="114"/>
        </w:trPr>
        <w:tc>
          <w:tcPr>
            <w:tcW w:w="256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80" w:type="dxa"/>
            <w:vAlign w:val="bottom"/>
            <w:vMerge w:val="restart"/>
          </w:tcPr>
          <w:p>
            <w:pPr>
              <w:ind w:left="80"/>
              <w:spacing w:after="0"/>
              <w:rPr>
                <w:sz w:val="20"/>
                <w:szCs w:val="20"/>
                <w:color w:val="auto"/>
              </w:rPr>
            </w:pPr>
            <w:r>
              <w:rPr>
                <w:rFonts w:ascii="Arial" w:cs="Arial" w:eastAsia="Arial" w:hAnsi="Arial"/>
                <w:sz w:val="17"/>
                <w:szCs w:val="17"/>
                <w:color w:val="0000FF"/>
              </w:rPr>
              <w:t>Reporting</w:t>
            </w:r>
          </w:p>
        </w:tc>
        <w:tc>
          <w:tcPr>
            <w:tcW w:w="0" w:type="dxa"/>
            <w:vAlign w:val="bottom"/>
          </w:tcPr>
          <w:p>
            <w:pPr>
              <w:spacing w:after="0"/>
              <w:rPr>
                <w:sz w:val="1"/>
                <w:szCs w:val="1"/>
                <w:color w:val="auto"/>
              </w:rPr>
            </w:pPr>
          </w:p>
        </w:tc>
      </w:tr>
      <w:tr>
        <w:trPr>
          <w:trHeight w:val="107"/>
        </w:trPr>
        <w:tc>
          <w:tcPr>
            <w:tcW w:w="25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500"/>
        <w:spacing w:after="0"/>
        <w:rPr>
          <w:sz w:val="20"/>
          <w:szCs w:val="20"/>
          <w:color w:val="auto"/>
        </w:rPr>
      </w:pPr>
      <w:r>
        <w:rPr>
          <w:rFonts w:ascii="Arial" w:cs="Arial" w:eastAsia="Arial" w:hAnsi="Arial"/>
          <w:sz w:val="17"/>
          <w:szCs w:val="17"/>
          <w:color w:val="0000FF"/>
        </w:rPr>
        <w:t>Person</w:t>
      </w:r>
    </w:p>
    <w:p>
      <w:pPr>
        <w:spacing w:after="0" w:line="146"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The Toro</w:t>
      </w:r>
    </w:p>
    <w:p>
      <w:pPr>
        <w:spacing w:after="0" w:line="26"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Company</w:t>
      </w:r>
    </w:p>
    <w:p>
      <w:pPr>
        <w:ind w:left="80"/>
        <w:spacing w:after="0"/>
        <w:tabs>
          <w:tab w:leader="none" w:pos="8400" w:val="left"/>
          <w:tab w:leader="none" w:pos="9920" w:val="left"/>
          <w:tab w:leader="none" w:pos="10480" w:val="left"/>
        </w:tabs>
        <w:rPr>
          <w:sz w:val="20"/>
          <w:szCs w:val="20"/>
          <w:color w:val="auto"/>
        </w:rPr>
      </w:pPr>
      <w:r>
        <w:rPr>
          <w:rFonts w:ascii="Arial" w:cs="Arial" w:eastAsia="Arial" w:hAnsi="Arial"/>
          <w:sz w:val="17"/>
          <w:szCs w:val="17"/>
          <w:color w:val="0000FF"/>
        </w:rPr>
        <w:t>Common Stock</w:t>
      </w:r>
      <w:r>
        <w:rPr>
          <w:sz w:val="20"/>
          <w:szCs w:val="20"/>
          <w:color w:val="auto"/>
        </w:rPr>
        <w:tab/>
      </w:r>
      <w:r>
        <w:rPr>
          <w:rFonts w:ascii="Arial" w:cs="Arial" w:eastAsia="Arial" w:hAnsi="Arial"/>
          <w:sz w:val="17"/>
          <w:szCs w:val="17"/>
          <w:color w:val="0000FF"/>
        </w:rPr>
        <w:t>28,154.568</w:t>
      </w:r>
      <w:r>
        <w:rPr>
          <w:rFonts w:ascii="Arial" w:cs="Arial" w:eastAsia="Arial" w:hAnsi="Arial"/>
          <w:sz w:val="22"/>
          <w:szCs w:val="22"/>
          <w:color w:val="008000"/>
          <w:vertAlign w:val="superscript"/>
        </w:rPr>
        <w:t>(1)</w:t>
      </w:r>
      <w:r>
        <w:rPr>
          <w:sz w:val="20"/>
          <w:szCs w:val="20"/>
          <w:color w:val="auto"/>
        </w:rPr>
        <w:tab/>
      </w:r>
      <w:r>
        <w:rPr>
          <w:rFonts w:ascii="Arial" w:cs="Arial" w:eastAsia="Arial" w:hAnsi="Arial"/>
          <w:sz w:val="17"/>
          <w:szCs w:val="17"/>
          <w:color w:val="0000FF"/>
        </w:rPr>
        <w:t>I</w:t>
      </w:r>
      <w:r>
        <w:rPr>
          <w:sz w:val="20"/>
          <w:szCs w:val="20"/>
          <w:color w:val="auto"/>
        </w:rPr>
        <w:tab/>
      </w:r>
      <w:r>
        <w:rPr>
          <w:rFonts w:ascii="Arial" w:cs="Arial" w:eastAsia="Arial" w:hAnsi="Arial"/>
          <w:sz w:val="15"/>
          <w:szCs w:val="15"/>
          <w:color w:val="0000FF"/>
        </w:rPr>
        <w:t>Investment,</w:t>
      </w:r>
    </w:p>
    <w:p>
      <w:pPr>
        <w:spacing w:after="0" w:line="1"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Savings &amp;</w:t>
      </w:r>
    </w:p>
    <w:p>
      <w:pPr>
        <w:spacing w:after="0" w:line="12"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ESOP</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 w:type="dxa"/>
            <w:vAlign w:val="bottom"/>
          </w:tcPr>
          <w:p>
            <w:pPr>
              <w:spacing w:after="0"/>
              <w:rPr>
                <w:sz w:val="24"/>
                <w:szCs w:val="24"/>
                <w:color w:val="auto"/>
              </w:rPr>
            </w:pPr>
          </w:p>
        </w:tc>
        <w:tc>
          <w:tcPr>
            <w:tcW w:w="50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 Units</w:t>
            </w:r>
          </w:p>
        </w:tc>
        <w:tc>
          <w:tcPr>
            <w:tcW w:w="4540" w:type="dxa"/>
            <w:vAlign w:val="bottom"/>
            <w:tcBorders>
              <w:bottom w:val="single" w:sz="8" w:color="2C2C2C"/>
            </w:tcBorders>
          </w:tcPr>
          <w:p>
            <w:pPr>
              <w:jc w:val="center"/>
              <w:ind w:left="2933"/>
              <w:spacing w:after="0"/>
              <w:rPr>
                <w:sz w:val="20"/>
                <w:szCs w:val="20"/>
                <w:color w:val="auto"/>
              </w:rPr>
            </w:pPr>
            <w:r>
              <w:rPr>
                <w:rFonts w:ascii="Arial" w:cs="Arial" w:eastAsia="Arial" w:hAnsi="Arial"/>
                <w:sz w:val="17"/>
                <w:szCs w:val="17"/>
                <w:color w:val="0000FF"/>
                <w:w w:val="89"/>
              </w:rPr>
              <w:t>24,563.089</w:t>
            </w:r>
            <w:r>
              <w:rPr>
                <w:rFonts w:ascii="Arial" w:cs="Arial" w:eastAsia="Arial" w:hAnsi="Arial"/>
                <w:sz w:val="22"/>
                <w:szCs w:val="22"/>
                <w:color w:val="008000"/>
                <w:w w:val="89"/>
                <w:vertAlign w:val="superscript"/>
              </w:rPr>
              <w:t>(2)</w:t>
            </w:r>
          </w:p>
        </w:tc>
        <w:tc>
          <w:tcPr>
            <w:tcW w:w="17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9"/>
        </w:trPr>
        <w:tc>
          <w:tcPr>
            <w:tcW w:w="20" w:type="dxa"/>
            <w:vAlign w:val="bottom"/>
          </w:tcPr>
          <w:p>
            <w:pPr>
              <w:spacing w:after="0"/>
              <w:rPr>
                <w:sz w:val="24"/>
                <w:szCs w:val="24"/>
                <w:color w:val="auto"/>
              </w:rPr>
            </w:pPr>
          </w:p>
        </w:tc>
        <w:tc>
          <w:tcPr>
            <w:tcW w:w="50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Matching Units</w:t>
            </w:r>
          </w:p>
        </w:tc>
        <w:tc>
          <w:tcPr>
            <w:tcW w:w="4540" w:type="dxa"/>
            <w:vAlign w:val="bottom"/>
            <w:tcBorders>
              <w:bottom w:val="single" w:sz="8" w:color="2C2C2C"/>
            </w:tcBorders>
          </w:tcPr>
          <w:p>
            <w:pPr>
              <w:jc w:val="center"/>
              <w:ind w:left="2933"/>
              <w:spacing w:after="0"/>
              <w:rPr>
                <w:sz w:val="20"/>
                <w:szCs w:val="20"/>
                <w:color w:val="auto"/>
              </w:rPr>
            </w:pPr>
            <w:r>
              <w:rPr>
                <w:rFonts w:ascii="Arial" w:cs="Arial" w:eastAsia="Arial" w:hAnsi="Arial"/>
                <w:sz w:val="17"/>
                <w:szCs w:val="17"/>
                <w:color w:val="0000FF"/>
                <w:w w:val="89"/>
              </w:rPr>
              <w:t>12,281.518</w:t>
            </w:r>
            <w:r>
              <w:rPr>
                <w:rFonts w:ascii="Arial" w:cs="Arial" w:eastAsia="Arial" w:hAnsi="Arial"/>
                <w:sz w:val="22"/>
                <w:szCs w:val="22"/>
                <w:color w:val="008000"/>
                <w:w w:val="89"/>
                <w:vertAlign w:val="superscript"/>
              </w:rPr>
              <w:t>(3)</w:t>
            </w:r>
          </w:p>
        </w:tc>
        <w:tc>
          <w:tcPr>
            <w:tcW w:w="17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50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Performance Share Units</w:t>
            </w:r>
          </w:p>
        </w:tc>
        <w:tc>
          <w:tcPr>
            <w:tcW w:w="4540" w:type="dxa"/>
            <w:vAlign w:val="bottom"/>
            <w:tcBorders>
              <w:bottom w:val="single" w:sz="8" w:color="2C2C2C"/>
            </w:tcBorders>
          </w:tcPr>
          <w:p>
            <w:pPr>
              <w:jc w:val="center"/>
              <w:ind w:left="2933"/>
              <w:spacing w:after="0"/>
              <w:rPr>
                <w:sz w:val="20"/>
                <w:szCs w:val="20"/>
                <w:color w:val="auto"/>
              </w:rPr>
            </w:pPr>
            <w:r>
              <w:rPr>
                <w:rFonts w:ascii="Arial" w:cs="Arial" w:eastAsia="Arial" w:hAnsi="Arial"/>
                <w:sz w:val="17"/>
                <w:szCs w:val="17"/>
                <w:color w:val="0000FF"/>
                <w:w w:val="88"/>
              </w:rPr>
              <w:t>208,156.202</w:t>
            </w:r>
            <w:r>
              <w:rPr>
                <w:rFonts w:ascii="Arial" w:cs="Arial" w:eastAsia="Arial" w:hAnsi="Arial"/>
                <w:sz w:val="22"/>
                <w:szCs w:val="22"/>
                <w:color w:val="008000"/>
                <w:w w:val="88"/>
                <w:vertAlign w:val="superscript"/>
              </w:rPr>
              <w:t>(4)</w:t>
            </w:r>
          </w:p>
        </w:tc>
        <w:tc>
          <w:tcPr>
            <w:tcW w:w="17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5080" w:type="dxa"/>
            <w:vAlign w:val="bottom"/>
            <w:tcBorders>
              <w:top w:val="single" w:sz="8" w:color="808080"/>
            </w:tcBorders>
            <w:shd w:val="clear" w:color="auto" w:fill="2C2C2C"/>
          </w:tcPr>
          <w:p>
            <w:pPr>
              <w:spacing w:after="0" w:line="20" w:lineRule="exact"/>
              <w:rPr>
                <w:sz w:val="1"/>
                <w:szCs w:val="1"/>
                <w:color w:val="auto"/>
              </w:rPr>
            </w:pPr>
          </w:p>
        </w:tc>
        <w:tc>
          <w:tcPr>
            <w:tcW w:w="4540" w:type="dxa"/>
            <w:vAlign w:val="bottom"/>
            <w:tcBorders>
              <w:top w:val="single" w:sz="8" w:color="808080"/>
            </w:tcBorders>
            <w:shd w:val="clear" w:color="auto" w:fill="2C2C2C"/>
          </w:tcPr>
          <w:p>
            <w:pPr>
              <w:spacing w:after="0" w:line="20" w:lineRule="exact"/>
              <w:rPr>
                <w:sz w:val="1"/>
                <w:szCs w:val="1"/>
                <w:color w:val="auto"/>
              </w:rPr>
            </w:pPr>
          </w:p>
        </w:tc>
        <w:tc>
          <w:tcPr>
            <w:tcW w:w="1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41"/>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40.73</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12/01/2009</w:t>
            </w:r>
          </w:p>
        </w:tc>
        <w:tc>
          <w:tcPr>
            <w:tcW w:w="1120" w:type="dxa"/>
            <w:vAlign w:val="bottom"/>
          </w:tcPr>
          <w:p>
            <w:pPr>
              <w:spacing w:after="0"/>
              <w:rPr>
                <w:sz w:val="20"/>
                <w:szCs w:val="20"/>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22,500</w:t>
            </w:r>
          </w:p>
        </w:tc>
        <w:tc>
          <w:tcPr>
            <w:tcW w:w="300" w:type="dxa"/>
            <w:vAlign w:val="bottom"/>
          </w:tcPr>
          <w:p>
            <w:pPr>
              <w:spacing w:after="0"/>
              <w:rPr>
                <w:sz w:val="20"/>
                <w:szCs w:val="20"/>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12/01/2019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22,500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22,500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0"/>
                <w:szCs w:val="20"/>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20" w:firstLine="8"/>
        <w:spacing w:after="0" w:line="285"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under the dividend reinvestment feature of The Toro Company Investment, Savings &amp; ESOP (IS&amp;ESOP) since the date of his last report: 115.794 shares acquired on January 12, 2009, 160.557 shares acquired on April 13, 2009, 141.141 shares acquired on July 10, 2009, and 107.645 shares acquired on October 19, 2009. Also includes 163.857 shares acquired on March 5, 2009 through issuer contributions to the IS&amp;ESOP and an account adjustment (rounding) of 1.599 shares of common stock on January 12, 2009.</w:t>
      </w:r>
    </w:p>
    <w:p>
      <w:pPr>
        <w:spacing w:after="0" w:line="4" w:lineRule="exact"/>
        <w:rPr>
          <w:rFonts w:ascii="Arial" w:cs="Arial" w:eastAsia="Arial" w:hAnsi="Arial"/>
          <w:sz w:val="12"/>
          <w:szCs w:val="12"/>
          <w:color w:val="008000"/>
        </w:rPr>
      </w:pPr>
    </w:p>
    <w:p>
      <w:pPr>
        <w:ind w:left="40" w:right="20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Common Stock Units acquired by the reporting person under the dividend reinvestment feature of The Toro Company Deferred Compensation Plan for Officers since the date of his last report: 101.588 Common Stock Units acquired on January 12, 2009; 141.579 Common Stock Units acquired on April 13, 2009; 122.968 Common Stock Units acquired on July 10, 2009; and 94.240 Common Stock Units acquired on October 19, 2009.</w:t>
      </w:r>
    </w:p>
    <w:p>
      <w:pPr>
        <w:spacing w:after="0" w:line="21" w:lineRule="exact"/>
        <w:rPr>
          <w:rFonts w:ascii="Arial" w:cs="Arial" w:eastAsia="Arial" w:hAnsi="Arial"/>
          <w:sz w:val="13"/>
          <w:szCs w:val="13"/>
          <w:color w:val="008000"/>
        </w:rPr>
      </w:pPr>
    </w:p>
    <w:p>
      <w:pPr>
        <w:jc w:val="both"/>
        <w:ind w:left="40" w:right="50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Matching Units acquired by the reporting person under the dividend reinvestment feature of The Toro Company Deferred Compensation Plan for Officers since the date of his last report: 50.794 Matching Units acquired on January 12, 2009; 70.789 Matching Units acquired on April 13, 2009; 61.484 Matching Units acquired on July 10, 2009; and 47.120 Matching Units acquired on October 19, 2009.</w:t>
      </w:r>
    </w:p>
    <w:p>
      <w:pPr>
        <w:spacing w:after="0" w:line="21" w:lineRule="exact"/>
        <w:rPr>
          <w:rFonts w:ascii="Arial" w:cs="Arial" w:eastAsia="Arial" w:hAnsi="Arial"/>
          <w:sz w:val="13"/>
          <w:szCs w:val="13"/>
          <w:color w:val="008000"/>
        </w:rPr>
      </w:pPr>
    </w:p>
    <w:p>
      <w:pPr>
        <w:ind w:left="40" w:right="1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Performance Share Units acquired by the reporting person under the dividend reinvestment feature of The Toro Company Deferred Compensation Plan for Officers: 860.890 Performance Share Units acquired on January 12, 2009; 1,199.788 Performance Share Units acquired on April 13, 2009; 1,042.071 Performance Share Units acquired on July 10, 2009; and 798.625 Performance Share Units acquired on October 19, 2009.</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Amy E. Dahl,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12/03/2009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3199"/>
        <w:spacing w:after="0" w:line="25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Amy E. Dahl, Timothy P. Dordell and Stephen P. Wolfe, signing singly, true and lawful attorneys-in-fact relative to the filings identified below in connection with the undersigned's derivative and non-derivative securities of The Toro Company (the ?Company?) to:</w:t>
      </w:r>
    </w:p>
    <w:p>
      <w:pPr>
        <w:spacing w:after="0" w:line="200" w:lineRule="exact"/>
        <w:rPr>
          <w:sz w:val="20"/>
          <w:szCs w:val="20"/>
          <w:color w:val="auto"/>
        </w:rPr>
      </w:pPr>
    </w:p>
    <w:p>
      <w:pPr>
        <w:ind w:right="3419" w:firstLine="7"/>
        <w:spacing w:after="0" w:line="253"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in accordance with Section 16(a) of the Securities Exchange Act of 1934, as amended, and the rules thereunder;</w:t>
      </w:r>
    </w:p>
    <w:p>
      <w:pPr>
        <w:spacing w:after="0" w:line="195" w:lineRule="exact"/>
        <w:rPr>
          <w:rFonts w:ascii="Courier New" w:cs="Courier New" w:eastAsia="Courier New" w:hAnsi="Courier New"/>
          <w:sz w:val="17"/>
          <w:szCs w:val="17"/>
          <w:color w:val="auto"/>
        </w:rPr>
      </w:pPr>
    </w:p>
    <w:p>
      <w:pPr>
        <w:ind w:right="3519" w:firstLine="7"/>
        <w:spacing w:after="0" w:line="25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and 5 and the timely filing of suc forms with the United States Securities and Exchange Commission and any stock exchange or similar authority; and</w:t>
      </w:r>
    </w:p>
    <w:p>
      <w:pPr>
        <w:spacing w:after="0" w:line="196" w:lineRule="exact"/>
        <w:rPr>
          <w:rFonts w:ascii="Courier New" w:cs="Courier New" w:eastAsia="Courier New" w:hAnsi="Courier New"/>
          <w:sz w:val="17"/>
          <w:szCs w:val="17"/>
          <w:color w:val="auto"/>
        </w:rPr>
      </w:pPr>
    </w:p>
    <w:p>
      <w:pPr>
        <w:ind w:right="3299" w:firstLine="7"/>
        <w:spacing w:after="0" w:line="251"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either of their discretions.</w:t>
      </w:r>
    </w:p>
    <w:p>
      <w:pPr>
        <w:spacing w:after="0" w:line="199"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Power</w:t>
      </w:r>
    </w:p>
    <w:p>
      <w:pPr>
        <w:spacing w:after="0" w:line="9" w:lineRule="exact"/>
        <w:rPr>
          <w:sz w:val="20"/>
          <w:szCs w:val="20"/>
          <w:color w:val="auto"/>
        </w:rPr>
      </w:pPr>
    </w:p>
    <w:p>
      <w:pPr>
        <w:jc w:val="both"/>
        <w:ind w:right="3719"/>
        <w:spacing w:after="0" w:line="252" w:lineRule="auto"/>
        <w:rPr>
          <w:sz w:val="20"/>
          <w:szCs w:val="20"/>
          <w:color w:val="auto"/>
        </w:rPr>
      </w:pPr>
      <w:r>
        <w:rPr>
          <w:rFonts w:ascii="Courier New" w:cs="Courier New" w:eastAsia="Courier New" w:hAnsi="Courier New"/>
          <w:sz w:val="17"/>
          <w:szCs w:val="17"/>
          <w:color w:val="auto"/>
        </w:rPr>
        <w:t>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42" w:right="1440" w:bottom="1440" w:gutter="0" w:footer="0" w:header="0"/>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Stephen P. Wolfe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Stephen P. Wolfe</w:t>
      </w:r>
    </w:p>
    <w:p>
      <w:pPr>
        <w:spacing w:after="0" w:line="200" w:lineRule="exact"/>
        <w:rPr>
          <w:sz w:val="20"/>
          <w:szCs w:val="20"/>
          <w:color w:val="auto"/>
        </w:rPr>
      </w:pPr>
    </w:p>
    <w:p>
      <w:pPr>
        <w:sectPr>
          <w:pgSz w:w="11900" w:h="16838" w:orient="portrait"/>
          <w:cols w:equalWidth="0" w:num="2">
            <w:col w:w="960" w:space="720"/>
            <w:col w:w="8539"/>
          </w:cols>
          <w:pgMar w:left="240" w:top="142"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02/06/2009</w:t>
      </w:r>
    </w:p>
    <w:sectPr>
      <w:pgSz w:w="11900" w:h="16838" w:orient="portrait"/>
      <w:cols w:equalWidth="0" w:num="2">
        <w:col w:w="640" w:space="200"/>
        <w:col w:w="937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2019-12-17T00:08:47Z</dcterms:created>
  <dcterms:modified xsi:type="dcterms:W3CDTF">2019-12-17T00:08:47Z</dcterms:modified>
</cp:coreProperties>
</file>