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ALKIRE DAVID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VP, RLC Businesses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12/07/2017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8"/>
              </w:rPr>
              <w:t>5,722</w:t>
            </w:r>
            <w:r>
              <w:rPr>
                <w:rFonts w:ascii="Arial" w:cs="Arial" w:eastAsia="Arial" w:hAnsi="Arial"/>
                <w:sz w:val="22"/>
                <w:szCs w:val="22"/>
                <w:color w:val="008000"/>
                <w:w w:val="88"/>
                <w:vertAlign w:val="superscript"/>
              </w:rPr>
              <w:t>(1)</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5,722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968.948</w:t>
            </w:r>
            <w:r>
              <w:rPr>
                <w:rFonts w:ascii="Arial" w:cs="Arial" w:eastAsia="Arial" w:hAnsi="Arial"/>
                <w:sz w:val="22"/>
                <w:szCs w:val="22"/>
                <w:color w:val="008000"/>
                <w:w w:val="84"/>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11,470.439</w:t>
            </w:r>
            <w:r>
              <w:rPr>
                <w:rFonts w:ascii="Arial" w:cs="Arial" w:eastAsia="Arial" w:hAnsi="Arial"/>
                <w:sz w:val="22"/>
                <w:szCs w:val="22"/>
                <w:color w:val="008000"/>
                <w:w w:val="85"/>
                <w:vertAlign w:val="superscript"/>
              </w:rPr>
              <w:t>(3)</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4,930.617</w:t>
            </w:r>
            <w:r>
              <w:rPr>
                <w:rFonts w:ascii="Arial" w:cs="Arial" w:eastAsia="Arial" w:hAnsi="Arial"/>
                <w:sz w:val="22"/>
                <w:szCs w:val="22"/>
                <w:color w:val="008000"/>
                <w:w w:val="85"/>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2015 to Fiscal 2017 Performance Period (the "F'15-F'17 PSA") under The Toro Company Amended and Restated 2010 Equity and Incentive Plan, as amended and restated, as approved by the issuer's Compensation &amp; Human Resources Committee of its Board of Directors on December 5, 2017, and which was conditioned upon and subject to confirmation by the issuer's Fiscal 2017 financial results that were released on December 7, 2017. The reporting person's F'15-F'17 PSA was paid initially in the form of restricted stock units.</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10.783 shares of common stock acquired by the reporting person since the date of his last report under a dividend reinvestment feature of the account in which the shares are held.</w:t>
      </w:r>
    </w:p>
    <w:p>
      <w:pPr>
        <w:spacing w:after="0" w:line="64" w:lineRule="exact"/>
        <w:rPr>
          <w:rFonts w:ascii="Arial" w:cs="Arial" w:eastAsia="Arial" w:hAnsi="Arial"/>
          <w:sz w:val="12"/>
          <w:szCs w:val="12"/>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126.519 net shares acquired under the dividend reinvestment feature of The Toro Company Investment, Savings &amp; ESOP (the "IS&amp;ESOP") less quarterly non-discretionary administrative fees; and 65.429 shares acquired through issuer annual investment fund contributions to the IS&amp;ESOP.</w:t>
      </w: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54.617 performance share units acquired by the reporting person since the date of his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12/11/2017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741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2019-12-23T21:06:20Z</dcterms:created>
  <dcterms:modified xsi:type="dcterms:W3CDTF">2019-12-23T21:06:20Z</dcterms:modified>
</cp:coreProperties>
</file>