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3,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3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May 28, 2013 was 57,508,343.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360" w:type="dxa"/>
            <w:vAlign w:val="bottom"/>
          </w:tcPr>
          <w:p>
            <w:pPr>
              <w:spacing w:after="0"/>
              <w:rPr>
                <w:sz w:val="24"/>
                <w:szCs w:val="24"/>
                <w:color w:val="auto"/>
              </w:rPr>
            </w:pPr>
          </w:p>
        </w:tc>
        <w:tc>
          <w:tcPr>
            <w:tcW w:w="9660" w:type="dxa"/>
            <w:vAlign w:val="bottom"/>
            <w:gridSpan w:val="14"/>
          </w:tcPr>
          <w:p>
            <w:pPr>
              <w:ind w:left="3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360" w:type="dxa"/>
            <w:vAlign w:val="bottom"/>
          </w:tcPr>
          <w:p>
            <w:pPr>
              <w:spacing w:after="0"/>
              <w:rPr>
                <w:sz w:val="24"/>
                <w:szCs w:val="24"/>
                <w:color w:val="auto"/>
              </w:rPr>
            </w:pPr>
          </w:p>
        </w:tc>
        <w:tc>
          <w:tcPr>
            <w:tcW w:w="9660" w:type="dxa"/>
            <w:vAlign w:val="bottom"/>
            <w:gridSpan w:val="14"/>
          </w:tcPr>
          <w:p>
            <w:pPr>
              <w:ind w:left="38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and Six Months Ended May 3, 2013 and May 4,</w:t>
              </w:r>
            </w:hyperlink>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4"/>
          </w:tcPr>
          <w:p>
            <w:pPr>
              <w:ind w:left="920"/>
              <w:spacing w:after="0" w:line="196" w:lineRule="exact"/>
              <w:rPr>
                <w:rFonts w:ascii="Arial" w:cs="Arial" w:eastAsia="Arial" w:hAnsi="Arial"/>
                <w:sz w:val="18"/>
                <w:szCs w:val="18"/>
                <w:color w:val="0000EE"/>
                <w:w w:val="84"/>
              </w:rPr>
            </w:pPr>
            <w:hyperlink w:anchor="page2">
              <w:r>
                <w:rPr>
                  <w:rFonts w:ascii="Arial" w:cs="Arial" w:eastAsia="Arial" w:hAnsi="Arial"/>
                  <w:sz w:val="18"/>
                  <w:szCs w:val="18"/>
                  <w:color w:val="0000EE"/>
                  <w:w w:val="84"/>
                </w:rPr>
                <w:t>2012</w:t>
              </w:r>
            </w:hyperlink>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Condensed Consolidated Statements of Comprehensive Income (Unaudited) — Three and Six Months Ended May 3,</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2013 and May 4, 2012</w:t>
              </w:r>
            </w:hyperlink>
          </w:p>
        </w:tc>
        <w:tc>
          <w:tcPr>
            <w:tcW w:w="6620" w:type="dxa"/>
            <w:vAlign w:val="bottom"/>
            <w:tcBorders>
              <w:top w:val="single" w:sz="8" w:color="0000EE"/>
            </w:tcBorders>
            <w:gridSpan w:val="5"/>
          </w:tcPr>
          <w:p>
            <w:pPr>
              <w:spacing w:after="0"/>
              <w:rPr>
                <w:sz w:val="17"/>
                <w:szCs w:val="17"/>
                <w:color w:val="auto"/>
              </w:rPr>
            </w:pPr>
          </w:p>
        </w:tc>
        <w:tc>
          <w:tcPr>
            <w:tcW w:w="50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May 3, 2013, May 4, 2012, and October 31, 2012</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Cash Flows (Unaudited) — Six Months Ended May 3, 2013 and May 4, 2012</w:t>
              </w:r>
            </w:hyperlink>
          </w:p>
        </w:tc>
        <w:tc>
          <w:tcPr>
            <w:tcW w:w="46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1000" w:type="dxa"/>
            <w:vAlign w:val="bottom"/>
            <w:gridSpan w:val="3"/>
            <w:vMerge w:val="restart"/>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680" w:type="dxa"/>
            <w:vAlign w:val="bottom"/>
          </w:tcPr>
          <w:p>
            <w:pPr>
              <w:spacing w:after="0"/>
              <w:rPr>
                <w:sz w:val="17"/>
                <w:szCs w:val="17"/>
                <w:color w:val="auto"/>
              </w:rPr>
            </w:pPr>
          </w:p>
        </w:tc>
        <w:tc>
          <w:tcPr>
            <w:tcW w:w="7160" w:type="dxa"/>
            <w:vAlign w:val="bottom"/>
            <w:gridSpan w:val="9"/>
          </w:tcPr>
          <w:p>
            <w:pPr>
              <w:ind w:left="360"/>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70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680" w:type="dxa"/>
            <w:vAlign w:val="bottom"/>
          </w:tcPr>
          <w:p>
            <w:pPr>
              <w:spacing w:after="0"/>
              <w:rPr>
                <w:sz w:val="24"/>
                <w:szCs w:val="24"/>
                <w:color w:val="auto"/>
              </w:rPr>
            </w:pPr>
          </w:p>
        </w:tc>
        <w:tc>
          <w:tcPr>
            <w:tcW w:w="7160" w:type="dxa"/>
            <w:vAlign w:val="bottom"/>
            <w:gridSpan w:val="9"/>
          </w:tcPr>
          <w:p>
            <w:pPr>
              <w:ind w:left="360"/>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700" w:type="dxa"/>
            <w:vAlign w:val="bottom"/>
            <w:gridSpan w:val="3"/>
          </w:tcPr>
          <w:p>
            <w:pPr>
              <w:spacing w:after="0"/>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PART II.</w:t>
              </w:r>
            </w:hyperlink>
          </w:p>
        </w:tc>
        <w:tc>
          <w:tcPr>
            <w:tcW w:w="7840" w:type="dxa"/>
            <w:vAlign w:val="bottom"/>
            <w:gridSpan w:val="10"/>
          </w:tcPr>
          <w:p>
            <w:pPr>
              <w:ind w:left="68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292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680" w:type="dxa"/>
            <w:vAlign w:val="bottom"/>
          </w:tcPr>
          <w:p>
            <w:pPr>
              <w:spacing w:after="0"/>
              <w:rPr>
                <w:sz w:val="24"/>
                <w:szCs w:val="24"/>
                <w:color w:val="auto"/>
              </w:rPr>
            </w:pPr>
          </w:p>
        </w:tc>
        <w:tc>
          <w:tcPr>
            <w:tcW w:w="2120" w:type="dxa"/>
            <w:vAlign w:val="bottom"/>
            <w:tcBorders>
              <w:top w:val="single" w:sz="8" w:color="0000EE"/>
            </w:tcBorders>
            <w:gridSpan w:val="6"/>
          </w:tcPr>
          <w:p>
            <w:pPr>
              <w:ind w:left="36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040" w:type="dxa"/>
            <w:vAlign w:val="bottom"/>
            <w:gridSpan w:val="3"/>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w w:val="94"/>
              </w:rPr>
            </w:pPr>
            <w:hyperlink w:anchor="page19">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60" w:type="dxa"/>
            <w:vAlign w:val="bottom"/>
            <w:gridSpan w:val="9"/>
          </w:tcPr>
          <w:p>
            <w:pPr>
              <w:ind w:left="360"/>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60" w:type="dxa"/>
            <w:vAlign w:val="bottom"/>
            <w:gridSpan w:val="9"/>
          </w:tcPr>
          <w:p>
            <w:pPr>
              <w:ind w:left="360"/>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700" w:type="dxa"/>
            <w:vAlign w:val="bottom"/>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680" w:type="dxa"/>
            <w:vAlign w:val="bottom"/>
          </w:tcPr>
          <w:p>
            <w:pPr>
              <w:spacing w:after="0"/>
              <w:rPr>
                <w:sz w:val="24"/>
                <w:szCs w:val="24"/>
                <w:color w:val="auto"/>
              </w:rPr>
            </w:pPr>
          </w:p>
        </w:tc>
        <w:tc>
          <w:tcPr>
            <w:tcW w:w="7160" w:type="dxa"/>
            <w:vAlign w:val="bottom"/>
            <w:gridSpan w:val="9"/>
          </w:tcPr>
          <w:p>
            <w:pPr>
              <w:ind w:left="36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40" w:type="dxa"/>
            <w:vAlign w:val="bottom"/>
            <w:gridSpan w:val="6"/>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60" w:type="dxa"/>
            <w:vAlign w:val="bottom"/>
            <w:gridSpan w:val="9"/>
          </w:tcPr>
          <w:p>
            <w:pPr>
              <w:ind w:left="360"/>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40" w:type="dxa"/>
            <w:vAlign w:val="bottom"/>
            <w:gridSpan w:val="4"/>
          </w:tcPr>
          <w:p>
            <w:pPr>
              <w:jc w:val="right"/>
              <w:ind w:right="2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93"/>
              <w:spacing w:after="0" w:line="119" w:lineRule="exact"/>
              <w:rPr>
                <w:sz w:val="20"/>
                <w:szCs w:val="20"/>
                <w:color w:val="auto"/>
              </w:rPr>
            </w:pPr>
            <w:r>
              <w:rPr>
                <w:rFonts w:ascii="Arial" w:cs="Arial" w:eastAsia="Arial" w:hAnsi="Arial"/>
                <w:sz w:val="13"/>
                <w:szCs w:val="13"/>
                <w:b w:val="1"/>
                <w:bCs w:val="1"/>
                <w:color w:val="auto"/>
              </w:rPr>
              <w:t>May 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3,</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3"/>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1,149,147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452,185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456,063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731,029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733,247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252,301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134,830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128,922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254,443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(4,149)</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(8,398)</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37,915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49,917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78,402</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58,132</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59,878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58,308</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59,257</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60,960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59,444</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60,961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THE TORO COMPANY AND SUBSIDIARIES Condensed Consolidated Statements of Comprehensive Income (Unaudited)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May 3,</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76"/>
              <w:spacing w:after="0" w:line="119" w:lineRule="exact"/>
              <w:rPr>
                <w:sz w:val="20"/>
                <w:szCs w:val="20"/>
                <w:color w:val="auto"/>
              </w:rPr>
            </w:pPr>
            <w:r>
              <w:rPr>
                <w:rFonts w:ascii="Arial" w:cs="Arial" w:eastAsia="Arial" w:hAnsi="Arial"/>
                <w:sz w:val="13"/>
                <w:szCs w:val="13"/>
                <w:b w:val="1"/>
                <w:bCs w:val="1"/>
                <w:color w:val="auto"/>
              </w:rPr>
              <w:t>May 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May 3,</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76"/>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gridSpan w:val="2"/>
          </w:tcPr>
          <w:p>
            <w:pPr>
              <w:spacing w:after="0"/>
              <w:rPr>
                <w:sz w:val="10"/>
                <w:szCs w:val="10"/>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(1,755)</w:t>
            </w:r>
          </w:p>
        </w:tc>
      </w:tr>
      <w:tr>
        <w:trPr>
          <w:trHeight w:val="202"/>
        </w:trPr>
        <w:tc>
          <w:tcPr>
            <w:tcW w:w="5540" w:type="dxa"/>
            <w:vAlign w:val="bottom"/>
          </w:tcPr>
          <w:p>
            <w:pPr>
              <w:ind w:left="180"/>
              <w:spacing w:after="0" w:line="201" w:lineRule="exact"/>
              <w:rPr>
                <w:sz w:val="20"/>
                <w:szCs w:val="20"/>
                <w:color w:val="auto"/>
              </w:rPr>
            </w:pPr>
            <w:r>
              <w:rPr>
                <w:rFonts w:ascii="Arial" w:cs="Arial" w:eastAsia="Arial" w:hAnsi="Arial"/>
                <w:sz w:val="18"/>
                <w:szCs w:val="18"/>
                <w:color w:val="auto"/>
                <w:w w:val="98"/>
              </w:rPr>
              <w:t>Derivative instruments, net of tax of $1,030, $(440), $634, and $548,</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20"/>
                <w:szCs w:val="20"/>
                <w:color w:val="auto"/>
              </w:rPr>
            </w:pPr>
          </w:p>
        </w:tc>
      </w:tr>
      <w:tr>
        <w:trPr>
          <w:trHeight w:val="210"/>
        </w:trPr>
        <w:tc>
          <w:tcPr>
            <w:tcW w:w="5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111,018</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4,</w:t>
            </w:r>
          </w:p>
        </w:tc>
        <w:tc>
          <w:tcPr>
            <w:tcW w:w="200" w:type="dxa"/>
            <w:vAlign w:val="bottom"/>
          </w:tcPr>
          <w:p>
            <w:pPr>
              <w:spacing w:after="0"/>
              <w:rPr>
                <w:sz w:val="14"/>
                <w:szCs w:val="1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80,341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82,572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307,770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272,819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309,998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250,804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30,434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62,768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62,209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791,311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691,685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703,104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669,159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526,044</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484,539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502,584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184,620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25,381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92,049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91,988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29,153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35,871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1,114,954</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1,029,354</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935,199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2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203,710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196,382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294,648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278,491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498,608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476,738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223,513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223,701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10,605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9,347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6,287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7,614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4"/>
              </w:rPr>
              <w:t>Common stock, par value $1.00 per share, authorized 175,000,000 shares as of May 3,</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7"/>
              </w:rPr>
              <w:t>2013 and 100,000,000 shares as of May 4, 2012 and October 31, 2012; issued and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7"/>
              </w:rPr>
              <w:t>outstanding 57,615,679 shares as of May 3, 2013, 58,827,322 shares as of May 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2012, and 58,266,482 shares as of October 31, 2012</w:t>
            </w:r>
          </w:p>
        </w:tc>
        <w:tc>
          <w:tcPr>
            <w:tcW w:w="2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57,616</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58,827</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58,266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324,181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259,391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(8,754)</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(7,644)</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373,043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1,114,954</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1,029,354</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3,</w:t>
            </w:r>
          </w:p>
        </w:tc>
        <w:tc>
          <w:tcPr>
            <w:tcW w:w="440" w:type="dxa"/>
            <w:vAlign w:val="bottom"/>
          </w:tcPr>
          <w:p>
            <w:pPr>
              <w:spacing w:after="0"/>
              <w:rPr>
                <w:sz w:val="10"/>
                <w:szCs w:val="10"/>
                <w:color w:val="auto"/>
              </w:rPr>
            </w:pPr>
          </w:p>
        </w:tc>
        <w:tc>
          <w:tcPr>
            <w:tcW w:w="920" w:type="dxa"/>
            <w:vAlign w:val="bottom"/>
          </w:tcPr>
          <w:p>
            <w:pPr>
              <w:jc w:val="right"/>
              <w:ind w:right="395"/>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tcPr>
          <w:p>
            <w:pPr>
              <w:spacing w:after="0"/>
              <w:rPr>
                <w:sz w:val="10"/>
                <w:szCs w:val="10"/>
                <w:color w:val="auto"/>
              </w:rPr>
            </w:pPr>
          </w:p>
        </w:tc>
      </w:tr>
      <w:tr>
        <w:trPr>
          <w:trHeight w:val="171"/>
        </w:trPr>
        <w:tc>
          <w:tcPr>
            <w:tcW w:w="72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earnings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109,798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88,741</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(3,532)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(2,802)</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26,890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25,664</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5,336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deferred income taxes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(160,534)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(126,215)</w:t>
            </w:r>
          </w:p>
        </w:tc>
      </w:tr>
      <w:tr>
        <w:trPr>
          <w:trHeight w:val="138"/>
        </w:trPr>
        <w:tc>
          <w:tcPr>
            <w:tcW w:w="7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(59,082)</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(3,486)</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120,896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(4,669)</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4,577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(50,499)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(16,364)</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(57,676)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(45,515)</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125,856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80,341</w:t>
            </w:r>
          </w:p>
        </w:tc>
        <w:tc>
          <w:tcPr>
            <w:tcW w:w="2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cash flow information:</w:t>
            </w:r>
          </w:p>
        </w:tc>
        <w:tc>
          <w:tcPr>
            <w:tcW w:w="8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Long-term debt issued in connection with an acquisition</w:t>
            </w:r>
          </w:p>
        </w:tc>
        <w:tc>
          <w:tcPr>
            <w:tcW w:w="13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May 3, 2013 cannot be annualized to determine the expected results for the fiscal year ending October 31, 2013.</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34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2012.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Authorized</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March 12, 2013, following approval by the company’s shareholders at its 2013 annual meeting of shareholders, the company amended its Restated Certificate of Incorporation by filing a Certificate of Amendment to Restated Certificate of Incorporation with the Secretary of State of Delaware to increase the number of authorized shares of common stock from 100,000,000 to 175,000,000.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24, 2012, the company announced that its Board of Directors declared a two-for-one stock split of the company’s common stock, effected in the form of a 100 percent stock dividend. The stock split was distributed or paid on June 29, 2012, to shareholders of record as of June 15, 2012. Earnings and dividends declared per share and weighted-average shares outstanding are presented in this report after the effect of the two-for-one stock split. The two-for-one stock split is also reflected in the share amounts in all periods presented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w:t>
      </w:r>
    </w:p>
    <w:p>
      <w:pPr>
        <w:sectPr>
          <w:pgSz w:w="11900" w:h="16838" w:orient="portrait"/>
          <w:cols w:equalWidth="0" w:num="1">
            <w:col w:w="11420"/>
          </w:cols>
          <w:pgMar w:left="240" w:top="140" w:right="239" w:bottom="0" w:gutter="0" w:footer="0" w:header="0"/>
        </w:sectPr>
      </w:pPr>
    </w:p>
    <w:bookmarkStart w:id="4" w:name="page5"/>
    <w:bookmarkEnd w:id="4"/>
    <w:p>
      <w:pPr>
        <w:ind w:right="40"/>
        <w:spacing w:after="0" w:line="272" w:lineRule="auto"/>
        <w:rPr>
          <w:sz w:val="20"/>
          <w:szCs w:val="20"/>
          <w:color w:val="auto"/>
        </w:rPr>
      </w:pPr>
      <w:r>
        <w:rPr>
          <w:rFonts w:ascii="Arial" w:cs="Arial" w:eastAsia="Arial" w:hAnsi="Arial"/>
          <w:sz w:val="17"/>
          <w:szCs w:val="17"/>
          <w:color w:val="auto"/>
        </w:rPr>
        <w:t>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incentive plan, stock options are granted with an exercise price equal to the closing price 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78" w:lineRule="exact"/>
        <w:rPr>
          <w:sz w:val="20"/>
          <w:szCs w:val="20"/>
          <w:color w:val="auto"/>
        </w:rPr>
      </w:pPr>
    </w:p>
    <w:p>
      <w:pPr>
        <w:ind w:right="18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740" w:type="dxa"/>
            <w:vAlign w:val="bottom"/>
            <w:gridSpan w:val="2"/>
          </w:tcPr>
          <w:p>
            <w:pPr>
              <w:ind w:left="860"/>
              <w:spacing w:after="0"/>
              <w:rPr>
                <w:sz w:val="20"/>
                <w:szCs w:val="20"/>
                <w:color w:val="auto"/>
              </w:rPr>
            </w:pPr>
            <w:r>
              <w:rPr>
                <w:rFonts w:ascii="Arial" w:cs="Arial" w:eastAsia="Arial" w:hAnsi="Arial"/>
                <w:sz w:val="14"/>
                <w:szCs w:val="14"/>
                <w:b w:val="1"/>
                <w:bCs w:val="1"/>
                <w:color w:val="auto"/>
              </w:rPr>
              <w:t>Fiscal 2013</w:t>
            </w:r>
          </w:p>
        </w:tc>
        <w:tc>
          <w:tcPr>
            <w:tcW w:w="2420" w:type="dxa"/>
            <w:vAlign w:val="bottom"/>
          </w:tcPr>
          <w:p>
            <w:pPr>
              <w:ind w:left="860"/>
              <w:spacing w:after="0"/>
              <w:rPr>
                <w:sz w:val="20"/>
                <w:szCs w:val="20"/>
                <w:color w:val="auto"/>
              </w:rPr>
            </w:pPr>
            <w:r>
              <w:rPr>
                <w:rFonts w:ascii="Arial" w:cs="Arial" w:eastAsia="Arial" w:hAnsi="Arial"/>
                <w:sz w:val="14"/>
                <w:szCs w:val="14"/>
                <w:b w:val="1"/>
                <w:bCs w:val="1"/>
                <w:color w:val="auto"/>
              </w:rPr>
              <w:t>Fiscal 2012</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volatility</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35.18% - 35.19%</w:t>
            </w:r>
          </w:p>
        </w:tc>
        <w:tc>
          <w:tcPr>
            <w:tcW w:w="3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34.87% - 35.02%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35.19%</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0.88%</w:t>
            </w:r>
          </w:p>
        </w:tc>
        <w:tc>
          <w:tcPr>
            <w:tcW w:w="3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1.20%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 - 1.07%</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 - 1.40%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1.07%</w:t>
            </w:r>
          </w:p>
        </w:tc>
        <w:tc>
          <w:tcPr>
            <w:tcW w:w="3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1.32%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$8.56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2013 and 2012 was $42.06 and $28.24, respectively. No performance share awards were granted during the second quarter of fiscal 2013 or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Under the company’s incentive plan, restricted stock and restricted stock unit awards are generally granted to certain non-officer employees. Occasionally, restricted stock or restricted stock unit awards may be granted in connection with hiring, mid-year promotions, leadership transition, or retention. In fiscal 2013, the company began granting restricted stock unit awards. Restricted stock and restricted stock unit awards generally vest one-third each year over a three-year period or vest in full on the three-year anniversary of the date of grant.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awards granted during the first six months of fiscal 2013 and 2012 was $42.50 and $30.70,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ectPr>
          <w:pgSz w:w="11900" w:h="16838" w:orient="portrait"/>
          <w:cols w:equalWidth="0" w:num="1">
            <w:col w:w="11400"/>
          </w:cols>
          <w:pgMar w:left="240" w:top="125"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5"/>
          </w:tcPr>
          <w:p>
            <w:pPr>
              <w:ind w:lef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5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Borders>
              <w:top w:val="single" w:sz="8" w:color="auto"/>
            </w:tcBorders>
            <w:gridSpan w:val="2"/>
          </w:tcPr>
          <w:p>
            <w:pPr>
              <w:ind w:left="360"/>
              <w:spacing w:after="0" w:line="119" w:lineRule="exact"/>
              <w:rPr>
                <w:sz w:val="20"/>
                <w:szCs w:val="20"/>
                <w:color w:val="auto"/>
              </w:rPr>
            </w:pPr>
            <w:r>
              <w:rPr>
                <w:rFonts w:ascii="Arial" w:cs="Arial" w:eastAsia="Arial" w:hAnsi="Arial"/>
                <w:sz w:val="13"/>
                <w:szCs w:val="13"/>
                <w:b w:val="1"/>
                <w:bCs w:val="1"/>
                <w:color w:val="auto"/>
              </w:rPr>
              <w:t>May 3,</w:t>
            </w:r>
          </w:p>
        </w:tc>
        <w:tc>
          <w:tcPr>
            <w:tcW w:w="114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May 4,</w:t>
            </w:r>
          </w:p>
        </w:tc>
        <w:tc>
          <w:tcPr>
            <w:tcW w:w="28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May 3,</w:t>
            </w:r>
          </w:p>
        </w:tc>
        <w:tc>
          <w:tcPr>
            <w:tcW w:w="114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gridSpan w:val="5"/>
            <w:vMerge w:val="continue"/>
          </w:tcPr>
          <w:p>
            <w:pPr>
              <w:spacing w:after="0"/>
              <w:rPr>
                <w:sz w:val="14"/>
                <w:szCs w:val="14"/>
                <w:color w:val="auto"/>
              </w:rPr>
            </w:pPr>
          </w:p>
        </w:tc>
        <w:tc>
          <w:tcPr>
            <w:tcW w:w="1140" w:type="dxa"/>
            <w:vAlign w:val="bottom"/>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58,132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59,878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58,260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rPr>
              <w:t>Weighted-average number of shares of common stock and assumed</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gridSpan w:val="4"/>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58,132</w:t>
            </w:r>
          </w:p>
        </w:tc>
        <w:tc>
          <w:tcPr>
            <w:tcW w:w="280" w:type="dxa"/>
            <w:vAlign w:val="bottom"/>
            <w:vMerge w:val="restart"/>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59,878</w:t>
            </w:r>
          </w:p>
        </w:tc>
        <w:tc>
          <w:tcPr>
            <w:tcW w:w="280" w:type="dxa"/>
            <w:vAlign w:val="bottom"/>
            <w:vMerge w:val="restart"/>
          </w:tcPr>
          <w:p>
            <w:pPr>
              <w:spacing w:after="0"/>
              <w:rPr>
                <w:sz w:val="15"/>
                <w:szCs w:val="15"/>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58,308</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59,933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14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00" w:type="dxa"/>
            <w:vAlign w:val="bottom"/>
            <w:gridSpan w:val="4"/>
          </w:tcPr>
          <w:p>
            <w:pPr>
              <w:spacing w:after="0" w:line="201" w:lineRule="exact"/>
              <w:rPr>
                <w:sz w:val="20"/>
                <w:szCs w:val="20"/>
                <w:color w:val="auto"/>
              </w:rPr>
            </w:pPr>
            <w:r>
              <w:rPr>
                <w:rFonts w:ascii="Arial" w:cs="Arial" w:eastAsia="Arial" w:hAnsi="Arial"/>
                <w:sz w:val="18"/>
                <w:szCs w:val="18"/>
                <w:color w:val="auto"/>
              </w:rPr>
              <w:t>Weighted-average number of shares of common stock and assumed</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58,132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59,878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58,308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59,933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rPr>
              <w:t>Weighted-average number of shares of common stock, assumed</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gridSpan w:val="4"/>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59,257</w:t>
            </w:r>
          </w:p>
        </w:tc>
        <w:tc>
          <w:tcPr>
            <w:tcW w:w="280" w:type="dxa"/>
            <w:vAlign w:val="bottom"/>
            <w:vMerge w:val="restart"/>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60,960</w:t>
            </w:r>
          </w:p>
        </w:tc>
        <w:tc>
          <w:tcPr>
            <w:tcW w:w="280" w:type="dxa"/>
            <w:vAlign w:val="bottom"/>
            <w:vMerge w:val="restart"/>
          </w:tcPr>
          <w:p>
            <w:pPr>
              <w:spacing w:after="0"/>
              <w:rPr>
                <w:sz w:val="15"/>
                <w:szCs w:val="15"/>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59,444</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60,961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 and effect of dilutive securities</w:t>
            </w:r>
          </w:p>
        </w:tc>
        <w:tc>
          <w:tcPr>
            <w:tcW w:w="11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270"/>
        <w:spacing w:after="0" w:line="297" w:lineRule="auto"/>
        <w:rPr>
          <w:sz w:val="20"/>
          <w:szCs w:val="20"/>
          <w:color w:val="auto"/>
        </w:rPr>
      </w:pPr>
      <w:r>
        <w:rPr>
          <w:rFonts w:ascii="Arial" w:cs="Arial" w:eastAsia="Arial" w:hAnsi="Arial"/>
          <w:sz w:val="16"/>
          <w:szCs w:val="16"/>
          <w:color w:val="auto"/>
        </w:rPr>
        <w:t>Options to purchase an aggregate of 361,651 and 285,668 shares of common stock outstanding during the second quarter of fiscal 2013 and 2012, respectively, were excluded from the diluted net earnings per share calculation because their exercise prices were greater than the average market price of the company’s common stock during the same respective periods. Options to purchase an aggregate of 306,491 and 469,242 shares of common stock outstanding during the year-to-date periods through the second quarter of fiscal 2013 and 2012, respectively, were excluded from the diluted net earnings per share calculations because their exercise prices were greater than the average market price of the company’s common stock during the same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May 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279,586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211,638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223,459</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Less: adjustment to LIFO value</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63,807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61,001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63,807</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2013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Professional</w:t>
            </w: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3, 2013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May 3, 2013</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27,704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15,891</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2012</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27,727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17,531</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6" w:name="page7"/>
    <w:bookmarkEnd w:id="6"/>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4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4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Non-amortizable - trade names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4,881</w:t>
            </w:r>
          </w:p>
        </w:tc>
      </w:tr>
      <w:tr>
        <w:trPr>
          <w:trHeight w:val="223"/>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2013 was $3.0 million. Estimated amortization expense for the remainder of fiscal 2013 and succeeding fiscal years is as follows: fiscal 2013 (remainder), $2.8 million; fiscal 2014, $5.3 million; fiscal 2015, $5.1 million; fiscal 2016, $4.6 million; fiscal 2017, $3.7 million; fiscal 2018, $1.7 million; and after fiscal 2018, $1.1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w:t>
      </w:r>
    </w:p>
    <w:p>
      <w:pPr>
        <w:spacing w:after="0" w:line="167"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May 3, 2013 was $20.7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$0.5 million as of May 3, 2013.</w:t>
      </w:r>
    </w:p>
    <w:p>
      <w:pPr>
        <w:spacing w:after="0" w:line="192"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six months ended April 30, 2013 and April 30, 2012 was $639.6 million and $615.2 million, respectively.</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April 30, 2013, Red Iron’s total assets were $406.5 million and total liabilities were $360.5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Warranty provisions, claims, changes in estimates, and additions from acquisitions for the first six months of fiscal 2013 and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3,</w:t>
            </w:r>
          </w:p>
        </w:tc>
        <w:tc>
          <w:tcPr>
            <w:tcW w:w="460" w:type="dxa"/>
            <w:vAlign w:val="bottom"/>
          </w:tcPr>
          <w:p>
            <w:pPr>
              <w:spacing w:after="0"/>
              <w:rPr>
                <w:sz w:val="10"/>
                <w:szCs w:val="10"/>
                <w:color w:val="auto"/>
              </w:rPr>
            </w:pPr>
          </w:p>
        </w:tc>
        <w:tc>
          <w:tcPr>
            <w:tcW w:w="920" w:type="dxa"/>
            <w:vAlign w:val="bottom"/>
          </w:tcPr>
          <w:p>
            <w:pPr>
              <w:jc w:val="right"/>
              <w:ind w:right="395"/>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Warranty provisions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23,478</w:t>
            </w: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(14,651)</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(13,573)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Changes in estimates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78,096</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4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Professional</w:t>
            </w:r>
          </w:p>
        </w:tc>
        <w:tc>
          <w:tcPr>
            <w:tcW w:w="1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Residential</w:t>
            </w:r>
          </w:p>
        </w:tc>
        <w:tc>
          <w:tcPr>
            <w:tcW w:w="15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98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Arial" w:cs="Arial" w:eastAsia="Arial" w:hAnsi="Arial"/>
                <w:sz w:val="14"/>
                <w:szCs w:val="14"/>
                <w:b w:val="1"/>
                <w:bCs w:val="1"/>
                <w:color w:val="auto"/>
              </w:rPr>
              <w:t>Three months ended May 3, 2013</w:t>
            </w:r>
          </w:p>
        </w:tc>
        <w:tc>
          <w:tcPr>
            <w:tcW w:w="246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5767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7670" cy="19050"/>
                    </a:xfrm>
                    <a:prstGeom prst="rect">
                      <a:avLst/>
                    </a:prstGeom>
                    <a:noFill/>
                  </pic:spPr>
                </pic:pic>
              </a:graphicData>
            </a:graphic>
          </wp:anchor>
        </w:drawing>
      </w:r>
    </w:p>
    <w:p>
      <w:pPr>
        <w:sectPr>
          <w:pgSz w:w="11900" w:h="16885" w:orient="portrait"/>
          <w:cols w:equalWidth="0" w:num="1">
            <w:col w:w="11380"/>
          </w:cols>
          <w:pgMar w:left="240" w:top="125" w:right="27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496,436</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201,390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(11,439)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24,679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(20,637)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116,317</w:t>
            </w:r>
          </w:p>
        </w:tc>
        <w:tc>
          <w:tcPr>
            <w:tcW w:w="800" w:type="dxa"/>
            <w:vAlign w:val="bottom"/>
          </w:tcPr>
          <w:p>
            <w:pPr>
              <w:spacing w:after="0"/>
              <w:rPr>
                <w:sz w:val="18"/>
                <w:szCs w:val="18"/>
                <w:color w:val="auto"/>
              </w:rPr>
            </w:pPr>
          </w:p>
        </w:tc>
      </w:tr>
      <w:tr>
        <w:trPr>
          <w:trHeight w:val="392"/>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May 4, 2012</w:t>
            </w:r>
          </w:p>
        </w:tc>
        <w:tc>
          <w:tcPr>
            <w:tcW w:w="200" w:type="dxa"/>
            <w:vAlign w:val="bottom"/>
          </w:tcPr>
          <w:p>
            <w:pPr>
              <w:spacing w:after="0"/>
              <w:rPr>
                <w:sz w:val="24"/>
                <w:szCs w:val="24"/>
                <w:color w:val="auto"/>
              </w:rPr>
            </w:pPr>
          </w:p>
        </w:tc>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Professional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r>
      <w:tr>
        <w:trPr>
          <w:trHeight w:val="210"/>
        </w:trPr>
        <w:tc>
          <w:tcPr>
            <w:tcW w:w="3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231,897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691,485</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(14,184)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28,518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(22,827)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36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May 3, 2013</w:t>
            </w:r>
          </w:p>
        </w:tc>
        <w:tc>
          <w:tcPr>
            <w:tcW w:w="200" w:type="dxa"/>
            <w:vAlign w:val="bottom"/>
          </w:tcPr>
          <w:p>
            <w:pPr>
              <w:spacing w:after="0"/>
              <w:rPr>
                <w:sz w:val="24"/>
                <w:szCs w:val="24"/>
                <w:color w:val="auto"/>
              </w:rPr>
            </w:pPr>
          </w:p>
        </w:tc>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Professional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r>
      <w:tr>
        <w:trPr>
          <w:trHeight w:val="210"/>
        </w:trPr>
        <w:tc>
          <w:tcPr>
            <w:tcW w:w="3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825,580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322,337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1,149,147</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(26,978)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36,833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(50,131)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653,514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256,412</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205,028</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1,114,954</w:t>
            </w:r>
          </w:p>
        </w:tc>
        <w:tc>
          <w:tcPr>
            <w:tcW w:w="80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r>
        <w:trPr>
          <w:trHeight w:val="523"/>
        </w:trPr>
        <w:tc>
          <w:tcPr>
            <w:tcW w:w="42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8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May 4, 2012</w:t>
            </w:r>
          </w:p>
        </w:tc>
        <w:tc>
          <w:tcPr>
            <w:tcW w:w="200" w:type="dxa"/>
            <w:vAlign w:val="bottom"/>
          </w:tcPr>
          <w:p>
            <w:pPr>
              <w:spacing w:after="0"/>
              <w:rPr>
                <w:sz w:val="24"/>
                <w:szCs w:val="24"/>
                <w:color w:val="auto"/>
              </w:rPr>
            </w:pPr>
          </w:p>
        </w:tc>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Professional</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24"/>
                <w:szCs w:val="24"/>
                <w:color w:val="auto"/>
              </w:rPr>
            </w:pPr>
          </w:p>
        </w:tc>
      </w:tr>
      <w:tr>
        <w:trPr>
          <w:trHeight w:val="210"/>
        </w:trPr>
        <w:tc>
          <w:tcPr>
            <w:tcW w:w="3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369,505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1,115,320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(19,034)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41,126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(47,440)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598,357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239,385</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191,612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1,029,354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-1185545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-1185545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May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97"/>
              <w:spacing w:after="0" w:line="119" w:lineRule="exact"/>
              <w:rPr>
                <w:sz w:val="20"/>
                <w:szCs w:val="20"/>
                <w:color w:val="auto"/>
              </w:rPr>
            </w:pPr>
            <w:r>
              <w:rPr>
                <w:rFonts w:ascii="Arial" w:cs="Arial" w:eastAsia="Arial" w:hAnsi="Arial"/>
                <w:sz w:val="13"/>
                <w:szCs w:val="13"/>
                <w:b w:val="1"/>
                <w:bCs w:val="1"/>
                <w:color w:val="auto"/>
              </w:rPr>
              <w:t>May 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May 3,</w:t>
            </w: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77"/>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(4,149)</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(8,398)</w:t>
            </w:r>
          </w:p>
        </w:tc>
        <w:tc>
          <w:tcPr>
            <w:tcW w:w="4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(50,131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(47,440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200" w:lineRule="exact"/>
        <w:rPr>
          <w:sz w:val="20"/>
          <w:szCs w:val="20"/>
          <w:color w:val="auto"/>
        </w:rPr>
      </w:pPr>
    </w:p>
    <w:p>
      <w:pPr>
        <w:spacing w:after="0" w:line="20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second quarter of fiscal 2013, there were immaterial losses on contracts reclassified into earnings as</w:t>
      </w:r>
    </w:p>
    <w:p>
      <w:pPr>
        <w:sectPr>
          <w:pgSz w:w="11900" w:h="16838" w:orient="portrait"/>
          <w:cols w:equalWidth="0" w:num="1">
            <w:col w:w="11460"/>
          </w:cols>
          <w:pgMar w:left="240" w:top="140" w:right="199" w:bottom="0" w:gutter="0" w:footer="0" w:header="0"/>
        </w:sectPr>
      </w:pP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 result of the discontinuance of cash flow hedges. As of May 3, 2013, the notional amount outstanding of forward contracts designated as cash flow hedges was $42.5 million. Additionally, the company has one cross currency interest rate swap instrument outstanding as of May 3, 2013 for a fixed pay notional of 36.6 million Romanian New Leu and receive floating notional of 8.5 million Euro.</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change in fair value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bottom w:val="single" w:sz="8" w:color="auto"/>
            </w:tcBorders>
            <w:gridSpan w:val="2"/>
          </w:tcPr>
          <w:p>
            <w:pPr>
              <w:ind w:left="740"/>
              <w:spacing w:after="0" w:line="129" w:lineRule="exact"/>
              <w:rPr>
                <w:sz w:val="20"/>
                <w:szCs w:val="20"/>
                <w:color w:val="auto"/>
              </w:rPr>
            </w:pPr>
            <w:r>
              <w:rPr>
                <w:rFonts w:ascii="Arial" w:cs="Arial" w:eastAsia="Arial" w:hAnsi="Arial"/>
                <w:sz w:val="13"/>
                <w:szCs w:val="13"/>
                <w:b w:val="1"/>
                <w:bCs w:val="1"/>
                <w:color w:val="auto"/>
                <w:w w:val="91"/>
              </w:rPr>
              <w:t>May 3, 2013</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gridSpan w:val="2"/>
          </w:tcPr>
          <w:p>
            <w:pPr>
              <w:ind w:left="720"/>
              <w:spacing w:after="0" w:line="129" w:lineRule="exact"/>
              <w:rPr>
                <w:sz w:val="20"/>
                <w:szCs w:val="20"/>
                <w:color w:val="auto"/>
              </w:rPr>
            </w:pPr>
            <w:r>
              <w:rPr>
                <w:rFonts w:ascii="Arial" w:cs="Arial" w:eastAsia="Arial" w:hAnsi="Arial"/>
                <w:sz w:val="13"/>
                <w:szCs w:val="13"/>
                <w:b w:val="1"/>
                <w:bCs w:val="1"/>
                <w:color w:val="auto"/>
                <w:w w:val="94"/>
              </w:rPr>
              <w:t>May 4, 2012</w:t>
            </w: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Borders>
              <w:bottom w:val="single" w:sz="8" w:color="auto"/>
            </w:tcBorders>
            <w:gridSpan w:val="2"/>
          </w:tcPr>
          <w:p>
            <w:pPr>
              <w:ind w:left="740"/>
              <w:spacing w:after="0" w:line="129" w:lineRule="exact"/>
              <w:rPr>
                <w:sz w:val="20"/>
                <w:szCs w:val="20"/>
                <w:color w:val="auto"/>
              </w:rPr>
            </w:pPr>
            <w:r>
              <w:rPr>
                <w:rFonts w:ascii="Arial" w:cs="Arial" w:eastAsia="Arial" w:hAnsi="Arial"/>
                <w:sz w:val="13"/>
                <w:szCs w:val="13"/>
                <w:b w:val="1"/>
                <w:bCs w:val="1"/>
                <w:color w:val="auto"/>
                <w:w w:val="91"/>
              </w:rPr>
              <w:t>May 3, 2013</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auto"/>
            </w:tcBorders>
            <w:gridSpan w:val="2"/>
          </w:tcPr>
          <w:p>
            <w:pPr>
              <w:ind w:left="720"/>
              <w:spacing w:after="0" w:line="129" w:lineRule="exact"/>
              <w:rPr>
                <w:sz w:val="20"/>
                <w:szCs w:val="20"/>
                <w:color w:val="auto"/>
              </w:rPr>
            </w:pPr>
            <w:r>
              <w:rPr>
                <w:rFonts w:ascii="Arial" w:cs="Arial" w:eastAsia="Arial" w:hAnsi="Arial"/>
                <w:sz w:val="13"/>
                <w:szCs w:val="13"/>
                <w:b w:val="1"/>
                <w:bCs w:val="1"/>
                <w:color w:val="auto"/>
                <w:w w:val="94"/>
              </w:rPr>
              <w:t>May 4, 2012</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Balance</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Balance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Sheet</w:t>
            </w:r>
          </w:p>
        </w:tc>
        <w:tc>
          <w:tcPr>
            <w:tcW w:w="14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Sheet</w:t>
            </w:r>
          </w:p>
        </w:tc>
        <w:tc>
          <w:tcPr>
            <w:tcW w:w="140" w:type="dxa"/>
            <w:vAlign w:val="bottom"/>
          </w:tcPr>
          <w:p>
            <w:pPr>
              <w:spacing w:after="0"/>
              <w:rPr>
                <w:sz w:val="11"/>
                <w:szCs w:val="11"/>
                <w:color w:val="auto"/>
              </w:rPr>
            </w:pPr>
          </w:p>
        </w:tc>
        <w:tc>
          <w:tcPr>
            <w:tcW w:w="7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Fair</w:t>
            </w: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8"/>
              </w:rPr>
              <w:t>Sheet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1"/>
                <w:szCs w:val="11"/>
                <w:color w:val="auto"/>
              </w:rPr>
            </w:pPr>
          </w:p>
        </w:tc>
        <w:tc>
          <w:tcPr>
            <w:tcW w:w="6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Location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Value</w:t>
            </w:r>
          </w:p>
        </w:tc>
        <w:tc>
          <w:tcPr>
            <w:tcW w:w="8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2,027</w:t>
            </w:r>
          </w:p>
        </w:tc>
        <w:tc>
          <w:tcPr>
            <w:tcW w:w="152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759</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478</w:t>
            </w:r>
          </w:p>
        </w:tc>
        <w:tc>
          <w:tcPr>
            <w:tcW w:w="150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swaps</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2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598</w:t>
            </w:r>
          </w:p>
        </w:tc>
        <w:tc>
          <w:tcPr>
            <w:tcW w:w="1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5"/>
              </w:rPr>
              <w:t>Derivatives Not Designated as Hedging</w:t>
            </w: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tcPr>
          <w:p>
            <w:pPr>
              <w:spacing w:after="0"/>
              <w:rPr>
                <w:sz w:val="11"/>
                <w:szCs w:val="11"/>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241</w:t>
            </w:r>
          </w:p>
        </w:tc>
        <w:tc>
          <w:tcPr>
            <w:tcW w:w="152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1,318</w:t>
            </w:r>
          </w:p>
        </w:tc>
        <w:tc>
          <w:tcPr>
            <w:tcW w:w="142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763</w:t>
            </w:r>
          </w:p>
        </w:tc>
        <w:tc>
          <w:tcPr>
            <w:tcW w:w="1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swaps</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189</w:t>
            </w:r>
          </w:p>
        </w:tc>
        <w:tc>
          <w:tcPr>
            <w:tcW w:w="152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0"/>
              </w:rPr>
              <w:t>Prepaid expenses</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2,457</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2,077</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1,839</w:t>
            </w: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six months ended May 3, 2013 and May 4, 2012,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Gain (Loss)</w:t>
            </w:r>
          </w:p>
        </w:tc>
        <w:tc>
          <w:tcPr>
            <w:tcW w:w="180" w:type="dxa"/>
            <w:vAlign w:val="bottom"/>
          </w:tcPr>
          <w:p>
            <w:pPr>
              <w:spacing w:after="0"/>
              <w:rPr>
                <w:sz w:val="12"/>
                <w:szCs w:val="12"/>
                <w:color w:val="auto"/>
              </w:rPr>
            </w:pPr>
          </w:p>
        </w:tc>
        <w:tc>
          <w:tcPr>
            <w:tcW w:w="1520" w:type="dxa"/>
            <w:vAlign w:val="bottom"/>
            <w:gridSpan w:val="4"/>
          </w:tcPr>
          <w:p>
            <w:pPr>
              <w:jc w:val="center"/>
              <w:ind w:left="121"/>
              <w:spacing w:after="0"/>
              <w:rPr>
                <w:sz w:val="20"/>
                <w:szCs w:val="20"/>
                <w:color w:val="auto"/>
              </w:rPr>
            </w:pPr>
            <w:r>
              <w:rPr>
                <w:rFonts w:ascii="Arial" w:cs="Arial" w:eastAsia="Arial" w:hAnsi="Arial"/>
                <w:sz w:val="13"/>
                <w:szCs w:val="13"/>
                <w:b w:val="1"/>
                <w:bCs w:val="1"/>
                <w:color w:val="auto"/>
                <w:w w:val="86"/>
              </w:rPr>
              <w:t>Gain (Loss)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80" w:type="dxa"/>
            <w:vAlign w:val="bottom"/>
          </w:tcPr>
          <w:p>
            <w:pPr>
              <w:spacing w:after="0"/>
              <w:rPr>
                <w:sz w:val="11"/>
                <w:szCs w:val="11"/>
                <w:color w:val="auto"/>
              </w:rPr>
            </w:pPr>
          </w:p>
        </w:tc>
        <w:tc>
          <w:tcPr>
            <w:tcW w:w="1520" w:type="dxa"/>
            <w:vAlign w:val="bottom"/>
            <w:gridSpan w:val="4"/>
          </w:tcPr>
          <w:p>
            <w:pPr>
              <w:jc w:val="center"/>
              <w:ind w:left="121"/>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jc w:val="center"/>
              <w:ind w:left="377"/>
              <w:spacing w:after="0" w:line="135" w:lineRule="exact"/>
              <w:rPr>
                <w:sz w:val="20"/>
                <w:szCs w:val="20"/>
                <w:color w:val="auto"/>
              </w:rPr>
            </w:pPr>
            <w:r>
              <w:rPr>
                <w:rFonts w:ascii="Arial" w:cs="Arial" w:eastAsia="Arial" w:hAnsi="Arial"/>
                <w:sz w:val="13"/>
                <w:szCs w:val="13"/>
                <w:b w:val="1"/>
                <w:bCs w:val="1"/>
                <w:color w:val="auto"/>
                <w:w w:val="89"/>
              </w:rPr>
              <w:t>Gain (Loss)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40" w:type="dxa"/>
            <w:vAlign w:val="bottom"/>
          </w:tcPr>
          <w:p>
            <w:pPr>
              <w:spacing w:after="0"/>
              <w:rPr>
                <w:sz w:val="11"/>
                <w:szCs w:val="11"/>
                <w:color w:val="auto"/>
              </w:rPr>
            </w:pPr>
          </w:p>
        </w:tc>
        <w:tc>
          <w:tcPr>
            <w:tcW w:w="180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Gain (Loss)</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80" w:type="dxa"/>
            <w:vAlign w:val="bottom"/>
          </w:tcPr>
          <w:p>
            <w:pPr>
              <w:spacing w:after="0"/>
              <w:rPr>
                <w:sz w:val="11"/>
                <w:szCs w:val="11"/>
                <w:color w:val="auto"/>
              </w:rPr>
            </w:pPr>
          </w:p>
        </w:tc>
        <w:tc>
          <w:tcPr>
            <w:tcW w:w="1520" w:type="dxa"/>
            <w:vAlign w:val="bottom"/>
            <w:gridSpan w:val="4"/>
          </w:tcPr>
          <w:p>
            <w:pPr>
              <w:jc w:val="center"/>
              <w:ind w:left="121"/>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6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from AOCL</w:t>
            </w:r>
          </w:p>
        </w:tc>
        <w:tc>
          <w:tcPr>
            <w:tcW w:w="140" w:type="dxa"/>
            <w:vAlign w:val="bottom"/>
          </w:tcPr>
          <w:p>
            <w:pPr>
              <w:spacing w:after="0"/>
              <w:rPr>
                <w:sz w:val="11"/>
                <w:szCs w:val="11"/>
                <w:color w:val="auto"/>
              </w:rPr>
            </w:pPr>
          </w:p>
        </w:tc>
        <w:tc>
          <w:tcPr>
            <w:tcW w:w="180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80" w:type="dxa"/>
            <w:vAlign w:val="bottom"/>
          </w:tcPr>
          <w:p>
            <w:pPr>
              <w:spacing w:after="0"/>
              <w:rPr>
                <w:sz w:val="11"/>
                <w:szCs w:val="11"/>
                <w:color w:val="auto"/>
              </w:rPr>
            </w:pPr>
          </w:p>
        </w:tc>
        <w:tc>
          <w:tcPr>
            <w:tcW w:w="1520" w:type="dxa"/>
            <w:vAlign w:val="bottom"/>
            <w:gridSpan w:val="4"/>
          </w:tcPr>
          <w:p>
            <w:pPr>
              <w:jc w:val="center"/>
              <w:ind w:left="141"/>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jc w:val="center"/>
              <w:ind w:left="377"/>
              <w:spacing w:after="0" w:line="135" w:lineRule="exact"/>
              <w:rPr>
                <w:sz w:val="20"/>
                <w:szCs w:val="20"/>
                <w:color w:val="auto"/>
              </w:rPr>
            </w:pPr>
            <w:r>
              <w:rPr>
                <w:rFonts w:ascii="Arial" w:cs="Arial" w:eastAsia="Arial" w:hAnsi="Arial"/>
                <w:sz w:val="13"/>
                <w:szCs w:val="13"/>
                <w:b w:val="1"/>
                <w:bCs w:val="1"/>
                <w:color w:val="auto"/>
                <w:w w:val="86"/>
              </w:rPr>
              <w:t>Derivatives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40" w:type="dxa"/>
            <w:vAlign w:val="bottom"/>
          </w:tcPr>
          <w:p>
            <w:pPr>
              <w:spacing w:after="0"/>
              <w:rPr>
                <w:sz w:val="11"/>
                <w:szCs w:val="11"/>
                <w:color w:val="auto"/>
              </w:rPr>
            </w:pPr>
          </w:p>
        </w:tc>
        <w:tc>
          <w:tcPr>
            <w:tcW w:w="180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1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80" w:type="dxa"/>
            <w:vAlign w:val="bottom"/>
          </w:tcPr>
          <w:p>
            <w:pPr>
              <w:spacing w:after="0"/>
              <w:rPr>
                <w:sz w:val="11"/>
                <w:szCs w:val="11"/>
                <w:color w:val="auto"/>
              </w:rPr>
            </w:pPr>
          </w:p>
        </w:tc>
        <w:tc>
          <w:tcPr>
            <w:tcW w:w="1520" w:type="dxa"/>
            <w:vAlign w:val="bottom"/>
            <w:gridSpan w:val="4"/>
          </w:tcPr>
          <w:p>
            <w:pPr>
              <w:jc w:val="center"/>
              <w:ind w:left="141"/>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3"/>
                <w:szCs w:val="13"/>
                <w:color w:val="auto"/>
              </w:rPr>
            </w:pPr>
          </w:p>
        </w:tc>
        <w:tc>
          <w:tcPr>
            <w:tcW w:w="178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89"/>
              </w:rPr>
              <w:t>(Effective Portion)</w:t>
            </w:r>
          </w:p>
        </w:tc>
        <w:tc>
          <w:tcPr>
            <w:tcW w:w="60" w:type="dxa"/>
            <w:vAlign w:val="bottom"/>
          </w:tcPr>
          <w:p>
            <w:pPr>
              <w:spacing w:after="0"/>
              <w:rPr>
                <w:sz w:val="13"/>
                <w:szCs w:val="13"/>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(Effective Portion)</w:t>
            </w:r>
          </w:p>
        </w:tc>
        <w:tc>
          <w:tcPr>
            <w:tcW w:w="140" w:type="dxa"/>
            <w:vAlign w:val="bottom"/>
          </w:tcPr>
          <w:p>
            <w:pPr>
              <w:spacing w:after="0"/>
              <w:rPr>
                <w:sz w:val="13"/>
                <w:szCs w:val="13"/>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9"/>
              </w:rPr>
              <w:t>(Effective Portion)</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4"/>
              </w:rPr>
              <w:t>Effectiveness Testing)</w:t>
            </w:r>
          </w:p>
        </w:tc>
        <w:tc>
          <w:tcPr>
            <w:tcW w:w="180" w:type="dxa"/>
            <w:vAlign w:val="bottom"/>
          </w:tcPr>
          <w:p>
            <w:pPr>
              <w:spacing w:after="0"/>
              <w:rPr>
                <w:sz w:val="13"/>
                <w:szCs w:val="13"/>
                <w:color w:val="auto"/>
              </w:rPr>
            </w:pPr>
          </w:p>
        </w:tc>
        <w:tc>
          <w:tcPr>
            <w:tcW w:w="1520" w:type="dxa"/>
            <w:vAlign w:val="bottom"/>
            <w:gridSpan w:val="4"/>
          </w:tcPr>
          <w:p>
            <w:pPr>
              <w:jc w:val="center"/>
              <w:ind w:left="141"/>
              <w:spacing w:after="0"/>
              <w:rPr>
                <w:sz w:val="20"/>
                <w:szCs w:val="20"/>
                <w:color w:val="auto"/>
              </w:rPr>
            </w:pPr>
            <w:r>
              <w:rPr>
                <w:rFonts w:ascii="Arial" w:cs="Arial" w:eastAsia="Arial" w:hAnsi="Arial"/>
                <w:sz w:val="13"/>
                <w:szCs w:val="13"/>
                <w:b w:val="1"/>
                <w:bCs w:val="1"/>
                <w:color w:val="auto"/>
                <w:w w:val="84"/>
              </w:rPr>
              <w:t>Effectiveness Testing)</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60" w:type="dxa"/>
            <w:vAlign w:val="bottom"/>
            <w:gridSpan w:val="2"/>
            <w:vMerge w:val="continue"/>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May 3,</w:t>
            </w: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137"/>
              <w:spacing w:after="0" w:line="110" w:lineRule="exact"/>
              <w:rPr>
                <w:sz w:val="20"/>
                <w:szCs w:val="20"/>
                <w:color w:val="auto"/>
              </w:rPr>
            </w:pPr>
            <w:r>
              <w:rPr>
                <w:rFonts w:ascii="Arial" w:cs="Arial" w:eastAsia="Arial" w:hAnsi="Arial"/>
                <w:sz w:val="12"/>
                <w:szCs w:val="12"/>
                <w:b w:val="1"/>
                <w:bCs w:val="1"/>
                <w:color w:val="auto"/>
              </w:rPr>
              <w:t>May 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7"/>
              </w:rPr>
              <w:t>May 3,</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97"/>
              <w:spacing w:after="0" w:line="110" w:lineRule="exact"/>
              <w:rPr>
                <w:sz w:val="20"/>
                <w:szCs w:val="20"/>
                <w:color w:val="auto"/>
              </w:rPr>
            </w:pPr>
            <w:r>
              <w:rPr>
                <w:rFonts w:ascii="Arial" w:cs="Arial" w:eastAsia="Arial" w:hAnsi="Arial"/>
                <w:sz w:val="12"/>
                <w:szCs w:val="12"/>
                <w:b w:val="1"/>
                <w:bCs w:val="1"/>
                <w:color w:val="auto"/>
              </w:rPr>
              <w:t>May 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top w:val="single" w:sz="8" w:color="auto"/>
            </w:tcBorders>
          </w:tcPr>
          <w:p>
            <w:pPr>
              <w:jc w:val="center"/>
              <w:ind w:left="141"/>
              <w:spacing w:after="0" w:line="110" w:lineRule="exact"/>
              <w:rPr>
                <w:sz w:val="20"/>
                <w:szCs w:val="20"/>
                <w:color w:val="auto"/>
              </w:rPr>
            </w:pPr>
            <w:r>
              <w:rPr>
                <w:rFonts w:ascii="Arial" w:cs="Arial" w:eastAsia="Arial" w:hAnsi="Arial"/>
                <w:sz w:val="12"/>
                <w:szCs w:val="12"/>
                <w:b w:val="1"/>
                <w:bCs w:val="1"/>
                <w:color w:val="auto"/>
              </w:rPr>
              <w:t>May 3,</w:t>
            </w: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left="146"/>
              <w:spacing w:after="0" w:line="110" w:lineRule="exact"/>
              <w:rPr>
                <w:sz w:val="20"/>
                <w:szCs w:val="20"/>
                <w:color w:val="auto"/>
              </w:rPr>
            </w:pPr>
            <w:r>
              <w:rPr>
                <w:rFonts w:ascii="Arial" w:cs="Arial" w:eastAsia="Arial" w:hAnsi="Arial"/>
                <w:sz w:val="12"/>
                <w:szCs w:val="12"/>
                <w:b w:val="1"/>
                <w:bCs w:val="1"/>
                <w:color w:val="auto"/>
              </w:rPr>
              <w:t>May 4,</w:t>
            </w:r>
          </w:p>
        </w:tc>
        <w:tc>
          <w:tcPr>
            <w:tcW w:w="2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140" w:type="dxa"/>
            <w:vAlign w:val="bottom"/>
          </w:tcPr>
          <w:p>
            <w:pPr>
              <w:spacing w:after="0"/>
              <w:rPr>
                <w:sz w:val="13"/>
                <w:szCs w:val="13"/>
                <w:color w:val="auto"/>
              </w:rPr>
            </w:pPr>
          </w:p>
        </w:tc>
        <w:tc>
          <w:tcPr>
            <w:tcW w:w="70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60" w:type="dxa"/>
            <w:vAlign w:val="bottom"/>
            <w:gridSpan w:val="2"/>
          </w:tcPr>
          <w:p>
            <w:pPr>
              <w:jc w:val="center"/>
              <w:ind w:left="317"/>
              <w:spacing w:after="0"/>
              <w:rPr>
                <w:sz w:val="20"/>
                <w:szCs w:val="20"/>
                <w:color w:val="auto"/>
              </w:rPr>
            </w:pPr>
            <w:r>
              <w:rPr>
                <w:rFonts w:ascii="Arial" w:cs="Arial" w:eastAsia="Arial" w:hAnsi="Arial"/>
                <w:sz w:val="13"/>
                <w:szCs w:val="13"/>
                <w:b w:val="1"/>
                <w:bCs w:val="1"/>
                <w:color w:val="auto"/>
                <w:w w:val="89"/>
              </w:rPr>
              <w:t>2013</w:t>
            </w:r>
          </w:p>
        </w:tc>
        <w:tc>
          <w:tcPr>
            <w:tcW w:w="200" w:type="dxa"/>
            <w:vAlign w:val="bottom"/>
          </w:tcPr>
          <w:p>
            <w:pPr>
              <w:spacing w:after="0"/>
              <w:rPr>
                <w:sz w:val="13"/>
                <w:szCs w:val="13"/>
                <w:color w:val="auto"/>
              </w:rPr>
            </w:pPr>
          </w:p>
        </w:tc>
        <w:tc>
          <w:tcPr>
            <w:tcW w:w="74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auto"/>
                <w:w w:val="89"/>
              </w:rPr>
              <w:t>2012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Net sales</w:t>
            </w: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133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363</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120</w:t>
            </w:r>
          </w:p>
        </w:tc>
        <w:tc>
          <w:tcPr>
            <w:tcW w:w="1720" w:type="dxa"/>
            <w:vAlign w:val="bottom"/>
            <w:gridSpan w:val="3"/>
            <w:vMerge w:val="restart"/>
          </w:tcPr>
          <w:p>
            <w:pPr>
              <w:ind w:left="60"/>
              <w:spacing w:after="0" w:line="129" w:lineRule="exact"/>
              <w:rPr>
                <w:sz w:val="20"/>
                <w:szCs w:val="20"/>
                <w:color w:val="auto"/>
              </w:rPr>
            </w:pPr>
            <w:r>
              <w:rPr>
                <w:rFonts w:ascii="Arial" w:cs="Arial" w:eastAsia="Arial" w:hAnsi="Arial"/>
                <w:sz w:val="13"/>
                <w:szCs w:val="13"/>
                <w:color w:val="auto"/>
              </w:rPr>
              <w:t>Cost of sales</w:t>
            </w: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177</w:t>
            </w: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ind w:right="120"/>
              <w:spacing w:after="0" w:line="129" w:lineRule="exact"/>
              <w:rPr>
                <w:sz w:val="20"/>
                <w:szCs w:val="20"/>
                <w:color w:val="auto"/>
              </w:rPr>
            </w:pPr>
            <w:r>
              <w:rPr>
                <w:rFonts w:ascii="Arial" w:cs="Arial" w:eastAsia="Arial" w:hAnsi="Arial"/>
                <w:sz w:val="13"/>
                <w:szCs w:val="13"/>
                <w:color w:val="auto"/>
              </w:rPr>
              <w:t>(214)</w:t>
            </w: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Other income, net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(292)</w:t>
            </w:r>
          </w:p>
        </w:tc>
        <w:tc>
          <w:tcPr>
            <w:tcW w:w="14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(911)</w:t>
            </w: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May 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May 4,</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May 3,</w:t>
            </w:r>
          </w:p>
        </w:tc>
        <w:tc>
          <w:tcPr>
            <w:tcW w:w="14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5"/>
              </w:rPr>
              <w:t>May 4,</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center"/>
              <w:ind w:left="141"/>
              <w:spacing w:after="0"/>
              <w:rPr>
                <w:sz w:val="20"/>
                <w:szCs w:val="20"/>
                <w:color w:val="auto"/>
              </w:rPr>
            </w:pPr>
            <w:r>
              <w:rPr>
                <w:rFonts w:ascii="Arial" w:cs="Arial" w:eastAsia="Arial" w:hAnsi="Arial"/>
                <w:sz w:val="13"/>
                <w:szCs w:val="13"/>
                <w:b w:val="1"/>
                <w:bCs w:val="1"/>
                <w:color w:val="auto"/>
                <w:w w:val="95"/>
              </w:rPr>
              <w:t>May 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ind w:left="146"/>
              <w:spacing w:after="0"/>
              <w:rPr>
                <w:sz w:val="20"/>
                <w:szCs w:val="20"/>
                <w:color w:val="auto"/>
              </w:rPr>
            </w:pPr>
            <w:r>
              <w:rPr>
                <w:rFonts w:ascii="Arial" w:cs="Arial" w:eastAsia="Arial" w:hAnsi="Arial"/>
                <w:sz w:val="13"/>
                <w:szCs w:val="13"/>
                <w:b w:val="1"/>
                <w:bCs w:val="1"/>
                <w:color w:val="auto"/>
                <w:w w:val="95"/>
              </w:rPr>
              <w:t>May 4,</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w:t>
            </w:r>
          </w:p>
        </w:tc>
        <w:tc>
          <w:tcPr>
            <w:tcW w:w="140" w:type="dxa"/>
            <w:vAlign w:val="bottom"/>
          </w:tcPr>
          <w:p>
            <w:pPr>
              <w:spacing w:after="0"/>
              <w:rPr>
                <w:sz w:val="13"/>
                <w:szCs w:val="13"/>
                <w:color w:val="auto"/>
              </w:rPr>
            </w:pPr>
          </w:p>
        </w:tc>
        <w:tc>
          <w:tcPr>
            <w:tcW w:w="70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60" w:type="dxa"/>
            <w:vAlign w:val="bottom"/>
            <w:gridSpan w:val="2"/>
          </w:tcPr>
          <w:p>
            <w:pPr>
              <w:jc w:val="center"/>
              <w:ind w:left="317"/>
              <w:spacing w:after="0"/>
              <w:rPr>
                <w:sz w:val="20"/>
                <w:szCs w:val="20"/>
                <w:color w:val="auto"/>
              </w:rPr>
            </w:pPr>
            <w:r>
              <w:rPr>
                <w:rFonts w:ascii="Arial" w:cs="Arial" w:eastAsia="Arial" w:hAnsi="Arial"/>
                <w:sz w:val="13"/>
                <w:szCs w:val="13"/>
                <w:b w:val="1"/>
                <w:bCs w:val="1"/>
                <w:color w:val="auto"/>
                <w:w w:val="89"/>
              </w:rPr>
              <w:t>2013</w:t>
            </w:r>
          </w:p>
        </w:tc>
        <w:tc>
          <w:tcPr>
            <w:tcW w:w="200" w:type="dxa"/>
            <w:vAlign w:val="bottom"/>
          </w:tcPr>
          <w:p>
            <w:pPr>
              <w:spacing w:after="0"/>
              <w:rPr>
                <w:sz w:val="13"/>
                <w:szCs w:val="13"/>
                <w:color w:val="auto"/>
              </w:rPr>
            </w:pPr>
          </w:p>
        </w:tc>
        <w:tc>
          <w:tcPr>
            <w:tcW w:w="74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auto"/>
                <w:w w:val="89"/>
              </w:rPr>
              <w:t>2012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Net sales</w:t>
            </w: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1,705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701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203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601</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692</w:t>
            </w:r>
          </w:p>
        </w:tc>
        <w:tc>
          <w:tcPr>
            <w:tcW w:w="1720" w:type="dxa"/>
            <w:vAlign w:val="bottom"/>
            <w:gridSpan w:val="3"/>
            <w:vMerge w:val="restart"/>
          </w:tcPr>
          <w:p>
            <w:pPr>
              <w:ind w:left="60"/>
              <w:spacing w:after="0" w:line="129" w:lineRule="exact"/>
              <w:rPr>
                <w:sz w:val="20"/>
                <w:szCs w:val="20"/>
                <w:color w:val="auto"/>
              </w:rPr>
            </w:pPr>
            <w:r>
              <w:rPr>
                <w:rFonts w:ascii="Arial" w:cs="Arial" w:eastAsia="Arial" w:hAnsi="Arial"/>
                <w:sz w:val="13"/>
                <w:szCs w:val="13"/>
                <w:color w:val="auto"/>
              </w:rPr>
              <w:t>Cost of sales</w:t>
            </w: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241</w:t>
            </w: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ind w:right="120"/>
              <w:spacing w:after="0" w:line="129" w:lineRule="exact"/>
              <w:rPr>
                <w:sz w:val="20"/>
                <w:szCs w:val="20"/>
                <w:color w:val="auto"/>
              </w:rPr>
            </w:pPr>
            <w:r>
              <w:rPr>
                <w:rFonts w:ascii="Arial" w:cs="Arial" w:eastAsia="Arial" w:hAnsi="Arial"/>
                <w:sz w:val="13"/>
                <w:szCs w:val="13"/>
                <w:color w:val="auto"/>
              </w:rPr>
              <w:t>(646)</w:t>
            </w: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(605)</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Other income, net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(839)</w:t>
            </w:r>
          </w:p>
        </w:tc>
        <w:tc>
          <w:tcPr>
            <w:tcW w:w="14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(1,940)</w:t>
            </w: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1,059</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May 3, 2013, the company expects to reclassify approximately $0.7 million of gains from AOCL to earnings during the next 12 months.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6"/>
              </w:rPr>
              <w:t>Gain (Loss) Recognized in Net Earnings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Location of Gain (Loss)</w:t>
            </w: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149"/>
              <w:spacing w:after="0" w:line="142"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518"/>
              <w:spacing w:after="0" w:line="142"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May 3,</w:t>
            </w:r>
          </w:p>
        </w:tc>
        <w:tc>
          <w:tcPr>
            <w:tcW w:w="1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4,</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May 3,</w:t>
            </w:r>
          </w:p>
        </w:tc>
        <w:tc>
          <w:tcPr>
            <w:tcW w:w="200" w:type="dxa"/>
            <w:vAlign w:val="bottom"/>
          </w:tcPr>
          <w:p>
            <w:pPr>
              <w:spacing w:after="0"/>
              <w:rPr>
                <w:sz w:val="10"/>
                <w:szCs w:val="10"/>
                <w:color w:val="auto"/>
              </w:rPr>
            </w:pPr>
          </w:p>
        </w:tc>
        <w:tc>
          <w:tcPr>
            <w:tcW w:w="840" w:type="dxa"/>
            <w:vAlign w:val="bottom"/>
          </w:tcPr>
          <w:p>
            <w:pPr>
              <w:jc w:val="right"/>
              <w:ind w:right="238"/>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Recognized in Net Earnings</w:t>
            </w:r>
          </w:p>
        </w:tc>
        <w:tc>
          <w:tcPr>
            <w:tcW w:w="180" w:type="dxa"/>
            <w:vAlign w:val="bottom"/>
          </w:tcPr>
          <w:p>
            <w:pPr>
              <w:spacing w:after="0"/>
              <w:rPr>
                <w:sz w:val="14"/>
                <w:szCs w:val="14"/>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2,394</w:t>
            </w:r>
          </w:p>
        </w:tc>
        <w:tc>
          <w:tcPr>
            <w:tcW w:w="90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Cross currency swaps</w:t>
            </w:r>
          </w:p>
        </w:tc>
        <w:tc>
          <w:tcPr>
            <w:tcW w:w="2640" w:type="dxa"/>
            <w:vAlign w:val="bottom"/>
            <w:gridSpan w:val="3"/>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ectPr>
          <w:pgSz w:w="11900" w:h="16838" w:orient="portrait"/>
          <w:cols w:equalWidth="0" w:num="1">
            <w:col w:w="11420"/>
          </w:cols>
          <w:pgMar w:left="240" w:top="368" w:right="239" w:bottom="0" w:gutter="0" w:footer="0" w:header="0"/>
        </w:sectPr>
      </w:pPr>
    </w:p>
    <w:bookmarkStart w:id="9" w:name="page10"/>
    <w:bookmarkEnd w:id="9"/>
    <w:p>
      <w:pPr>
        <w:spacing w:after="0" w:line="114"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Cash and cash equivalents are valued at their carrying amounts in the consolidated balance sheets, which are reasonable estimates of their fair value due to their short-term maturities.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Assets and liabilities measured at fair value on a recurring basis, as of May 3, 2013, May 4, 2012, and October 31, 2012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May 3, 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80,341</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80,341</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2,268</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3,180</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May 4, 2012</w:t>
            </w: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82,572</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82,572</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84,649</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3,928</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October 31, 2012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125,856</w:t>
            </w:r>
          </w:p>
        </w:tc>
        <w:tc>
          <w:tcPr>
            <w:tcW w:w="24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125,856</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1,046</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2,114</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3,547</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-3337560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-3337560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three and six months ended May 3, 2013 and May 4, 2012, or the twelve months ended October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82"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b w:val="1"/>
          <w:bCs w:val="1"/>
          <w:i w:val="1"/>
          <w:iCs w:val="1"/>
          <w:color w:val="auto"/>
        </w:rPr>
        <w:t xml:space="preserve">Canadian Lawnmower Engine Horsepower Marketing and Sales Practices Litigation. </w:t>
      </w:r>
      <w:r>
        <w:rPr>
          <w:rFonts w:ascii="Arial" w:cs="Arial" w:eastAsia="Arial" w:hAnsi="Arial"/>
          <w:sz w:val="16"/>
          <w:szCs w:val="16"/>
          <w:color w:val="auto"/>
        </w:rPr>
        <w:t>In March 2010, individuals who claim to have purchased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lawnmowers in Canada filed class action litigation against the company and other defendants that, similar to the class action litigation previously filed by plaintiffs in the United States and settled by the company pursuant to a settlement agreement that became final in February 2011, (i) contains allegations</w:t>
      </w:r>
    </w:p>
    <w:p>
      <w:pPr>
        <w:sectPr>
          <w:pgSz w:w="11900" w:h="16952" w:orient="portrait"/>
          <w:cols w:equalWidth="0" w:num="1">
            <w:col w:w="11460"/>
          </w:cols>
          <w:pgMar w:left="240" w:top="125" w:right="199" w:bottom="0" w:gutter="0" w:footer="0" w:header="0"/>
        </w:sectPr>
      </w:pPr>
    </w:p>
    <w:bookmarkStart w:id="10" w:name="page11"/>
    <w:bookmarkEnd w:id="10"/>
    <w:p>
      <w:pPr>
        <w:spacing w:after="0" w:line="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applicable Canadian law that the horsepower labels on the products the plaintiffs purchased were inaccurate, (ii) 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187"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and, in the event the company is unable to favorably resolve this litigation, while management does not currently believe that this litigation would have a material adverse effect on the company’s annual consolidated operating results or financial condition,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landscape equipment and lighting, turf irrigation systems,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results for the second quarter of fiscal 2013 were positive with a net sales increase of 1.9 percent and a net earnings increase of 13.9 percent, each as compared to the second quarter of fiscal 2012. Year-to-date net earnings increased 23.7 percent in fiscal 2013 compared to the same period in the prior fiscal year on a net sales increase of 3.0 percent. Sales for our professional segment increased 8.9 percent in the second quarter of fiscal 2013 compared to the second quarter of fiscal 2012 due to strong pre-season demand for our landscape contractor equipment resulting from customer optimism for the upcoming selling season and newly introduced products, increased shipments of golf and grounds equipment in Europe and Asia, higher sales of our micro-irrigation products from continued market growth and demand for our drip irrigation solutions in agricultural markets, and price increases on some products. For the year-to-date period of fiscal 2013, professional segment net sales were up 11.6 percent also due to strong demand in our first quarter of fiscal 2013 for products manufactured prior to the phase in of applicable Tier 4 emission requirements that resulted in price increases for such products. Additionally, increased sales and demand in the rental market, as well as incremental net sales from acquisitions, contributed to our professional segment net sales growth in fiscal 2013. Residential segment sales were down 13.2 percent and 12.8 percent for our second quarter and year-to-date periods of fiscal 2013, respectively, compared to the same periods in the prior fiscal year due to lower shipments and demand for walk power mowers and riding products primarily from unfavorable weather conditions this year compounded by favorable early spring weather conditions in 2012. Additionally, lower shipments of snow thrower products due to the lack of snowfall for the winter of 2012/2013 during the primary selling season contributed to the decrease of our residential segment net sales for the year-to-date comparison, which was somewhat offset by higher sales of Pope products in Australia due to increased demand for irrigation products as a result of drought conditions. Our net earnings growth in the second quarter and year-to-date periods of fiscal 2013 resulted primarily from an improvement of our gross margin rate of 180 basis points and 210 basis points for the second quarter and year-to-date periods of fiscal 2013, respectively, compared to the same periods last fiscal year, higher sales volumes, and a decrease in our tax rate due to the retroactive reenactment of the domestic research and development tax credit in our first quarter of fiscal 2013. However, our selling, general, and administrative (SG&amp;A) expense as a percentage of net sales was up by 50 basis points and 40 basis points in the second quarter and year-to-date periods of fiscal 2013, respectively, compared to the same periods last fiscal year.</w:t>
      </w:r>
    </w:p>
    <w:p>
      <w:pPr>
        <w:spacing w:after="0" w:line="188"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Although our overall financial condition remains strong, our inventory levels increased 23.6 percent as of the end of the second quarter of fiscal 2013 compared to the end of the second quarter of fiscal 2012 as we built inventory in anticipation of strong demand for products impacted by Tier 4 emissions requirements, and higher residential segment inventory levels due to lower sales volumes. Our receivables increased 12.8 percent, as of the end of the second quarter of fiscal 2013 compared to the end of the second quarter of fiscal 2012 due to a higher proportion of sales that were not financed with Red Iron. We increased our second quarter cash dividend by 27.3 percent from $0.11 to $0.14 per share compared to the quarterly cash dividend paid in the second quarter of fiscal 2012.</w:t>
      </w:r>
    </w:p>
    <w:p>
      <w:pPr>
        <w:spacing w:after="0" w:line="193"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is our third year of this four-year initiative, which is intended to focus our efforts on driving our legacy of excellence through building caring relationships and engaging in innovation. Through our Destination 2014 initiative financial goals, we strive to achieve $100 million in organic revenue growth each fiscal year and 12 percent operating earnings as a percentage of net sales by the end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11" w:name="page12"/>
    <w:bookmarkEnd w:id="11"/>
    <w:p>
      <w:pPr>
        <w:jc w:val="center"/>
        <w:ind w:right="260"/>
        <w:spacing w:after="0"/>
        <w:rPr>
          <w:sz w:val="20"/>
          <w:szCs w:val="20"/>
          <w:color w:val="auto"/>
        </w:rPr>
      </w:pPr>
      <w:r>
        <w:rPr>
          <w:rFonts w:ascii="Arial" w:cs="Arial" w:eastAsia="Arial" w:hAnsi="Arial"/>
          <w:sz w:val="16"/>
          <w:szCs w:val="16"/>
          <w:color w:val="auto"/>
        </w:rPr>
        <w:t>of fiscal 2014. We define organic revenue growth as the increase in net sales, less net sales from acquisitions that occurred in the most recent four quarters.</w:t>
      </w:r>
    </w:p>
    <w:p>
      <w:pPr>
        <w:spacing w:after="0" w:line="248" w:lineRule="exact"/>
        <w:rPr>
          <w:sz w:val="20"/>
          <w:szCs w:val="20"/>
          <w:color w:val="auto"/>
        </w:rPr>
      </w:pPr>
    </w:p>
    <w:p>
      <w:pPr>
        <w:ind w:right="560" w:firstLine="270"/>
        <w:spacing w:after="0" w:line="277" w:lineRule="auto"/>
        <w:rPr>
          <w:sz w:val="20"/>
          <w:szCs w:val="20"/>
          <w:color w:val="auto"/>
        </w:rPr>
      </w:pPr>
      <w:r>
        <w:rPr>
          <w:rFonts w:ascii="Arial" w:cs="Arial" w:eastAsia="Arial" w:hAnsi="Arial"/>
          <w:sz w:val="18"/>
          <w:szCs w:val="18"/>
          <w:color w:val="auto"/>
        </w:rPr>
        <w:t>In January 2013, we entered into an agreement to acquire a Chinese micro-irrigation company, subject to applicable regulatory approvals and other customary closing conditions. We expect to close the transaction by the end of fiscal 2013.</w:t>
      </w:r>
    </w:p>
    <w:p>
      <w:pPr>
        <w:spacing w:after="0" w:line="170"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Our financial results for the first half of fiscal 2013 were solid, and we are optimistic about the remainder of the fiscal year. Our continued focus is on generating customer demand and aggressively driving retail sales for our innovative products, while keeping production closely aligned with expected shipment volumes. We will continue to keep a cautionary eye on the global economic environment, retail demand, field inventory levels, commodity prices, weather conditions, competitive actions, expenses, and other factors identified below under the heading “Forward-Looking Information,” which could cause our actual results to differ from our anticipated outlook.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earnings for the second quarter of fiscal 2013 were $78.4 million, or $1.32 per diluted share, compared to $68.8 million, or $1.13 per diluted share, for the second quarter of fiscal 2012, resulting in a net earnings per diluted share increase of 16.8 percent. Year-to-date net earnings in fiscal 2013 were $109.8 million, or $1.85 per diluted share, compared to $88.7 million, or $1.46 per diluted share, in the same comparable period last fiscal year, resulting in a net earnings per diluted share increase of 26.7 percent. The primary factors contributing to our earnings improvements were an increase in our gross margin rate, higher sales volumes, and a decrease in our effective tax rate, somewhat offset by an increase in SG&amp;A expense. In addition, second quarter and year-to-date fiscal 2013 net earnings per diluted share were benefited by approximately $0.03 per share and $0.05 per share, respectively, compared to the same periods in fiscal 2012, as a result of reduced shares outstanding from repurchases of our common stock.</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5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560" w:type="dxa"/>
            <w:vAlign w:val="bottom"/>
          </w:tcPr>
          <w:p>
            <w:pPr>
              <w:spacing w:after="0"/>
              <w:rPr>
                <w:sz w:val="10"/>
                <w:szCs w:val="10"/>
                <w:color w:val="auto"/>
              </w:rPr>
            </w:pPr>
          </w:p>
        </w:tc>
        <w:tc>
          <w:tcPr>
            <w:tcW w:w="920" w:type="dxa"/>
            <w:vAlign w:val="bottom"/>
          </w:tcPr>
          <w:p>
            <w:pPr>
              <w:jc w:val="center"/>
              <w:ind w:left="370"/>
              <w:spacing w:after="0" w:line="119" w:lineRule="exact"/>
              <w:rPr>
                <w:sz w:val="20"/>
                <w:szCs w:val="20"/>
                <w:color w:val="auto"/>
              </w:rPr>
            </w:pPr>
            <w:r>
              <w:rPr>
                <w:rFonts w:ascii="Arial" w:cs="Arial" w:eastAsia="Arial" w:hAnsi="Arial"/>
                <w:sz w:val="13"/>
                <w:szCs w:val="13"/>
                <w:b w:val="1"/>
                <w:bCs w:val="1"/>
                <w:color w:val="auto"/>
              </w:rPr>
              <w:t>May 3,</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left="371"/>
              <w:spacing w:after="0" w:line="119" w:lineRule="exact"/>
              <w:rPr>
                <w:sz w:val="20"/>
                <w:szCs w:val="20"/>
                <w:color w:val="auto"/>
              </w:rPr>
            </w:pPr>
            <w:r>
              <w:rPr>
                <w:rFonts w:ascii="Arial" w:cs="Arial" w:eastAsia="Arial" w:hAnsi="Arial"/>
                <w:sz w:val="13"/>
                <w:szCs w:val="13"/>
                <w:b w:val="1"/>
                <w:bCs w:val="1"/>
                <w:color w:val="auto"/>
              </w:rPr>
              <w:t>May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May 3,</w:t>
            </w:r>
          </w:p>
        </w:tc>
        <w:tc>
          <w:tcPr>
            <w:tcW w:w="90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May 4,</w:t>
            </w:r>
          </w:p>
        </w:tc>
        <w:tc>
          <w:tcPr>
            <w:tcW w:w="160" w:type="dxa"/>
            <w:vAlign w:val="bottom"/>
          </w:tcPr>
          <w:p>
            <w:pPr>
              <w:spacing w:after="0"/>
              <w:rPr>
                <w:sz w:val="10"/>
                <w:szCs w:val="10"/>
                <w:color w:val="auto"/>
              </w:rPr>
            </w:pPr>
          </w:p>
        </w:tc>
      </w:tr>
      <w:tr>
        <w:trPr>
          <w:trHeight w:val="171"/>
        </w:trPr>
        <w:tc>
          <w:tcPr>
            <w:tcW w:w="45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100.0%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1"/>
              </w:rPr>
              <w:t>100.0%</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(64.2)</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(66.0)</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(63.6)</w:t>
            </w:r>
          </w:p>
        </w:tc>
        <w:tc>
          <w:tcPr>
            <w:tcW w:w="46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(65.7)</w:t>
            </w:r>
          </w:p>
        </w:tc>
      </w:tr>
      <w:tr>
        <w:trPr>
          <w:trHeight w:val="210"/>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(19.1)</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(18.6)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(22.1)</w:t>
            </w:r>
          </w:p>
        </w:tc>
        <w:tc>
          <w:tcPr>
            <w:tcW w:w="46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(21.7)</w:t>
            </w:r>
          </w:p>
        </w:tc>
      </w:tr>
      <w:tr>
        <w:trPr>
          <w:trHeight w:val="210"/>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(5.4)</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(4.1)</w:t>
            </w:r>
          </w:p>
        </w:tc>
      </w:tr>
      <w:tr>
        <w:trPr>
          <w:trHeight w:val="223"/>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Worldwide consolidated net sales for the second quarter of fiscal 2013 were $704.5 million, up 1.9 percent compared to the second quarter of fiscal 2012. For the year-to-date period of fiscal 2013, net sales were $1,149.1 million, up 3.0 percent from the same period in the prior fiscal year. Worldwide professional segment net sales were up 8.9 percent and 11.6 percent for the second quarter and year-to-date periods of fiscal 2013, respectively, compared to the same periods in the prior fiscal year. Sales for our professional segment increased due to strong pre-season demand for our landscape contractor equipment resulting from customer optimism for the upcoming selling season and newly introduced products, increased shipments of golf and grounds equipment in Europe and Asia, higher sales of our micro-irrigation products from continued market growth and demand for our drip irrigation solutions in agricultural markets, and price increases on some products. For the year-to-date period of fiscal 2013, professional segment net sales were up also due to strong demand in our first quarter of fiscal 2013 for products manufactured prior to the phase in of applicable Tier 4 emission requirements that resulted in price increases for such products. Specifically, additional Tier 4 emission requirements began to phase in for our products manufactured after January 1, 2013, having diesel engines greater than 25 but less than 75 horsepower. As a result, during the first quarter of 2013, we implemented price increases for our products subject to such Tier 4 emission requirements in order to cover the additional cost associated with the new technologies. Consequently, our professional segment net sales in the first quarter of fiscal 2013 were significantly higher than we experienced in the past or expect to experience in the future, except as may potentially be realized in connection with the phase in of additional future requirements. The result was strong demand prior to price increases going into effect for products now subject to Tier 4 emission requirements. Additionally, increased sales and demand in the rental market, as well as incremental net sales from acquisitions of $3.2 million and $6.4 million for the second quarter and year-to-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date periods of fiscal 2013, respectively, contributed to our professional segment net sales growth. Residential segment net sales were down 13.2 percent and 12.8 percent for the second quarter and year-to-date periods of fiscal 2013, respectively, compared to the same periods in the prior fiscal year due to lower shipments and demand for walk power mowers and riding products primarily from unfavorable weather conditions this year compounded by favorable early spring weather conditions in 2012. Additionally, lower shipments of snow thrower products due to the lack of snowfall for the winter of 2012/2013 during the primary selling season contributed to the decrease of our residential segment net sales for the year-to-date comparison, which was somewhat offset by higher sales of Pope products in Australia due to increased demand for irrigation products as a result of drought conditions. International net sales were up 7.4 percent and 1.9 percent for the second quarter and year-to-date periods of fiscal 2013, respectively, compared to the same periods in the prior fiscal year due to increased shipments of golf and grounds equipment in Europe and Asia. However, changes in currency exchange rates resulted in a reduction of our net sales of approximately $4.3 million and $4.7 million for the second quarter and year-to-date periods of fiscal 2013, respectively. Field inventory levels were up as of the end of the second quarter of fiscal 2013 compared to the end of the second quarter of fiscal 2012 due to increased orders from strong demand prior to price increases going into effect for products subject to Tier 4 emission requirements, as well as a late start to spring, whereas last year we experienced strong preseason demand from early spring weather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ectPr>
          <w:pgSz w:w="11900" w:h="16838" w:orient="portrait"/>
          <w:cols w:equalWidth="0" w:num="1">
            <w:col w:w="11420"/>
          </w:cols>
          <w:pgMar w:left="240" w:top="341" w:right="239" w:bottom="185" w:gutter="0" w:footer="0" w:header="0"/>
        </w:sectPr>
      </w:pPr>
    </w:p>
    <w:bookmarkStart w:id="12" w:name="page13"/>
    <w:bookmarkEnd w:id="12"/>
    <w:p>
      <w:pPr>
        <w:ind w:right="160"/>
        <w:spacing w:after="0" w:line="276" w:lineRule="auto"/>
        <w:rPr>
          <w:sz w:val="20"/>
          <w:szCs w:val="20"/>
          <w:color w:val="auto"/>
        </w:rPr>
      </w:pPr>
      <w:r>
        <w:rPr>
          <w:rFonts w:ascii="Arial" w:cs="Arial" w:eastAsia="Arial" w:hAnsi="Arial"/>
          <w:sz w:val="17"/>
          <w:szCs w:val="17"/>
          <w:color w:val="auto"/>
        </w:rPr>
        <w:t>As a percentage of net sales, gross profit for the second quarter of fiscal 2013 increased 180 basis points to 35.8 percent compared to 34.0 percent in the second quarter of fiscal 2012. Gross profit as a percent of net sales for the year-to-date period of fiscal 2013 increased 210 basis points to 36.4 percent compared to 34.3 percent for the year-to-date period of fiscal 2012. These improvements were primarily due to a higher proportionate share of product sales that carry higher average gross margins, price increases on some products, cost reduction efforts, and slightly lower commodity prices, somewhat offset by changes in currency exchange rates that hampered our gross margin growth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SG&amp;A expense increased $5.9 million, or 4.6 percent, for the second quarter of fiscal 2013 compared to the second quarter of fiscal 2012 and increased $12.9 million, or 5.3 percent, for the year-to-date period of fiscal 2013 compared to the year-to-date period of fiscal 2012. As a percentage of net sales, SG&amp;A expense increased 50 basis points and 40 basis points for the second quarter and year-to-date periods of fiscal 2013, respectively, compared to the same periods in the prior fiscal year. These increases were primarily attributable to incremental SG&amp;A costs from acquisitions of approximately $2 million and $4 million for the second quarter and year-to-date periods of fiscal 2013, respectively, an increase in warehousing expenses related to our new distribution facility in Ankeny, Iowa, plus higher inventory levels, an increase in engineering from investments in new product development, and higher health insurance expense. These increases were somewhat offset by a decline in product liability expense from favorable claims experience and a decrease in incentive compensation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for the second quarter and year-to-date periods of fiscal 2013 decreased slightly, by 0.4 percent and 2.3 percent, respectively, compared to the same periods last fiscal year due to lower average debt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 income, net for the second quarter and year-to-date periods of fiscal 2013 increased $0.9 million and $1.9 million, respectively, compared to the same periods last fiscal year primarily due to higher income from our equity investment in Red Iron and a decrease in foreign currency exchange rate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effective tax rate for the second quarter of fiscal 2013 was 32.6 percent compared to 34.1 percent for the second quarter of fiscal 2012. The effective tax rate for the year-to-date periods of fiscal 2013 and 2012 was 31.3 percent and 34.0 percent, respectively. The reductions in the effective tax rate were primarily the result of the retroactive reenactment of the domestic research and development tax credit.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May 3,</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496,436</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455,945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2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201,390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231,897</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(30,507)</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3,643</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704,486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691,485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13,001</w:t>
            </w:r>
          </w:p>
        </w:tc>
        <w:tc>
          <w:tcPr>
            <w:tcW w:w="2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212,005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197,386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14,619</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2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May 3,</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825,580</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739,779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85,801</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322,337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369,505</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(47,168)</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(4,806)</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1,149,147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1,115,320</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33,827</w:t>
            </w:r>
          </w:p>
        </w:tc>
        <w:tc>
          <w:tcPr>
            <w:tcW w:w="2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353,596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346,848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6,748</w:t>
            </w: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3,</w:t>
            </w:r>
          </w:p>
        </w:tc>
        <w:tc>
          <w:tcPr>
            <w:tcW w:w="280" w:type="dxa"/>
            <w:vAlign w:val="bottom"/>
          </w:tcPr>
          <w:p>
            <w:pPr>
              <w:spacing w:after="0"/>
              <w:rPr>
                <w:sz w:val="10"/>
                <w:szCs w:val="10"/>
                <w:color w:val="auto"/>
              </w:rPr>
            </w:pPr>
          </w:p>
        </w:tc>
        <w:tc>
          <w:tcPr>
            <w:tcW w:w="136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4,</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24,679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28,518</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(3,839)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104,392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3,</w:t>
            </w:r>
          </w:p>
        </w:tc>
        <w:tc>
          <w:tcPr>
            <w:tcW w:w="280" w:type="dxa"/>
            <w:vAlign w:val="bottom"/>
          </w:tcPr>
          <w:p>
            <w:pPr>
              <w:spacing w:after="0"/>
              <w:rPr>
                <w:sz w:val="10"/>
                <w:szCs w:val="10"/>
                <w:color w:val="auto"/>
              </w:rPr>
            </w:pPr>
          </w:p>
        </w:tc>
        <w:tc>
          <w:tcPr>
            <w:tcW w:w="136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May 4,</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vMerge w:val="restart"/>
          </w:tcPr>
          <w:p>
            <w:pPr>
              <w:spacing w:after="0"/>
              <w:rPr>
                <w:sz w:val="10"/>
                <w:szCs w:val="10"/>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36,833</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41,126</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(4,293)</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(50,131)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134,478</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56"/>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second quarter and year-to-date periods of fiscal 2013 increased 8.9 percent and 11.6</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compared to the same periods in the prior fiscal year. Sales for our professional segment were up due to strong pre-season demand for our landscape contractor equipment resulting from customer optimism for the upcoming selling season and newly introduced products, increased shipments of golf and grounds equipment in Europe and Asia, higher sales of our micro-irrigation products from continued market growth and demand, as well as additional manufacturing capacity that increased production and enabled higher sales for our drip irrigation solutions, and price increases on some products. For the year-to-date period of fiscal 2013, professional segment net sales were up also due to strong demand in our first quarter of fiscal 2013 for products manufactured prior to the phase in of applicable Tier 4 emission requirements, as previously discussed. Additionally, increased sales and demand in the rental market, as well as incremental net sales from acquisitions of $3.2 million and $6.4 million for the second quarter and year-to-date periods of fiscal 2013, respectively, contributed to our professional segment net sales growth. Field inventory levels were also up as of the end of the second quarter of fiscal 2013 compared to the end of the same period in the prior fiscal year due to increased orders from strong demand prior to price increases going into effect for products subject to Tier 4 emission requirements, as well as a late start to spring, whereas last year we experienced strong preseason demand from early spring weather conditions.</w:t>
      </w:r>
    </w:p>
    <w:p>
      <w:pPr>
        <w:spacing w:after="0" w:line="1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and year-to-date periods of fiscal 2013 increased 13.8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22.9 percent, respectively, compared to the same periods in the prior fiscal year. Expressed as a percentage of net sales, professional segment operating margin increased to 22.6 percent compared to 21.6 percent in the second quarter of fiscal 2012, and fiscal 2013 year-to-date professional segment operating margin also increased to 21.0 percent compared to 19.0 percent in the same period last fiscal year. These profit improvements were attributable to higher sales volumes, an increase in gross margins primarily from the same factors discussed previously in the Gross Profit section, and lower SG&amp;A expenses as a percentage of net sales for the year-to-date comparison due to the leveraging of fixed SG&amp;A costs over higher sales volumes.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second quarter and year-to-date periods of fiscal 2013 decreased 13.2 percent and 12.8</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in the prior fiscal year. The sales decreases were largely due to lower shipments and demand for walk power mowers and riding products primarily from unfavorable weather conditions this year compounded by favorable early spring weather conditions in 2012 that accelerated sales of residential spring products into our second quarter of fiscal 2012. For the year-to-date comparison, shipments of snow thrower products were down due to the lack of snowfall for the winter of 2012/2013 during the primary selling season, which was somewhat offset by higher sales of Pope products in Australia due to increased demand for irrigation products as a result of drought conditions in that region. Our residential segment field inventory levels were higher as of the end of the second quarter of fiscal 2013 compared to the end of our second quarter of fiscal 2012 as a result of the aforementioned lack of snowfall during the primary selling season for the winter of 2012/2013, coupled with the late start to spring in 2013.</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second quarter and year-to-date periods of fiscal 2013 decreased 13.5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10.4 percent, respectively, compared to the same periods in the prior fiscal year due to lower sales volumes. However, expressed as a percentage of net sales, residential segment operating margin was even at 12.3 percent in both second quarters of fiscal 2013 and 2012, and fiscal 2013 year-to-date residential segment operating margin increased to 11.4 percent compared to 11.1 percent in the same period last fiscal year. The increase in operating margin for the year-to-date comparison was primarily attributable to an improvement in gross margin mainly as a result of cost reduction efforts and lower commodity costs, somewhat offset by higher SG&amp;A expenses as a percentage of net sales due to fixed SG&amp;A costs over lower sales volumes.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The other segment net sales for the second quarter of fiscal 2013 increased $3.0 million compared to the second quarter of fiscal 2012 due to a decline in sales eliminated in the other segment from reduced shipments to our company-owned distribution companies. For the year-to-date period of fiscal 2013, the other segment net sales decreased $4.8 million compared to the same period in the prior fiscal year due to strong professional segment sales in the first quarter of fiscal 2013, mainly for products manufactured prior to the phase-in of applicable Tier 4 emission requirements, as previously discussed, to our wholly owned distribution companies that are eliminated in our other segment.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losses for the other segment decreased $2.2 million in the second quarter of fiscal 2013 compared to the second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2012 due to a decline in product liability expense from favorable claims experience and a decrease in incentive compensation expense, somewhat offset by higher health insurance expense. For the year-to-date period of fiscal 2013 compared to the same period last fiscal year, operating losses for the other segment were up $2.7 million primarily due to an increase in the elimination of gross profit previously recorded with respect to sales of our products to our wholly owned distribution companies as a result of higher inventory levels at those distribution companies and an increase in health insurance expense, somewhat offset by lower product liability expense and incentive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ectPr>
          <w:pgSz w:w="11900" w:h="16838" w:orient="portrait"/>
          <w:cols w:equalWidth="0" w:num="1">
            <w:col w:w="11460"/>
          </w:cols>
          <w:pgMar w:left="240" w:top="118" w:right="199" w:bottom="0" w:gutter="0" w:footer="0" w:header="0"/>
        </w:sectPr>
      </w:pPr>
    </w:p>
    <w:bookmarkStart w:id="14" w:name="page15"/>
    <w:bookmarkEnd w:id="14"/>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Throughout the second quarter of fiscal 2013, our average working capital increased mainly due to higher average inventory levels as we built inventory in anticipation of higher demand for our products prior to the phase-in of applicable Tier 4 emission requirements, as well as lower sales for our residential segment from unfavorable weather conditions. We intend to continue our efforts on efficient asset management, with a focus on minimizing the amount of working capital in the supply chain, adjusting production plans, and maintaining or improving order replenishment and service levels to end users. We define average net working capital as accounts receivable plus inventory less trade payables as a percentage of net sales for a twelve month period.</w:t>
      </w:r>
    </w:p>
    <w:p>
      <w:pPr>
        <w:spacing w:after="0" w:line="158"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Receivables as of the end of the second quarter of fiscal 2013 increased 12.8 percent compared to the end of the second quarter of fiscal 2012 due to a higher proportion of sales that were not financed with Red Iron. Our average days sales outstanding for receivables were slightly up, to 35 days based on sales for the twelve months ended May 3, 2013, compared to 34.5 days for the twelve months ended May 4, 2012. Inventory levels as of the end of the second quarter of fiscal 2013 also increased by 23.6 percent compared to the end of the second quarter of fiscal 2012. Our inventory levels were up as we built inventory in anticipation of strong demand for products impacted by Tier 4 emissions requirements before they went into effect, as well as higher residential segment inventory levels due to lower shipments and demand from the late spring weather in 2013, whereas last fiscal year we experienced strong preseason demand as a result of favorable early spring weather conditions. In addition, accounts payable increased as of the end of our second quarter of fiscal 2013 by $7.3 million, or 3.7 percent, driven by higher levels of inventory. The combination of these increases resulted in a higher average net working capital as a percentage of net sales for the twelve months ended May 3, 2013 of 16.3 percent compared to 14.9 percent for the twelve months ended May 4,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or construction of new facilities, expansion and upgrading of existing facilities, as well as for financing of receivables from customers that are not financed with Red Iron. We believe that our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78"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Our Board of Directors approved a cash dividend of $0.14 per share for the second quarter of fiscal 2013 paid on April 15, 2013, which was an increase of 27.3 percent over our cash dividend of $0.11 per share for the second quarter of fiscal 2012.</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We historically use more operating cash in the first half of our fiscal year than the second half of our fiscal year due to the seasonality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Cash provided by operating activities for the first six months of fiscal 2013 decreased $52.8 million compared to the first six months of fiscal 2012, mainly as a result of a higher increase in working capital requirements, primarily from higher inventory levels and receivables, somewhat offset by higher net earnings for the first half of fiscal 2013 as compared to the first half of fiscal 2012. Cash used for investing activities was down by $10.9 million compared to the first six months of fiscal 2012, due mainly to cash utilized for acquisitions last fiscal year and lower levels of cash used for purchases of property, plant and equipment in the first half of fiscal 2013 compared to the first half of fiscal 2012. Cash used for financing activities for the first six months of fiscal 2013 was up by $5.9 million due mainly to lower amounts of proceeds from stock option exercises and higher levels of cash paid for dividends in the first half of fiscal 2013 compared to the first half of fiscal 2012, somewhat offset by lower amounts of funds used to repurchase our common stock during the first half of fiscal 2013 compared to the first half of fiscal 2012.</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u w:val="single" w:color="auto"/>
          <w:color w:val="auto"/>
        </w:rPr>
        <w:t>Credit Lines and Other Capital Resources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businesses are seasonal, with accounts receivable balances historically increasing between January and</w:t>
      </w:r>
      <w:r>
        <w:rPr>
          <w:rFonts w:ascii="Arial" w:cs="Arial" w:eastAsia="Arial" w:hAnsi="Arial"/>
          <w:sz w:val="18"/>
          <w:szCs w:val="18"/>
          <w:i w:val="1"/>
          <w:iCs w:val="1"/>
          <w:color w:val="auto"/>
        </w:rPr>
        <w:t xml:space="preserve"> </w:t>
      </w:r>
      <w:r>
        <w:rPr>
          <w:rFonts w:ascii="Arial" w:cs="Arial" w:eastAsia="Arial" w:hAnsi="Arial"/>
          <w:sz w:val="18"/>
          <w:szCs w:val="18"/>
          <w:color w:val="auto"/>
        </w:rPr>
        <w:t>April as a result of typically higher sales volumes and extended payment terms made available to our customers, and typically decreasing between May and December when payments are received. The seasonality of production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shipments causes our working capital requirements to fluctuate during the year. Seasonal cash requirements are financed from operations, cash on hand, and with short-term financing arrangements, including our $150.0 million unsecured senior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$13.5 million. These facilities bear interest at various rates depending on the rates in their respective countries of operation. As of May 3, 2013, we had no outstanding short-term debt under our credit facilities and an aggregate of $11.3 million of outstanding letters of credit. As of May 3, 2013, we had an aggregate of $152.2 million of unutilized availability under our credit agreements.</w:t>
      </w:r>
    </w:p>
    <w:p>
      <w:pPr>
        <w:spacing w:after="0" w:line="183"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May 3, 2013, we were not limited to payments of cash dividends and stock repurchases as our debt to EBITDA ratio was below 2.75. We were also in compliance with all covenants related to our credit agreement for our revolving credit facility as of May 3, 2013, and we expect to be in compliance with all covenants during the remainder of fiscal 2013.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w:t>
      </w:r>
    </w:p>
    <w:p>
      <w:pPr>
        <w:sectPr>
          <w:pgSz w:w="11900" w:h="16860" w:orient="portrait"/>
          <w:cols w:equalWidth="0" w:num="1">
            <w:col w:w="11420"/>
          </w:cols>
          <w:pgMar w:left="240" w:top="121" w:right="239" w:bottom="0" w:gutter="0" w:footer="0" w:header="0"/>
        </w:sectPr>
      </w:pPr>
    </w:p>
    <w:bookmarkStart w:id="15" w:name="page16"/>
    <w:bookmarkEnd w:id="15"/>
    <w:p>
      <w:pPr>
        <w:spacing w:after="0" w:line="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solely on a ratings downgrade. Our debt rating for long-term unsecured senior, non-credit enhanced debt was unchanged during the second quarter of fiscal 2013 by Standard and Poor’s Ratings Group at BBB and by Moody’s Investors Service at Baa3.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fiscal 2009, we established our Red Iron joint venture with TCFIF. The purpose of Red Iron is to provide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$11.8 million of receivables from us during the first six months of fiscal 2013. As of May 3, 2013, $10.4 million of receivables financed by the third party financing company, excluding Red Iron, were outstanding. See our most recently filed Annual Report on Form 10-K for further details regarding our customer financing arrangements and contractual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are subject to the effects of inflation, deflation, and changing prices. In the first six months of fiscal 2013, average prices paid for commodities and components we purchase were slightly lower compared to the average prices paid for commodities and components in the first six months of fiscal 2012, which benefited our gross margin growth rate in the first half of fiscal 2013 compared to the first half of fiscal 2012. We will continue to closely follow the commodities and components that affect our product lines, and we anticipate average prices paid for commodities and components to be approximately equivalent to or slightly higher for the remainder of fiscal 2013 as compared to fiscal 2012.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2012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December 2011, the Financial Accounting Standards Board (“FASB”) issued Accounting Standards Update (“ASU”) No. 2011-11 related to disclosures on offsetting of assets and liabilities thereby amending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ASU No. 2011-11 requires us to disclose information about offsetting and related arrangements to enable users of our financial statements to understand the effect of those arrangements on our financial position. In January 2013, the FASB issued ASU No. 2013-01 which clarified that the scope of ASU No. 2011-11 only applies to derivatives accounted for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We will adopt this guidance in our first quarter of fiscal 2014, as required. The adoption of this guidance is not expected to have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impact on our consolidated financial statements.</w:t>
      </w:r>
    </w:p>
    <w:p>
      <w:pPr>
        <w:spacing w:after="0" w:line="178"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 xml:space="preserve">In February 2013, FASB issued ASU No. 2013-02, </w:t>
      </w:r>
      <w:r>
        <w:rPr>
          <w:rFonts w:ascii="Arial" w:cs="Arial" w:eastAsia="Arial" w:hAnsi="Arial"/>
          <w:sz w:val="18"/>
          <w:szCs w:val="18"/>
          <w:i w:val="1"/>
          <w:iCs w:val="1"/>
          <w:color w:val="auto"/>
        </w:rPr>
        <w:t>Reporting of Amounts Reclassified Out of Accumulated Other Comprehensive Income</w:t>
      </w:r>
      <w:r>
        <w:rPr>
          <w:rFonts w:ascii="Arial" w:cs="Arial" w:eastAsia="Arial" w:hAnsi="Arial"/>
          <w:sz w:val="18"/>
          <w:szCs w:val="18"/>
          <w:color w:val="auto"/>
        </w:rPr>
        <w:t>. ASU No. 2013-02 requires entities to disclose, for items reclassified out of accumulated other comprehensive income (loss) and into net income in their entirety, the effect of the reclassification on each affected net income line item. ASU No. 2013-02 also requires a cross reference to other required U.S. GAAP disclosures for accumulated other comprehensive income (loss) reclassification items that are not reclassified in their entirety into net income. The effective date of ASU No. 2013-02 is for fiscal years, and interim periods within those fiscal years, beginning after December 15, 2012, and early adoption is permitted. We plan to early adopt this guidance in our fiscal 2013 fourth quarter. The adoption of this guidance is not expected to have a material impact on our consolidated financial statements.</w:t>
      </w:r>
    </w:p>
    <w:p>
      <w:pPr>
        <w:spacing w:after="0" w:line="18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the second quarter of fiscal 2013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right="20" w:hanging="252"/>
        <w:spacing w:after="0" w:line="284"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otherwise;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ind w:left="260" w:right="160" w:hanging="252"/>
        <w:spacing w:after="0" w:line="323"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Weather conditions have and may continue to reduce demand for some of our products, which may adversely affect our net sales and operating results, or may affect the timing of demand for some of our products and may adversely affect net sales and operating results in subsequent periods.</w:t>
      </w:r>
    </w:p>
    <w:p>
      <w:pPr>
        <w:sectPr>
          <w:pgSz w:w="11900" w:h="16893" w:orient="portrait"/>
          <w:cols w:equalWidth="0" w:num="1">
            <w:col w:w="11420"/>
          </w:cols>
          <w:pgMar w:left="240" w:top="125" w:right="239" w:bottom="0" w:gutter="0" w:footer="0" w:header="0"/>
        </w:sectPr>
      </w:pPr>
    </w:p>
    <w:bookmarkStart w:id="16" w:name="page17"/>
    <w:bookmarkEnd w:id="16"/>
    <w:p>
      <w:pPr>
        <w:ind w:left="260" w:right="180" w:hanging="252"/>
        <w:spacing w:after="0" w:line="279"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and parts containing various commodities that we purchase, such as steel, aluminum, fuel, resins, linerboard, copper, lead, rubber, engines, transmissions, transaxles, hydraulics, electric motors, and other commodities and components, and increases in our other costs of doing business, such as transportation costs or employee healthcare costs, including as the result of recently enacted or future healthcare laws or regulations, may adversely affect our profit margins and business.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40" w:hanging="252"/>
        <w:spacing w:after="0" w:line="253"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availability of credit to professional segment customers on acceptable terms to finance new product purchases; and the amount of government revenues, budget, and spending levels for grounds maintenance equipment; and other factors.</w:t>
      </w:r>
    </w:p>
    <w:p>
      <w:pPr>
        <w:spacing w:after="0" w:line="3" w:lineRule="exact"/>
        <w:rPr>
          <w:rFonts w:ascii="Arial" w:cs="Arial" w:eastAsia="Arial" w:hAnsi="Arial"/>
          <w:sz w:val="18"/>
          <w:szCs w:val="18"/>
          <w:color w:val="auto"/>
        </w:rPr>
      </w:pPr>
    </w:p>
    <w:p>
      <w:pPr>
        <w:ind w:left="260" w:right="16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ind w:left="260" w:right="6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4"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right="40" w:hanging="252"/>
        <w:spacing w:after="0" w:line="284"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 to additional horsepower categories and, accordingly, apply to more of our products. Although we have developed plans to achieve substantial compliance with Tier 4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To the extent in which we are able to pass along costs we incurred related to research, development, engineering, and other costs to design Tier 4 compliant products in the form of prices increases to our customers and/or our competitors implement different strategies with respect to compliance with Tier 4 requirements, we may experience lower market demand for our products that may, ultimately, adversely affect our profit margins, net sales, and overall financial results. Additionally, as customers’ buying patterns change to purchasing our products in advance of price increases on compliant products, we have and may continue to experience abnormal fluctuation in sales and our financial results of any one period may not be representative of expected financial results in subsequent periods. We believe our financial results during the first quarter and year-to-date period of fiscal 2013 were positively impacted by these patterns.</w:t>
      </w:r>
    </w:p>
    <w:p>
      <w:pPr>
        <w:spacing w:after="0" w:line="177" w:lineRule="exact"/>
        <w:rPr>
          <w:sz w:val="20"/>
          <w:szCs w:val="20"/>
          <w:color w:val="auto"/>
        </w:rPr>
      </w:pPr>
    </w:p>
    <w:p>
      <w:pPr>
        <w:ind w:left="260" w:firstLine="261"/>
        <w:spacing w:after="0" w:line="253" w:lineRule="auto"/>
        <w:rPr>
          <w:sz w:val="20"/>
          <w:szCs w:val="20"/>
          <w:color w:val="auto"/>
        </w:rPr>
      </w:pPr>
      <w:r>
        <w:rPr>
          <w:rFonts w:ascii="Arial" w:cs="Arial" w:eastAsia="Arial" w:hAnsi="Arial"/>
          <w:sz w:val="18"/>
          <w:szCs w:val="18"/>
          <w:color w:val="auto"/>
        </w:rPr>
        <w:t>As required under the Dodd-Frank Wall Street Reform and Consumer Protection Act, in August 2012 the SEC promulgated final rules regarding disclosure of the use of certain minerals, known as “conflict minerals,” which are mined from the Democratic Republic of the Congo and adjoining countries, as well as procedures regarding a manufacturer’s efforts to prevent the sourcing of such minerals and metals produced from those minerals. These conflict minerals are commonly referred to as “3TG” and include tin, tantalum, tungsten, and gold. The new rules will require us to engage in due diligence efforts for the 2013 calendar year, with initial disclosures required no later than May 31, 2014, and subsequent disclosures required no later than May 31 of each following year. We expect that we will incur additional costs and expenses, which may be significant, in order to comply with these rules. Since our supply chain is complex, ultimately we may not be able to sufficiently verify the origins for any conflict minerals and metals used in our products through the due diligence procedures that we implement, which may adversely affect our reputation with our customers, shareholders, and other stakeholders.</w:t>
      </w:r>
    </w:p>
    <w:p>
      <w:pPr>
        <w:spacing w:after="0" w:line="197" w:lineRule="exact"/>
        <w:rPr>
          <w:sz w:val="20"/>
          <w:szCs w:val="20"/>
          <w:color w:val="auto"/>
        </w:rPr>
      </w:pPr>
    </w:p>
    <w:p>
      <w:pPr>
        <w:ind w:left="260" w:right="300" w:firstLine="261"/>
        <w:spacing w:after="0" w:line="259" w:lineRule="auto"/>
        <w:rPr>
          <w:sz w:val="20"/>
          <w:szCs w:val="20"/>
          <w:color w:val="auto"/>
        </w:rPr>
      </w:pPr>
      <w:r>
        <w:rPr>
          <w:rFonts w:ascii="Arial" w:cs="Arial" w:eastAsia="Arial" w:hAnsi="Arial"/>
          <w:sz w:val="18"/>
          <w:szCs w:val="18"/>
          <w:color w:val="auto"/>
        </w:rPr>
        <w:t>In addition, changes in laws and regulations also may adversely affect our operating results, including, in particular, (i) taxation changes, tax rate changes, new tax laws, revised tax law interpretations, or expiration of the domestic research and development tax credit, which individually or in combination may cause our effective tax rate to increase, or (ii) new, recently enacted or revised healthcare laws or regulations, which may cause us to incur higher employee healthcare and other costs.</w:t>
      </w:r>
    </w:p>
    <w:p>
      <w:pPr>
        <w:spacing w:after="0" w:line="187" w:lineRule="exact"/>
        <w:rPr>
          <w:sz w:val="20"/>
          <w:szCs w:val="20"/>
          <w:color w:val="auto"/>
        </w:rPr>
      </w:pPr>
    </w:p>
    <w:p>
      <w:pPr>
        <w:ind w:left="260" w:right="140" w:hanging="252"/>
        <w:spacing w:after="0" w:line="286"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380" w:hanging="252"/>
        <w:spacing w:after="0" w:line="25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 w:lineRule="exact"/>
        <w:rPr>
          <w:rFonts w:ascii="Arial" w:cs="Arial" w:eastAsia="Arial" w:hAnsi="Arial"/>
          <w:sz w:val="18"/>
          <w:szCs w:val="18"/>
          <w:color w:val="auto"/>
        </w:rPr>
      </w:pPr>
    </w:p>
    <w:p>
      <w:pPr>
        <w:ind w:left="260" w:right="60" w:hanging="252"/>
        <w:spacing w:after="0" w:line="265"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open and manage new facilities, including our new distribution facility in Ankeny, Iowa, and/or move production between manufacturing facilities could adversely affect our business and operating results. In fiscal 2012, we began operations at our new micro-irrigation facility in Romania. If this facility does not produce the anticipated manufacturing or operational efficiencies, or if the micro-irrigation products to be produced at this facility are not accepted into the new geographic markets at expected levels, we may not recover the costs of the new facility and our operating results may be adversely affected.</w:t>
      </w:r>
    </w:p>
    <w:p>
      <w:pPr>
        <w:spacing w:after="0" w:line="1" w:lineRule="exact"/>
        <w:rPr>
          <w:rFonts w:ascii="Arial" w:cs="Arial" w:eastAsia="Arial" w:hAnsi="Arial"/>
          <w:sz w:val="17"/>
          <w:szCs w:val="17"/>
          <w:color w:val="auto"/>
        </w:rPr>
      </w:pPr>
    </w:p>
    <w:p>
      <w:pPr>
        <w:jc w:val="both"/>
        <w:ind w:left="260" w:right="80" w:hanging="252"/>
        <w:spacing w:after="0" w:line="323"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w:t>
      </w:r>
    </w:p>
    <w:p>
      <w:pPr>
        <w:sectPr>
          <w:pgSz w:w="11900" w:h="16838" w:orient="portrait"/>
          <w:cols w:equalWidth="0" w:num="1">
            <w:col w:w="11380"/>
          </w:cols>
          <w:pgMar w:left="240" w:top="125" w:right="279" w:bottom="0" w:gutter="0" w:footer="0" w:header="0"/>
        </w:sectPr>
      </w:pPr>
    </w:p>
    <w:bookmarkStart w:id="17" w:name="page18"/>
    <w:bookmarkEnd w:id="17"/>
    <w:p>
      <w:pPr>
        <w:ind w:left="260" w:right="60"/>
        <w:spacing w:after="0" w:line="258" w:lineRule="auto"/>
        <w:rPr>
          <w:sz w:val="20"/>
          <w:szCs w:val="20"/>
          <w:color w:val="auto"/>
        </w:rPr>
      </w:pPr>
      <w:r>
        <w:rPr>
          <w:rFonts w:ascii="Arial" w:cs="Arial" w:eastAsia="Arial" w:hAnsi="Arial"/>
          <w:sz w:val="18"/>
          <w:szCs w:val="18"/>
          <w:color w:val="auto"/>
        </w:rPr>
        <w:t>and partnerships. Additionally, factors could affect completion of our proposed acquisition of a micro-irrigation company in China, including whether and when the required regulatory approvals will be obtained, and whether and when other closing conditions will be satisfied.</w:t>
      </w:r>
    </w:p>
    <w:p>
      <w:pPr>
        <w:spacing w:after="0" w:line="1" w:lineRule="exact"/>
        <w:rPr>
          <w:sz w:val="20"/>
          <w:szCs w:val="20"/>
          <w:color w:val="auto"/>
        </w:rPr>
      </w:pPr>
    </w:p>
    <w:p>
      <w:pPr>
        <w:ind w:left="260" w:right="180" w:hanging="252"/>
        <w:spacing w:after="0" w:line="281"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ind w:left="260" w:right="120" w:hanging="25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ind w:left="260" w:right="160" w:hanging="25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ind w:left="260" w:right="460" w:hanging="25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200" w:hanging="252"/>
        <w:spacing w:after="0" w:line="250"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52"/>
        <w:spacing w:after="0" w:line="265"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60" w:hanging="252"/>
        <w:spacing w:after="0" w:line="268"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our ability to achieve the revenue growth, operating earnings, and employee engagement goals of our multi-year employee initiative called “Destination 2014”; natural or man-made disasters or global pandemics that may result in shortages of raw materials and components, higher fuel and commodity costs, delays in shipments to customers, and an increase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the Romanian New Leu against the U.S. dollar, as well as the Romanian New Leu against the Euro.</w:t>
      </w:r>
    </w:p>
    <w:p>
      <w:pPr>
        <w:spacing w:after="0" w:line="169"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ectPr>
          <w:pgSz w:w="11900" w:h="16838" w:orient="portrait"/>
          <w:cols w:equalWidth="0" w:num="1">
            <w:col w:w="11420"/>
          </w:cols>
          <w:pgMar w:left="240" w:top="125" w:right="239" w:bottom="42" w:gutter="0" w:footer="0" w:header="0"/>
        </w:sectPr>
      </w:pPr>
    </w:p>
    <w:bookmarkStart w:id="18" w:name="page19"/>
    <w:bookmarkEnd w:id="18"/>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2013 and 2014.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May 3, 2013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Contracted</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3"/>
              </w:rPr>
              <w:t>1.0310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1.0197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1.2989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76,116.0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1.5591</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1.2780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360" w:type="dxa"/>
            <w:vAlign w:val="bottom"/>
          </w:tcPr>
          <w:p>
            <w:pPr>
              <w:ind w:left="780"/>
              <w:spacing w:after="0"/>
              <w:rPr>
                <w:sz w:val="20"/>
                <w:szCs w:val="20"/>
                <w:color w:val="auto"/>
              </w:rPr>
            </w:pPr>
            <w:r>
              <w:rPr>
                <w:rFonts w:ascii="Arial" w:cs="Arial" w:eastAsia="Arial" w:hAnsi="Arial"/>
                <w:sz w:val="18"/>
                <w:szCs w:val="18"/>
                <w:color w:val="auto"/>
                <w:w w:val="86"/>
              </w:rPr>
              <w:t>13.2067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27,561.7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1,433.2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4.4162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Buy Japanese Yen/Sell US dollar</w:t>
            </w:r>
          </w:p>
        </w:tc>
        <w:tc>
          <w:tcPr>
            <w:tcW w:w="1360" w:type="dxa"/>
            <w:vAlign w:val="bottom"/>
          </w:tcPr>
          <w:p>
            <w:pPr>
              <w:ind w:left="780"/>
              <w:spacing w:after="0"/>
              <w:rPr>
                <w:sz w:val="20"/>
                <w:szCs w:val="20"/>
                <w:color w:val="auto"/>
              </w:rPr>
            </w:pPr>
            <w:r>
              <w:rPr>
                <w:rFonts w:ascii="Arial" w:cs="Arial" w:eastAsia="Arial" w:hAnsi="Arial"/>
                <w:sz w:val="18"/>
                <w:szCs w:val="18"/>
                <w:color w:val="auto"/>
                <w:w w:val="86"/>
              </w:rPr>
              <w:t>96.6600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quarter ended May 3, 2013 that has materially affected, or is reasonably likely to materially affect, our internal control over financial reporting.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2013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Shares (or Units)</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Paid per</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As Part of Publicly</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Share</w:t>
            </w:r>
          </w:p>
        </w:tc>
        <w:tc>
          <w:tcPr>
            <w:tcW w:w="2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Purchased (1,2,3,4)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(or Unit)</w:t>
            </w: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or Programs (1,2)</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Programs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2013 through March 1, 2013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44.61</w:t>
            </w: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46,000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 2013 through March 29, 2013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46.75</w:t>
            </w: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30, 2013 through May 3, 2013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342,318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44.74</w:t>
            </w: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338,865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389,471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44.73</w:t>
            </w: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386,018</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328"/>
        <w:spacing w:after="0" w:line="259"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 2010, the company’s Board of Directors authorized the repurchase of 6,000,000 shares of the company’s common stock in open-market or in privately negotiated transactions. This program has no expiration date but may be terminated by the company’s Board of Directors at any time. The company repurchased an aggregate of 386,018 shares during the period indicated above under this program. There are 311,747 shares remaining for repurchase under this program.</w:t>
      </w:r>
    </w:p>
    <w:p>
      <w:pPr>
        <w:spacing w:after="0" w:line="186" w:lineRule="exact"/>
        <w:rPr>
          <w:rFonts w:ascii="Arial" w:cs="Arial" w:eastAsia="Arial" w:hAnsi="Arial"/>
          <w:sz w:val="18"/>
          <w:szCs w:val="18"/>
          <w:color w:val="auto"/>
        </w:rPr>
      </w:pPr>
    </w:p>
    <w:p>
      <w:pPr>
        <w:ind w:left="660" w:right="18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 No shares were repurchased during the periods indicated above under this program.</w:t>
      </w:r>
    </w:p>
    <w:p>
      <w:pPr>
        <w:spacing w:after="0" w:line="181" w:lineRule="exact"/>
        <w:rPr>
          <w:rFonts w:ascii="Arial" w:cs="Arial" w:eastAsia="Arial" w:hAnsi="Arial"/>
          <w:sz w:val="18"/>
          <w:szCs w:val="18"/>
          <w:color w:val="auto"/>
        </w:rPr>
      </w:pPr>
    </w:p>
    <w:p>
      <w:pPr>
        <w:ind w:left="660" w:right="48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22 shares of the company’s common stock surrendered by employees to satisfy minimum tax withholding obligations upon vesting of restricted stock granted under the company’s incentive plan. These 22 shares were not repurchased under the company’s repurchase program described in footnotes 1 and 2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1,122 units (shares) of the company’s common stock purchased in open-market transactions at an average price of $46.38 per share on behalf of a rabbi trust formed to pay benefit obligations of the company to participants in deferred compensation plans. These 1,122 shares were not repurchased under the company’s repurchase program described in footnotes 1 and 2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1660" w:right="260" w:hanging="1337"/>
        <w:spacing w:after="0" w:line="277" w:lineRule="auto"/>
        <w:rPr>
          <w:rFonts w:ascii="Arial" w:cs="Arial" w:eastAsia="Arial" w:hAnsi="Arial"/>
          <w:sz w:val="18"/>
          <w:szCs w:val="18"/>
          <w:color w:val="auto"/>
        </w:rPr>
      </w:pPr>
      <w:r>
        <w:rPr>
          <w:rFonts w:ascii="Arial" w:cs="Arial" w:eastAsia="Arial" w:hAnsi="Arial"/>
          <w:sz w:val="18"/>
          <w:szCs w:val="18"/>
          <w:color w:val="auto"/>
        </w:rPr>
        <w:t>3.1 and 4.1Restated Certificate of Incorporation of The Toro Company (incorporated by reference to Exhibit 3.1 to Registrant’s Current Report on Form 8-K dated June 17, 2008, Commission File No. 1-8649).</w:t>
      </w:r>
    </w:p>
    <w:p>
      <w:pPr>
        <w:spacing w:after="0" w:line="170" w:lineRule="exact"/>
        <w:rPr>
          <w:rFonts w:ascii="Arial" w:cs="Arial" w:eastAsia="Arial" w:hAnsi="Arial"/>
          <w:sz w:val="18"/>
          <w:szCs w:val="18"/>
          <w:color w:val="auto"/>
        </w:rPr>
      </w:pPr>
    </w:p>
    <w:p>
      <w:pPr>
        <w:ind w:left="1660" w:right="180" w:hanging="1337"/>
        <w:spacing w:after="0" w:line="277" w:lineRule="auto"/>
        <w:rPr>
          <w:rFonts w:ascii="Arial" w:cs="Arial" w:eastAsia="Arial" w:hAnsi="Arial"/>
          <w:sz w:val="18"/>
          <w:szCs w:val="18"/>
          <w:color w:val="auto"/>
        </w:rPr>
      </w:pPr>
      <w:r>
        <w:rPr>
          <w:rFonts w:ascii="Arial" w:cs="Arial" w:eastAsia="Arial" w:hAnsi="Arial"/>
          <w:sz w:val="18"/>
          <w:szCs w:val="18"/>
          <w:color w:val="auto"/>
        </w:rPr>
        <w:t>3.2 and 4.2Certificate of Amendment to Restated Certificate of Incorporation of The Toro Company (incorporated by reference to Exhibit 3.1 to Registrant’s Current Report on Form 8-K dated March 13, 2013, Commission File No. 1-8649).</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3.3 and 4.3</w:t>
            </w:r>
          </w:p>
        </w:tc>
        <w:tc>
          <w:tcPr>
            <w:tcW w:w="9940" w:type="dxa"/>
            <w:vAlign w:val="bottom"/>
          </w:tcPr>
          <w:p>
            <w:pPr>
              <w:ind w:left="26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Pr>
          <w:p>
            <w:pPr>
              <w:ind w:left="26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Quarterly Report on Form 10-</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Q for the fiscal quarter ended August 1,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4.5</w:t>
            </w:r>
          </w:p>
        </w:tc>
        <w:tc>
          <w:tcPr>
            <w:tcW w:w="9940" w:type="dxa"/>
            <w:vAlign w:val="bottom"/>
          </w:tcPr>
          <w:p>
            <w:pPr>
              <w:ind w:left="26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06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90"/>
              </w:rPr>
              <w:t>Company’s 7.80% Debentures due June 15, 2027 (incorporated by reference to Exhibit 4(a) to Registrant’s Current Report on Form 8-</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K dated June 24, 1997,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4.6</w:t>
            </w:r>
          </w:p>
        </w:tc>
        <w:tc>
          <w:tcPr>
            <w:tcW w:w="9940" w:type="dxa"/>
            <w:vAlign w:val="bottom"/>
          </w:tcPr>
          <w:p>
            <w:pPr>
              <w:ind w:left="260"/>
              <w:spacing w:after="0"/>
              <w:rPr>
                <w:sz w:val="20"/>
                <w:szCs w:val="20"/>
                <w:color w:val="auto"/>
              </w:rPr>
            </w:pPr>
            <w:r>
              <w:rPr>
                <w:rFonts w:ascii="Arial" w:cs="Arial" w:eastAsia="Arial" w:hAnsi="Arial"/>
                <w:sz w:val="18"/>
                <w:szCs w:val="18"/>
                <w:color w:val="auto"/>
                <w:w w:val="90"/>
              </w:rPr>
              <w:t>Indenture dated as of April 20, 2007, between Registrant and The Bank of New York Trust Company, N.A., as Trustee, relating to The</w:t>
            </w:r>
          </w:p>
        </w:tc>
      </w:tr>
      <w:tr>
        <w:trPr>
          <w:trHeight w:val="216"/>
        </w:trPr>
        <w:tc>
          <w:tcPr>
            <w:tcW w:w="106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92"/>
              </w:rPr>
              <w:t>Toro Company’s 6.625% Notes due May 1, 2037 (incorporated by reference to Exhibit 4.3 to Registrant’s Registration Statement on</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Form S-3 filed with the Securities and Exchange Commission on April 23, 2007, Registration No. 333-142282).</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4.7</w:t>
            </w:r>
          </w:p>
        </w:tc>
        <w:tc>
          <w:tcPr>
            <w:tcW w:w="9940" w:type="dxa"/>
            <w:vAlign w:val="bottom"/>
          </w:tcPr>
          <w:p>
            <w:pPr>
              <w:ind w:left="26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106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Current Report on Form 8-K dated April 23, 2007, Commission File No. 1-8649).</w:t>
            </w:r>
          </w:p>
        </w:tc>
      </w:tr>
    </w:tbl>
    <w:p>
      <w:pPr>
        <w:sectPr>
          <w:pgSz w:w="11900" w:h="16838" w:orient="portrait"/>
          <w:cols w:equalWidth="0" w:num="1">
            <w:col w:w="11420"/>
          </w:cols>
          <w:pgMar w:left="240" w:top="121" w:right="239" w:bottom="0" w:gutter="0" w:footer="0" w:header="0"/>
        </w:sectPr>
      </w:pPr>
    </w:p>
    <w:bookmarkStart w:id="20" w:name="page21"/>
    <w:bookmarkEnd w:id="2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10160" w:type="dxa"/>
            <w:vAlign w:val="bottom"/>
          </w:tcPr>
          <w:p>
            <w:pPr>
              <w:ind w:left="50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820" w:type="dxa"/>
            <w:vAlign w:val="bottom"/>
          </w:tcPr>
          <w:p>
            <w:pPr>
              <w:spacing w:after="0"/>
              <w:rPr>
                <w:sz w:val="20"/>
                <w:szCs w:val="20"/>
                <w:color w:val="auto"/>
              </w:rPr>
            </w:pPr>
          </w:p>
        </w:tc>
        <w:tc>
          <w:tcPr>
            <w:tcW w:w="10160" w:type="dxa"/>
            <w:vAlign w:val="bottom"/>
          </w:tcPr>
          <w:p>
            <w:pPr>
              <w:ind w:left="50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tcPr>
          <w:p>
            <w:pPr>
              <w:ind w:left="50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 2002)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tcPr>
          <w:p>
            <w:pPr>
              <w:ind w:left="50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bl>
    <w:p>
      <w:pPr>
        <w:spacing w:after="0" w:line="202" w:lineRule="exact"/>
        <w:rPr>
          <w:sz w:val="20"/>
          <w:szCs w:val="20"/>
          <w:color w:val="auto"/>
        </w:rPr>
      </w:pPr>
    </w:p>
    <w:p>
      <w:pPr>
        <w:ind w:left="1660" w:right="520" w:hanging="1328"/>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660" w:right="140" w:hanging="1328"/>
        <w:spacing w:after="0" w:line="269" w:lineRule="auto"/>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financial information from The Toro Company’s Quarterly Report on Form 10-Q for the quarterly period ended May 3, 2013, filed with the SEC on June 5, 2013, formatted in eXtensible Business Reporting Language (XBRL): (i) Condensed Consolidated Statements of Earnings for the three and six-month periods ended May 3, 2013 and May 4, 2012, (ii) Condensed Consolidated Statements of Comprehensive Income for the three and six-month periods ended May 3, 2013 and May 4, 2012,</w:t>
      </w:r>
    </w:p>
    <w:p>
      <w:pPr>
        <w:spacing w:after="0" w:line="2" w:lineRule="exact"/>
        <w:rPr>
          <w:rFonts w:ascii="Arial" w:cs="Arial" w:eastAsia="Arial" w:hAnsi="Arial"/>
          <w:sz w:val="17"/>
          <w:szCs w:val="17"/>
          <w:color w:val="auto"/>
        </w:rPr>
      </w:pPr>
    </w:p>
    <w:p>
      <w:pPr>
        <w:ind w:left="1660" w:right="340"/>
        <w:spacing w:after="0" w:line="255" w:lineRule="auto"/>
        <w:rPr>
          <w:rFonts w:ascii="Arial" w:cs="Arial" w:eastAsia="Arial" w:hAnsi="Arial"/>
          <w:sz w:val="17"/>
          <w:szCs w:val="17"/>
          <w:color w:val="auto"/>
        </w:rPr>
      </w:pPr>
      <w:r>
        <w:rPr>
          <w:rFonts w:ascii="Arial" w:cs="Arial" w:eastAsia="Arial" w:hAnsi="Arial"/>
          <w:sz w:val="18"/>
          <w:szCs w:val="18"/>
          <w:color w:val="auto"/>
        </w:rPr>
        <w:t>(iii) Condensed Consolidated Balance Sheets as of May 3, 2013, May 4, 2012, and October 31, 2012, (iv) Condensed Consolidated Statement of Cash Flows for the three and six-month periods ended May 3, 2013 and May 4, 2012, and (v) Notes to Condensed Consolidated Financial Statements.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June 5, 2013</w:t>
            </w: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080" w:type="dxa"/>
            <w:vAlign w:val="bottom"/>
          </w:tcPr>
          <w:p>
            <w:pPr>
              <w:spacing w:after="0"/>
              <w:rPr>
                <w:sz w:val="15"/>
                <w:szCs w:val="15"/>
                <w:color w:val="auto"/>
              </w:rPr>
            </w:pPr>
          </w:p>
        </w:tc>
        <w:tc>
          <w:tcPr>
            <w:tcW w:w="3080" w:type="dxa"/>
            <w:vAlign w:val="bottom"/>
          </w:tcPr>
          <w:p>
            <w:pPr>
              <w:ind w:left="2640"/>
              <w:spacing w:after="0" w:line="182" w:lineRule="exact"/>
              <w:rPr>
                <w:sz w:val="20"/>
                <w:szCs w:val="20"/>
                <w:color w:val="auto"/>
              </w:rPr>
            </w:pPr>
            <w:r>
              <w:rPr>
                <w:rFonts w:ascii="Arial" w:cs="Arial" w:eastAsia="Arial" w:hAnsi="Arial"/>
                <w:sz w:val="18"/>
                <w:szCs w:val="18"/>
                <w:color w:val="auto"/>
                <w:w w:val="79"/>
              </w:rPr>
              <w:t>Renee</w:t>
            </w:r>
          </w:p>
        </w:tc>
        <w:tc>
          <w:tcPr>
            <w:tcW w:w="52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3080" w:type="dxa"/>
            <w:vAlign w:val="bottom"/>
          </w:tcPr>
          <w:p>
            <w:pPr>
              <w:jc w:val="center"/>
              <w:ind w:left="2090"/>
              <w:spacing w:after="0"/>
              <w:rPr>
                <w:sz w:val="20"/>
                <w:szCs w:val="20"/>
                <w:color w:val="auto"/>
              </w:rPr>
            </w:pPr>
            <w:r>
              <w:rPr>
                <w:rFonts w:ascii="Arial" w:cs="Arial" w:eastAsia="Arial" w:hAnsi="Arial"/>
                <w:sz w:val="18"/>
                <w:szCs w:val="18"/>
                <w:color w:val="auto"/>
                <w:w w:val="89"/>
              </w:rPr>
              <w:t>30</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8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May 3, 2013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2013</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2019-12-05T20:28:26Z</dcterms:created>
  <dcterms:modified xsi:type="dcterms:W3CDTF">2019-12-05T20:28:26Z</dcterms:modified>
</cp:coreProperties>
</file>