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334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3463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COOPER JANET KATHERINE</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11/01/2011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4"/>
        <w:spacing w:after="0"/>
        <w:tabs>
          <w:tab w:leader="none" w:pos="533" w:val="left"/>
          <w:tab w:leader="none" w:pos="215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4"/>
        <w:spacing w:after="0"/>
        <w:tabs>
          <w:tab w:leader="none" w:pos="215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7"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6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7"/>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8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11/01/2011</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8"/>
              </w:rPr>
              <w:t>859</w:t>
            </w:r>
          </w:p>
        </w:tc>
        <w:tc>
          <w:tcPr>
            <w:tcW w:w="70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8,687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5"/>
              </w:rPr>
              <w:t>Common Stock Units</w:t>
            </w: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center"/>
              <w:ind w:right="99"/>
              <w:spacing w:after="0"/>
              <w:rPr>
                <w:sz w:val="20"/>
                <w:szCs w:val="20"/>
                <w:color w:val="auto"/>
              </w:rPr>
            </w:pPr>
            <w:r>
              <w:rPr>
                <w:rFonts w:ascii="Arial" w:cs="Arial" w:eastAsia="Arial" w:hAnsi="Arial"/>
                <w:sz w:val="17"/>
                <w:szCs w:val="17"/>
                <w:color w:val="0000FF"/>
              </w:rPr>
              <w:t>10,324.899</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60" w:type="dxa"/>
            <w:vAlign w:val="bottom"/>
            <w:gridSpan w:val="10"/>
          </w:tcPr>
          <w:p>
            <w:pPr>
              <w:jc w:val="right"/>
              <w:ind w:righ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1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52.96</w:t>
            </w:r>
          </w:p>
        </w:tc>
        <w:tc>
          <w:tcPr>
            <w:tcW w:w="1000" w:type="dxa"/>
            <w:vAlign w:val="bottom"/>
          </w:tcPr>
          <w:p>
            <w:pPr>
              <w:jc w:val="right"/>
              <w:ind w:right="138"/>
              <w:spacing w:after="0"/>
              <w:rPr>
                <w:sz w:val="20"/>
                <w:szCs w:val="20"/>
                <w:color w:val="auto"/>
              </w:rPr>
            </w:pPr>
            <w:r>
              <w:rPr>
                <w:rFonts w:ascii="Arial" w:cs="Arial" w:eastAsia="Arial" w:hAnsi="Arial"/>
                <w:sz w:val="13"/>
                <w:szCs w:val="13"/>
                <w:color w:val="0000FF"/>
              </w:rPr>
              <w:t>11/01/2011</w:t>
            </w:r>
          </w:p>
        </w:tc>
        <w:tc>
          <w:tcPr>
            <w:tcW w:w="1200" w:type="dxa"/>
            <w:vAlign w:val="bottom"/>
          </w:tcPr>
          <w:p>
            <w:pPr>
              <w:spacing w:after="0"/>
              <w:rPr>
                <w:sz w:val="18"/>
                <w:szCs w:val="18"/>
                <w:color w:val="auto"/>
              </w:rPr>
            </w:pPr>
          </w:p>
        </w:tc>
        <w:tc>
          <w:tcPr>
            <w:tcW w:w="740" w:type="dxa"/>
            <w:vAlign w:val="bottom"/>
          </w:tcPr>
          <w:p>
            <w:pPr>
              <w:ind w:left="100"/>
              <w:spacing w:after="0" w:line="212" w:lineRule="exact"/>
              <w:rPr>
                <w:sz w:val="20"/>
                <w:szCs w:val="20"/>
                <w:color w:val="auto"/>
              </w:rPr>
            </w:pPr>
            <w:r>
              <w:rPr>
                <w:rFonts w:ascii="Arial" w:cs="Arial" w:eastAsia="Arial" w:hAnsi="Arial"/>
                <w:sz w:val="24"/>
                <w:szCs w:val="24"/>
                <w:color w:val="0000FF"/>
                <w:vertAlign w:val="subscript"/>
              </w:rPr>
              <w:t>A</w:t>
            </w:r>
            <w:r>
              <w:rPr>
                <w:rFonts w:ascii="Arial" w:cs="Arial" w:eastAsia="Arial" w:hAnsi="Arial"/>
                <w:sz w:val="11"/>
                <w:szCs w:val="11"/>
                <w:color w:val="008000"/>
              </w:rPr>
              <w:t>(3)</w:t>
            </w:r>
          </w:p>
        </w:tc>
        <w:tc>
          <w:tcPr>
            <w:tcW w:w="560" w:type="dxa"/>
            <w:vAlign w:val="bottom"/>
          </w:tcPr>
          <w:p>
            <w:pPr>
              <w:ind w:left="160"/>
              <w:spacing w:after="0"/>
              <w:rPr>
                <w:sz w:val="20"/>
                <w:szCs w:val="20"/>
                <w:color w:val="auto"/>
              </w:rPr>
            </w:pPr>
            <w:r>
              <w:rPr>
                <w:rFonts w:ascii="Arial" w:cs="Arial" w:eastAsia="Arial" w:hAnsi="Arial"/>
                <w:sz w:val="13"/>
                <w:szCs w:val="13"/>
                <w:color w:val="0000FF"/>
              </w:rPr>
              <w:t>2,512</w:t>
            </w:r>
          </w:p>
        </w:tc>
        <w:tc>
          <w:tcPr>
            <w:tcW w:w="280" w:type="dxa"/>
            <w:vAlign w:val="bottom"/>
          </w:tcPr>
          <w:p>
            <w:pPr>
              <w:spacing w:after="0"/>
              <w:rPr>
                <w:sz w:val="18"/>
                <w:szCs w:val="18"/>
                <w:color w:val="auto"/>
              </w:rPr>
            </w:pPr>
          </w:p>
        </w:tc>
        <w:tc>
          <w:tcPr>
            <w:tcW w:w="900" w:type="dxa"/>
            <w:vAlign w:val="bottom"/>
            <w:gridSpan w:val="2"/>
          </w:tcPr>
          <w:p>
            <w:pPr>
              <w:ind w:left="80"/>
              <w:spacing w:after="0" w:line="212" w:lineRule="exact"/>
              <w:rPr>
                <w:sz w:val="20"/>
                <w:szCs w:val="20"/>
                <w:color w:val="auto"/>
              </w:rPr>
            </w:pPr>
            <w:r>
              <w:rPr>
                <w:rFonts w:ascii="Arial" w:cs="Arial" w:eastAsia="Arial" w:hAnsi="Arial"/>
                <w:sz w:val="13"/>
                <w:szCs w:val="13"/>
                <w:color w:val="0000FF"/>
                <w:w w:val="96"/>
              </w:rPr>
              <w:t>11/01/2012</w:t>
            </w:r>
            <w:r>
              <w:rPr>
                <w:rFonts w:ascii="Arial" w:cs="Arial" w:eastAsia="Arial" w:hAnsi="Arial"/>
                <w:sz w:val="22"/>
                <w:szCs w:val="22"/>
                <w:color w:val="008000"/>
                <w:w w:val="96"/>
                <w:vertAlign w:val="superscript"/>
              </w:rPr>
              <w:t>(4)</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11/01/2021</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33"/>
              <w:spacing w:after="0"/>
              <w:rPr>
                <w:sz w:val="20"/>
                <w:szCs w:val="20"/>
                <w:color w:val="auto"/>
              </w:rPr>
            </w:pPr>
            <w:r>
              <w:rPr>
                <w:rFonts w:ascii="Arial" w:cs="Arial" w:eastAsia="Arial" w:hAnsi="Arial"/>
                <w:sz w:val="17"/>
                <w:szCs w:val="17"/>
                <w:color w:val="0000FF"/>
                <w:w w:val="98"/>
              </w:rPr>
              <w:t>2,512</w:t>
            </w:r>
          </w:p>
        </w:tc>
        <w:tc>
          <w:tcPr>
            <w:tcW w:w="8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60"/>
              <w:spacing w:after="0"/>
              <w:rPr>
                <w:sz w:val="20"/>
                <w:szCs w:val="20"/>
                <w:color w:val="auto"/>
              </w:rPr>
            </w:pPr>
            <w:r>
              <w:rPr>
                <w:rFonts w:ascii="Arial" w:cs="Arial" w:eastAsia="Arial" w:hAnsi="Arial"/>
                <w:sz w:val="13"/>
                <w:szCs w:val="13"/>
                <w:color w:val="0000FF"/>
                <w:w w:val="98"/>
              </w:rPr>
              <w:t>2,512</w:t>
            </w:r>
          </w:p>
        </w:tc>
        <w:tc>
          <w:tcPr>
            <w:tcW w:w="30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2010 Equity and Incentive Plan, as amended (the "2010 Plan").</w:t>
      </w:r>
    </w:p>
    <w:p>
      <w:pPr>
        <w:spacing w:after="0" w:line="52" w:lineRule="exact"/>
        <w:rPr>
          <w:rFonts w:ascii="Arial" w:cs="Arial" w:eastAsia="Arial" w:hAnsi="Arial"/>
          <w:sz w:val="13"/>
          <w:szCs w:val="13"/>
          <w:color w:val="008000"/>
        </w:rPr>
      </w:pPr>
    </w:p>
    <w:p>
      <w:pPr>
        <w:ind w:left="40" w:right="16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136.791 common stock units acquired by the reporting person under the dividend reinvestment feature of The Toro Company Deferred Compensation Plan for Non-Employee Directors since the date of her last report.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2010 Plan.</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in the year following the date of grant.</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Nancy A. McGrath,</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11/03/2011</w:t>
            </w:r>
          </w:p>
        </w:tc>
        <w:tc>
          <w:tcPr>
            <w:tcW w:w="0" w:type="dxa"/>
            <w:vAlign w:val="bottom"/>
          </w:tcPr>
          <w:p>
            <w:pPr>
              <w:spacing w:after="0"/>
              <w:rPr>
                <w:sz w:val="1"/>
                <w:szCs w:val="1"/>
                <w:color w:val="auto"/>
              </w:rPr>
            </w:pPr>
          </w:p>
        </w:tc>
      </w:tr>
      <w:tr>
        <w:trPr>
          <w:trHeight w:val="88"/>
        </w:trPr>
        <w:tc>
          <w:tcPr>
            <w:tcW w:w="118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0000FF"/>
                <w:w w:val="95"/>
              </w:rPr>
              <w:t>Attorney-in-Fact</w:t>
            </w:r>
          </w:p>
        </w:tc>
        <w:tc>
          <w:tcPr>
            <w:tcW w:w="42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11"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Amy E. Dahl, Timothy P. Dordell and Nancy A. McGrath, signing singly, true and lawful attorneys-in-fact relative to the filings identified below in connection with the undersigned's derivative and non-derivative securities of The Toro Company (the ?Company?) to:</w:t>
      </w:r>
    </w:p>
    <w:p>
      <w:pPr>
        <w:spacing w:after="0" w:line="198" w:lineRule="exact"/>
        <w:rPr>
          <w:sz w:val="20"/>
          <w:szCs w:val="20"/>
          <w:color w:val="auto"/>
        </w:rPr>
      </w:pPr>
    </w:p>
    <w:p>
      <w:pPr>
        <w:ind w:right="3079" w:firstLine="8"/>
        <w:spacing w:after="0" w:line="252" w:lineRule="auto"/>
        <w:tabs>
          <w:tab w:leader="none" w:pos="83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198" w:lineRule="exact"/>
        <w:rPr>
          <w:rFonts w:ascii="Courier New" w:cs="Courier New" w:eastAsia="Courier New" w:hAnsi="Courier New"/>
          <w:sz w:val="17"/>
          <w:szCs w:val="17"/>
          <w:color w:val="auto"/>
        </w:rPr>
      </w:pPr>
    </w:p>
    <w:p>
      <w:pPr>
        <w:ind w:left="840" w:hanging="832"/>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9" w:lineRule="exact"/>
        <w:rPr>
          <w:sz w:val="20"/>
          <w:szCs w:val="20"/>
          <w:color w:val="auto"/>
        </w:rPr>
      </w:pPr>
    </w:p>
    <w:p>
      <w:pPr>
        <w:jc w:val="both"/>
        <w:ind w:right="3499"/>
        <w:spacing w:after="0" w:line="253" w:lineRule="auto"/>
        <w:rPr>
          <w:sz w:val="20"/>
          <w:szCs w:val="20"/>
          <w:color w:val="auto"/>
        </w:rPr>
      </w:pPr>
      <w:r>
        <w:rPr>
          <w:rFonts w:ascii="Courier New" w:cs="Courier New" w:eastAsia="Courier New" w:hAnsi="Courier New"/>
          <w:sz w:val="17"/>
          <w:szCs w:val="17"/>
          <w:color w:val="auto"/>
        </w:rPr>
        <w:t>in the undersigned?s capacity as a director of the Company, any Form 144 in accordance with Rule 144 under the Securities Act of 1933, as amended, and the rules and regulations thereunder (the ?Securities Act?);</w:t>
      </w:r>
    </w:p>
    <w:p>
      <w:pPr>
        <w:spacing w:after="0" w:line="196" w:lineRule="exact"/>
        <w:rPr>
          <w:sz w:val="20"/>
          <w:szCs w:val="20"/>
          <w:color w:val="auto"/>
        </w:rPr>
      </w:pPr>
    </w:p>
    <w:p>
      <w:pPr>
        <w:ind w:right="3079" w:firstLine="8"/>
        <w:spacing w:after="0" w:line="252" w:lineRule="auto"/>
        <w:tabs>
          <w:tab w:leader="none" w:pos="83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8" w:lineRule="exact"/>
        <w:rPr>
          <w:rFonts w:ascii="Courier New" w:cs="Courier New" w:eastAsia="Courier New" w:hAnsi="Courier New"/>
          <w:sz w:val="17"/>
          <w:szCs w:val="17"/>
          <w:color w:val="auto"/>
        </w:rPr>
      </w:pPr>
    </w:p>
    <w:p>
      <w:pPr>
        <w:ind w:right="3079" w:firstLine="8"/>
        <w:spacing w:after="0" w:line="252" w:lineRule="auto"/>
        <w:tabs>
          <w:tab w:leader="none" w:pos="83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97" w:lineRule="exact"/>
        <w:rPr>
          <w:sz w:val="20"/>
          <w:szCs w:val="20"/>
          <w:color w:val="auto"/>
        </w:rPr>
      </w:pPr>
    </w:p>
    <w:p>
      <w:pPr>
        <w:ind w:right="297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Limited Power</w:t>
      </w:r>
    </w:p>
    <w:p>
      <w:pPr>
        <w:spacing w:after="0" w:line="9"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7"/>
          <w:szCs w:val="17"/>
          <w:color w:val="auto"/>
        </w:rPr>
        <w:t>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10219"/>
          </w:cols>
          <w:pgMar w:left="240" w:top="142" w:right="1440" w:bottom="1440" w:gutter="0" w:footer="0" w:header="0"/>
        </w:sect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Janet K. Cooper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Janet K. Cooper</w:t>
      </w:r>
    </w:p>
    <w:p>
      <w:pPr>
        <w:spacing w:after="0" w:line="200" w:lineRule="exact"/>
        <w:rPr>
          <w:sz w:val="20"/>
          <w:szCs w:val="20"/>
          <w:color w:val="auto"/>
        </w:rPr>
      </w:pPr>
    </w:p>
    <w:p>
      <w:pPr>
        <w:sectPr>
          <w:pgSz w:w="11900" w:h="16838" w:orient="portrait"/>
          <w:cols w:equalWidth="0" w:num="2">
            <w:col w:w="960" w:space="720"/>
            <w:col w:w="8539"/>
          </w:cols>
          <w:pgMar w:left="240" w:top="142"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03/21/2011</w:t>
      </w:r>
    </w:p>
    <w:sectPr>
      <w:pgSz w:w="11900" w:h="16838" w:orient="portrait"/>
      <w:cols w:equalWidth="0" w:num="2">
        <w:col w:w="640" w:space="200"/>
        <w:col w:w="93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2279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2019-12-17T00:52:18Z</dcterms:created>
  <dcterms:modified xsi:type="dcterms:W3CDTF">2019-12-17T00:52:18Z</dcterms:modified>
</cp:coreProperties>
</file>