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5215551.xml.htm"/>
      <w:bookmarkStart w:id="1" w:name="kswkform4_17352155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Funk Edric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VP, Golf, Grounds &amp; Irr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8"/>
        <w:gridCol w:w="917"/>
        <w:gridCol w:w="787"/>
        <w:gridCol w:w="609"/>
        <w:gridCol w:w="339"/>
        <w:gridCol w:w="757"/>
        <w:gridCol w:w="418"/>
        <w:gridCol w:w="745"/>
        <w:gridCol w:w="1244"/>
        <w:gridCol w:w="961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12/20/2024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81.48</w:t>
            </w:r>
            <w:r>
              <w:rPr/>
              <w:t xml:space="preserve"> 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Health Savings Account</w:t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12/20/2024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81.48</w:t>
            </w:r>
            <w:r>
              <w:rPr/>
              <w:t xml:space="preserve"> 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Roth IRA</w:t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12/23/2024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80.21</w:t>
            </w:r>
            <w:r>
              <w:rPr/>
              <w:t xml:space="preserve"> 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4,966.404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Toro Company Retirement Plan</w:t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321.241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 Units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1,449.256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2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2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756.271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756.271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TTC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and related dividend equivalents vest and become non-forfeitable in three equal annual installments commencing on the first anniversary of the November 1, 2022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2093" TargetMode="External"/><Relationship Id="rId5" Type="http://schemas.openxmlformats.org/officeDocument/2006/relationships/hyperlink" Target="http://www.sec.gov/cgi-bin/browse-edgar?action=getcompany&amp;CIK=00007377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3541</Characters>
  <CharactersWithSpaces>4109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