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UNITED STATES</w:t>
      </w:r>
    </w:p>
    <w:p>
      <w:pPr>
        <w:jc w:val="center"/>
        <w:ind w:right="219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193" w:lineRule="exact"/>
        <w:rPr>
          <w:sz w:val="24"/>
          <w:szCs w:val="24"/>
          <w:color w:val="auto"/>
        </w:rPr>
      </w:pPr>
    </w:p>
    <w:p>
      <w:pPr>
        <w:ind w:left="2700"/>
        <w:spacing w:after="0"/>
        <w:rPr>
          <w:sz w:val="20"/>
          <w:szCs w:val="20"/>
          <w:color w:val="auto"/>
        </w:rPr>
      </w:pPr>
      <w:r>
        <w:rPr>
          <w:rFonts w:ascii="Courier New" w:cs="Courier New" w:eastAsia="Courier New" w:hAnsi="Courier New"/>
          <w:sz w:val="17"/>
          <w:szCs w:val="17"/>
          <w:color w:val="auto"/>
        </w:rPr>
        <w:t>__________________________</w:t>
      </w:r>
    </w:p>
    <w:p>
      <w:pPr>
        <w:spacing w:after="0" w:line="193" w:lineRule="exact"/>
        <w:rPr>
          <w:sz w:val="24"/>
          <w:szCs w:val="24"/>
          <w:color w:val="auto"/>
        </w:rPr>
      </w:pPr>
    </w:p>
    <w:p>
      <w:pPr>
        <w:ind w:left="2900"/>
        <w:spacing w:after="0"/>
        <w:tabs>
          <w:tab w:leader="none" w:pos="470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93" w:lineRule="exact"/>
        <w:rPr>
          <w:sz w:val="24"/>
          <w:szCs w:val="24"/>
          <w:color w:val="auto"/>
        </w:rPr>
      </w:pPr>
    </w:p>
    <w:p>
      <w:pPr>
        <w:ind w:left="2700"/>
        <w:spacing w:after="0"/>
        <w:rPr>
          <w:sz w:val="20"/>
          <w:szCs w:val="20"/>
          <w:color w:val="auto"/>
        </w:rPr>
      </w:pPr>
      <w:r>
        <w:rPr>
          <w:rFonts w:ascii="Courier New" w:cs="Courier New" w:eastAsia="Courier New" w:hAnsi="Courier New"/>
          <w:sz w:val="17"/>
          <w:szCs w:val="17"/>
          <w:color w:val="auto"/>
        </w:rPr>
        <w:t>__________________________</w:t>
      </w:r>
    </w:p>
    <w:p>
      <w:pPr>
        <w:spacing w:after="0" w:line="200" w:lineRule="exact"/>
        <w:rPr>
          <w:sz w:val="24"/>
          <w:szCs w:val="24"/>
          <w:color w:val="auto"/>
        </w:rPr>
      </w:pPr>
    </w:p>
    <w:p>
      <w:pPr>
        <w:spacing w:after="0" w:line="378" w:lineRule="exact"/>
        <w:rPr>
          <w:sz w:val="24"/>
          <w:szCs w:val="24"/>
          <w:color w:val="auto"/>
        </w:rPr>
      </w:pPr>
    </w:p>
    <w:p>
      <w:pPr>
        <w:ind w:left="3620"/>
        <w:spacing w:after="0"/>
        <w:rPr>
          <w:sz w:val="20"/>
          <w:szCs w:val="20"/>
          <w:color w:val="auto"/>
        </w:rPr>
      </w:pPr>
      <w:r>
        <w:rPr>
          <w:rFonts w:ascii="Courier New" w:cs="Courier New" w:eastAsia="Courier New" w:hAnsi="Courier New"/>
          <w:sz w:val="17"/>
          <w:szCs w:val="17"/>
          <w:color w:val="auto"/>
        </w:rPr>
        <w:t>FORM 10-Q</w:t>
      </w:r>
    </w:p>
    <w:p>
      <w:pPr>
        <w:spacing w:after="0" w:line="38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Quarterly Report Under Section 13 or 15(d)</w:t>
      </w:r>
    </w:p>
    <w:p>
      <w:pPr>
        <w:jc w:val="center"/>
        <w:ind w:right="2199"/>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193" w:lineRule="exact"/>
        <w:rPr>
          <w:sz w:val="24"/>
          <w:szCs w:val="24"/>
          <w:color w:val="auto"/>
        </w:rPr>
      </w:pPr>
    </w:p>
    <w:p>
      <w:pPr>
        <w:ind w:left="900"/>
        <w:spacing w:after="0"/>
        <w:rPr>
          <w:sz w:val="20"/>
          <w:szCs w:val="20"/>
          <w:color w:val="auto"/>
        </w:rPr>
      </w:pPr>
      <w:r>
        <w:rPr>
          <w:rFonts w:ascii="Courier New" w:cs="Courier New" w:eastAsia="Courier New" w:hAnsi="Courier New"/>
          <w:sz w:val="17"/>
          <w:szCs w:val="17"/>
          <w:color w:val="auto"/>
        </w:rPr>
        <w:t>For the Quarter Ended May 3, 1996 Commission File Number 1-8649</w:t>
      </w:r>
    </w:p>
    <w:p>
      <w:pPr>
        <w:ind w:left="3000"/>
        <w:spacing w:after="0"/>
        <w:tabs>
          <w:tab w:leader="none" w:pos="66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THE TORO COMPANY</w:t>
      </w:r>
    </w:p>
    <w:p>
      <w:pPr>
        <w:jc w:val="center"/>
        <w:ind w:right="219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630" w:right="1440" w:bottom="1440" w:gutter="0" w:footer="0" w:header="0"/>
        </w:sectPr>
      </w:pPr>
    </w:p>
    <w:p>
      <w:pPr>
        <w:spacing w:after="0" w:line="386"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DELAWARE</w:t>
      </w:r>
    </w:p>
    <w:p>
      <w:pPr>
        <w:spacing w:after="0" w:line="6"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41-0580470</w:t>
      </w:r>
    </w:p>
    <w:p>
      <w:pPr>
        <w:spacing w:after="0"/>
        <w:rPr>
          <w:sz w:val="20"/>
          <w:szCs w:val="20"/>
          <w:color w:val="auto"/>
        </w:rPr>
      </w:pPr>
      <w:r>
        <w:rPr>
          <w:rFonts w:ascii="Courier New" w:cs="Courier New" w:eastAsia="Courier New" w:hAnsi="Courier New"/>
          <w:sz w:val="17"/>
          <w:szCs w:val="17"/>
          <w:color w:val="auto"/>
        </w:rPr>
        <w:t>(I.R.S. Employer</w:t>
      </w:r>
    </w:p>
    <w:p>
      <w:pPr>
        <w:spacing w:after="0" w:line="6"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4800" w:space="720"/>
            <w:col w:w="4699"/>
          </w:cols>
          <w:pgMar w:left="240" w:top="630" w:right="1440" w:bottom="1440" w:gutter="0" w:footer="0" w:header="0"/>
          <w:type w:val="continuous"/>
        </w:sectPr>
      </w:pPr>
    </w:p>
    <w:p>
      <w:pPr>
        <w:spacing w:after="0" w:line="19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8111 LYNDALE AVENUE SOUTH</w:t>
      </w:r>
    </w:p>
    <w:p>
      <w:pPr>
        <w:ind w:left="2600"/>
        <w:spacing w:after="0"/>
        <w:tabs>
          <w:tab w:leader="none" w:pos="5000" w:val="left"/>
        </w:tabs>
        <w:rPr>
          <w:sz w:val="20"/>
          <w:szCs w:val="20"/>
          <w:color w:val="auto"/>
        </w:rPr>
      </w:pPr>
      <w:r>
        <w:rPr>
          <w:rFonts w:ascii="Courier New" w:cs="Courier New" w:eastAsia="Courier New" w:hAnsi="Courier New"/>
          <w:sz w:val="17"/>
          <w:szCs w:val="17"/>
          <w:color w:val="auto"/>
        </w:rPr>
        <w:t>BLOOMINGTON, MINNESOTA</w:t>
      </w:r>
      <w:r>
        <w:rPr>
          <w:sz w:val="20"/>
          <w:szCs w:val="20"/>
          <w:color w:val="auto"/>
        </w:rPr>
        <w:tab/>
      </w:r>
      <w:r>
        <w:rPr>
          <w:rFonts w:ascii="Courier New" w:cs="Courier New" w:eastAsia="Courier New" w:hAnsi="Courier New"/>
          <w:sz w:val="16"/>
          <w:szCs w:val="16"/>
          <w:color w:val="auto"/>
        </w:rPr>
        <w:t>55420</w:t>
      </w:r>
    </w:p>
    <w:p>
      <w:pPr>
        <w:ind w:left="2400"/>
        <w:spacing w:after="0"/>
        <w:rPr>
          <w:sz w:val="20"/>
          <w:szCs w:val="20"/>
          <w:color w:val="auto"/>
        </w:rPr>
      </w:pPr>
      <w:r>
        <w:rPr>
          <w:rFonts w:ascii="Courier New" w:cs="Courier New" w:eastAsia="Courier New" w:hAnsi="Courier New"/>
          <w:sz w:val="17"/>
          <w:szCs w:val="17"/>
          <w:color w:val="auto"/>
        </w:rPr>
        <w:t>TELEPHONE NUMBER: (612) 888-8801</w:t>
      </w:r>
    </w:p>
    <w:p>
      <w:pPr>
        <w:spacing w:after="0" w:line="193"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_____________________________</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(Address, including zip code, and telephone number, including area code,</w:t>
      </w:r>
    </w:p>
    <w:p>
      <w:pPr>
        <w:jc w:val="center"/>
        <w:ind w:right="2199"/>
        <w:spacing w:after="0"/>
        <w:rPr>
          <w:sz w:val="20"/>
          <w:szCs w:val="20"/>
          <w:color w:val="auto"/>
        </w:rPr>
      </w:pPr>
      <w:r>
        <w:rPr>
          <w:rFonts w:ascii="Courier New" w:cs="Courier New" w:eastAsia="Courier New" w:hAnsi="Courier New"/>
          <w:sz w:val="17"/>
          <w:szCs w:val="17"/>
          <w:color w:val="auto"/>
        </w:rPr>
        <w:t>of registrant's principal executive offices)</w:t>
      </w:r>
    </w:p>
    <w:p>
      <w:pPr>
        <w:spacing w:after="0" w:line="391" w:lineRule="exact"/>
        <w:rPr>
          <w:sz w:val="24"/>
          <w:szCs w:val="24"/>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630" w:right="1440" w:bottom="1440" w:gutter="0" w:footer="0" w:header="0"/>
          <w:type w:val="continuous"/>
        </w:sectPr>
      </w:pPr>
    </w:p>
    <w:p>
      <w:pPr>
        <w:spacing w:after="0" w:line="394" w:lineRule="exact"/>
        <w:rPr>
          <w:sz w:val="24"/>
          <w:szCs w:val="24"/>
          <w:color w:val="auto"/>
        </w:rPr>
      </w:pPr>
    </w:p>
    <w:p>
      <w:pPr>
        <w:ind w:left="150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11" w:lineRule="exact"/>
        <w:rPr>
          <w:sz w:val="24"/>
          <w:szCs w:val="24"/>
          <w:color w:val="auto"/>
        </w:rPr>
      </w:pPr>
    </w:p>
    <w:p>
      <w:pPr>
        <w:sectPr>
          <w:pgSz w:w="11900" w:h="16838" w:orient="portrait"/>
          <w:cols w:equalWidth="0" w:num="3">
            <w:col w:w="1800" w:space="400"/>
            <w:col w:w="3600" w:space="720"/>
            <w:col w:w="3699"/>
          </w:cols>
          <w:pgMar w:left="240" w:top="630" w:right="1440" w:bottom="1440" w:gutter="0" w:footer="0" w:header="0"/>
          <w:type w:val="continuous"/>
        </w:sectPr>
      </w:pPr>
    </w:p>
    <w:p>
      <w:pPr>
        <w:ind w:left="20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6100" w:space="720"/>
            <w:col w:w="3399"/>
          </w:cols>
          <w:pgMar w:left="240" w:top="630" w:right="1440" w:bottom="1440" w:gutter="0" w:footer="0" w:header="0"/>
          <w:type w:val="continuous"/>
        </w:sectPr>
      </w:pPr>
    </w:p>
    <w:p>
      <w:pPr>
        <w:spacing w:after="0" w:line="4" w:lineRule="exact"/>
        <w:rPr>
          <w:sz w:val="24"/>
          <w:szCs w:val="24"/>
          <w:color w:val="auto"/>
        </w:rPr>
      </w:pPr>
    </w:p>
    <w:p>
      <w:pPr>
        <w:ind w:right="3099"/>
        <w:spacing w:after="0" w:line="236" w:lineRule="auto"/>
        <w:rPr>
          <w:sz w:val="20"/>
          <w:szCs w:val="20"/>
          <w:color w:val="auto"/>
        </w:rPr>
      </w:pPr>
      <w:r>
        <w:rPr>
          <w:rFonts w:ascii="Courier New" w:cs="Courier New" w:eastAsia="Courier New" w:hAnsi="Courier New"/>
          <w:sz w:val="17"/>
          <w:szCs w:val="17"/>
          <w:color w:val="auto"/>
        </w:rPr>
        <w:t>The number of shares of Common Stock outstanding as of May 31, 1996 was 12,147,691.</w:t>
      </w:r>
    </w:p>
    <w:p>
      <w:pPr>
        <w:spacing w:after="0" w:line="19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630" w:right="1440" w:bottom="1440" w:gutter="0" w:footer="0" w:header="0"/>
          <w:type w:val="continuous"/>
        </w:sectPr>
      </w:pPr>
    </w:p>
    <w:bookmarkStart w:id="1" w:name="page2"/>
    <w:bookmarkEnd w:id="1"/>
    <w:p>
      <w:pPr>
        <w:jc w:val="center"/>
        <w:ind w:right="2199"/>
        <w:spacing w:after="0"/>
        <w:rPr>
          <w:sz w:val="20"/>
          <w:szCs w:val="20"/>
          <w:color w:val="auto"/>
        </w:rPr>
      </w:pPr>
      <w:r>
        <w:rPr>
          <w:rFonts w:ascii="Courier New" w:cs="Courier New" w:eastAsia="Courier New" w:hAnsi="Courier New"/>
          <w:sz w:val="17"/>
          <w:szCs w:val="17"/>
          <w:color w:val="auto"/>
        </w:rPr>
        <w:t>THE TORO COMPANY</w:t>
      </w:r>
    </w:p>
    <w:p>
      <w:pPr>
        <w:jc w:val="center"/>
        <w:ind w:right="2199"/>
        <w:spacing w:after="0"/>
        <w:rPr>
          <w:sz w:val="20"/>
          <w:szCs w:val="20"/>
          <w:color w:val="auto"/>
        </w:rPr>
      </w:pPr>
      <w:r>
        <w:rPr>
          <w:rFonts w:ascii="Courier New" w:cs="Courier New" w:eastAsia="Courier New" w:hAnsi="Courier New"/>
          <w:sz w:val="17"/>
          <w:szCs w:val="17"/>
          <w:color w:val="auto"/>
        </w:rPr>
        <w:t>INDEX TO FORM 10-Q</w:t>
      </w:r>
    </w:p>
    <w:p>
      <w:pPr>
        <w:spacing w:after="0" w:line="200" w:lineRule="exact"/>
        <w:rPr>
          <w:sz w:val="20"/>
          <w:szCs w:val="20"/>
          <w:color w:val="auto"/>
        </w:rPr>
      </w:pPr>
    </w:p>
    <w:p>
      <w:pPr>
        <w:spacing w:after="0" w:line="378"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7"/>
          <w:szCs w:val="17"/>
          <w:color w:val="auto"/>
        </w:rPr>
        <w:t>Page Number</w:t>
      </w:r>
    </w:p>
    <w:p>
      <w:pPr>
        <w:spacing w:after="0" w:line="6" w:lineRule="exact"/>
        <w:rPr>
          <w:sz w:val="20"/>
          <w:szCs w:val="20"/>
          <w:color w:val="auto"/>
        </w:rPr>
      </w:pPr>
    </w:p>
    <w:p>
      <w:pPr>
        <w:ind w:left="65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198" w:lineRule="exact"/>
        <w:rPr>
          <w:sz w:val="20"/>
          <w:szCs w:val="20"/>
          <w:color w:val="auto"/>
        </w:rPr>
      </w:pPr>
    </w:p>
    <w:p>
      <w:pPr>
        <w:ind w:left="1000" w:right="4099"/>
        <w:spacing w:after="0" w:line="236" w:lineRule="auto"/>
        <w:rPr>
          <w:sz w:val="20"/>
          <w:szCs w:val="20"/>
          <w:color w:val="auto"/>
        </w:rPr>
      </w:pPr>
      <w:r>
        <w:rPr>
          <w:rFonts w:ascii="Courier New" w:cs="Courier New" w:eastAsia="Courier New" w:hAnsi="Courier New"/>
          <w:sz w:val="17"/>
          <w:szCs w:val="17"/>
          <w:color w:val="auto"/>
        </w:rPr>
        <w:t>Condensed Consolidated Statements of Operations and Retained Earnings -</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Three and Six Months Ended</w:t>
      </w:r>
    </w:p>
    <w:p>
      <w:pPr>
        <w:ind w:left="1500"/>
        <w:spacing w:after="0"/>
        <w:tabs>
          <w:tab w:leader="none" w:pos="7000" w:val="left"/>
        </w:tabs>
        <w:rPr>
          <w:sz w:val="20"/>
          <w:szCs w:val="20"/>
          <w:color w:val="auto"/>
        </w:rPr>
      </w:pPr>
      <w:r>
        <w:rPr>
          <w:rFonts w:ascii="Courier New" w:cs="Courier New" w:eastAsia="Courier New" w:hAnsi="Courier New"/>
          <w:sz w:val="17"/>
          <w:szCs w:val="17"/>
          <w:color w:val="auto"/>
        </w:rPr>
        <w:t>May 3, 1996 and April 28, 1995. . . . . . . . . . . .</w:t>
      </w:r>
      <w:r>
        <w:rPr>
          <w:sz w:val="20"/>
          <w:szCs w:val="20"/>
          <w:color w:val="auto"/>
        </w:rPr>
        <w:tab/>
      </w:r>
      <w:r>
        <w:rPr>
          <w:rFonts w:ascii="Courier New" w:cs="Courier New" w:eastAsia="Courier New" w:hAnsi="Courier New"/>
          <w:sz w:val="16"/>
          <w:szCs w:val="16"/>
          <w:color w:val="auto"/>
        </w:rPr>
        <w:t>3</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Condensed Consolidated Balance Sheets</w:t>
      </w:r>
    </w:p>
    <w:p>
      <w:pPr>
        <w:ind w:left="1500"/>
        <w:spacing w:after="0"/>
        <w:tabs>
          <w:tab w:leader="none" w:pos="7000" w:val="left"/>
        </w:tabs>
        <w:rPr>
          <w:sz w:val="20"/>
          <w:szCs w:val="20"/>
          <w:color w:val="auto"/>
        </w:rPr>
      </w:pPr>
      <w:r>
        <w:rPr>
          <w:rFonts w:ascii="Courier New" w:cs="Courier New" w:eastAsia="Courier New" w:hAnsi="Courier New"/>
          <w:sz w:val="17"/>
          <w:szCs w:val="17"/>
          <w:color w:val="auto"/>
        </w:rPr>
        <w:t>May 3, 1996, April 28, 1995 and October 31, 1995, . .</w:t>
      </w:r>
      <w:r>
        <w:rPr>
          <w:sz w:val="20"/>
          <w:szCs w:val="20"/>
          <w:color w:val="auto"/>
        </w:rPr>
        <w:tab/>
      </w:r>
      <w:r>
        <w:rPr>
          <w:rFonts w:ascii="Courier New" w:cs="Courier New" w:eastAsia="Courier New" w:hAnsi="Courier New"/>
          <w:sz w:val="16"/>
          <w:szCs w:val="16"/>
          <w:color w:val="auto"/>
        </w:rPr>
        <w:t>4</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Consolidated Statements of Cash Flows -</w:t>
      </w:r>
    </w:p>
    <w:p>
      <w:pPr>
        <w:ind w:left="1500"/>
        <w:spacing w:after="0"/>
        <w:tabs>
          <w:tab w:leader="none" w:pos="7000" w:val="left"/>
        </w:tabs>
        <w:rPr>
          <w:sz w:val="20"/>
          <w:szCs w:val="20"/>
          <w:color w:val="auto"/>
        </w:rPr>
      </w:pPr>
      <w:r>
        <w:rPr>
          <w:rFonts w:ascii="Courier New" w:cs="Courier New" w:eastAsia="Courier New" w:hAnsi="Courier New"/>
          <w:sz w:val="17"/>
          <w:szCs w:val="17"/>
          <w:color w:val="auto"/>
        </w:rPr>
        <w:t>Six Months Ended May 3, 1996 and April 28, 1995 . . .</w:t>
      </w:r>
      <w:r>
        <w:rPr>
          <w:sz w:val="20"/>
          <w:szCs w:val="20"/>
          <w:color w:val="auto"/>
        </w:rPr>
        <w:tab/>
      </w:r>
      <w:r>
        <w:rPr>
          <w:rFonts w:ascii="Courier New" w:cs="Courier New" w:eastAsia="Courier New" w:hAnsi="Courier New"/>
          <w:sz w:val="16"/>
          <w:szCs w:val="16"/>
          <w:color w:val="auto"/>
        </w:rPr>
        <w:t>5</w:t>
      </w:r>
    </w:p>
    <w:p>
      <w:pPr>
        <w:spacing w:after="0" w:line="193" w:lineRule="exact"/>
        <w:rPr>
          <w:sz w:val="20"/>
          <w:szCs w:val="20"/>
          <w:color w:val="auto"/>
        </w:rPr>
      </w:pPr>
    </w:p>
    <w:p>
      <w:pPr>
        <w:ind w:left="1000"/>
        <w:spacing w:after="0"/>
        <w:tabs>
          <w:tab w:leader="none" w:pos="7000" w:val="left"/>
        </w:tabs>
        <w:rPr>
          <w:sz w:val="20"/>
          <w:szCs w:val="20"/>
          <w:color w:val="auto"/>
        </w:rPr>
      </w:pPr>
      <w:r>
        <w:rPr>
          <w:rFonts w:ascii="Courier New" w:cs="Courier New" w:eastAsia="Courier New" w:hAnsi="Courier New"/>
          <w:sz w:val="17"/>
          <w:szCs w:val="17"/>
          <w:color w:val="auto"/>
        </w:rPr>
        <w:t>Notes to Condensed Consolidated Financial Statements . . .</w:t>
      </w:r>
      <w:r>
        <w:rPr>
          <w:sz w:val="20"/>
          <w:szCs w:val="20"/>
          <w:color w:val="auto"/>
        </w:rPr>
        <w:tab/>
      </w:r>
      <w:r>
        <w:rPr>
          <w:rFonts w:ascii="Courier New" w:cs="Courier New" w:eastAsia="Courier New" w:hAnsi="Courier New"/>
          <w:sz w:val="16"/>
          <w:szCs w:val="16"/>
          <w:color w:val="auto"/>
        </w:rPr>
        <w:t>6-7</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Management's Discussion and Analysis of Financial</w:t>
      </w:r>
    </w:p>
    <w:p>
      <w:pPr>
        <w:ind w:left="1500"/>
        <w:spacing w:after="0"/>
        <w:tabs>
          <w:tab w:leader="none" w:pos="7000" w:val="left"/>
        </w:tabs>
        <w:rPr>
          <w:sz w:val="20"/>
          <w:szCs w:val="20"/>
          <w:color w:val="auto"/>
        </w:rPr>
      </w:pPr>
      <w:r>
        <w:rPr>
          <w:rFonts w:ascii="Courier New" w:cs="Courier New" w:eastAsia="Courier New" w:hAnsi="Courier New"/>
          <w:sz w:val="17"/>
          <w:szCs w:val="17"/>
          <w:color w:val="auto"/>
        </w:rPr>
        <w:t>Condition and Results of Operations . . . . . . . . .</w:t>
      </w:r>
      <w:r>
        <w:rPr>
          <w:sz w:val="20"/>
          <w:szCs w:val="20"/>
          <w:color w:val="auto"/>
        </w:rPr>
        <w:tab/>
      </w:r>
      <w:r>
        <w:rPr>
          <w:rFonts w:ascii="Courier New" w:cs="Courier New" w:eastAsia="Courier New" w:hAnsi="Courier New"/>
          <w:sz w:val="16"/>
          <w:szCs w:val="16"/>
          <w:color w:val="auto"/>
        </w:rPr>
        <w:t>8-10</w:t>
      </w:r>
    </w:p>
    <w:p>
      <w:pPr>
        <w:spacing w:after="0" w:line="386"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198" w:lineRule="exact"/>
        <w:rPr>
          <w:sz w:val="20"/>
          <w:szCs w:val="20"/>
          <w:color w:val="auto"/>
        </w:rPr>
      </w:pPr>
    </w:p>
    <w:p>
      <w:pPr>
        <w:ind w:left="1000" w:right="2999"/>
        <w:spacing w:after="0" w:line="473" w:lineRule="auto"/>
        <w:rPr>
          <w:sz w:val="20"/>
          <w:szCs w:val="20"/>
          <w:color w:val="auto"/>
        </w:rPr>
      </w:pPr>
      <w:r>
        <w:rPr>
          <w:rFonts w:ascii="Courier New" w:cs="Courier New" w:eastAsia="Courier New" w:hAnsi="Courier New"/>
          <w:sz w:val="17"/>
          <w:szCs w:val="17"/>
          <w:color w:val="auto"/>
        </w:rPr>
        <w:t>Item 4 Results of Votes of Security Holders . . . . . . . 11 Item 6 Exhibits and Reports on Form 8-K . . . . . . . . . 11</w:t>
      </w:r>
    </w:p>
    <w:p>
      <w:pPr>
        <w:spacing w:after="0" w:line="6" w:lineRule="exact"/>
        <w:rPr>
          <w:sz w:val="20"/>
          <w:szCs w:val="20"/>
          <w:color w:val="auto"/>
        </w:rPr>
      </w:pPr>
    </w:p>
    <w:p>
      <w:pPr>
        <w:ind w:left="1500"/>
        <w:spacing w:after="0"/>
        <w:tabs>
          <w:tab w:leader="none" w:pos="2680" w:val="left"/>
        </w:tabs>
        <w:rPr>
          <w:sz w:val="20"/>
          <w:szCs w:val="20"/>
          <w:color w:val="auto"/>
        </w:rPr>
      </w:pPr>
      <w:r>
        <w:rPr>
          <w:rFonts w:ascii="Courier New" w:cs="Courier New" w:eastAsia="Courier New" w:hAnsi="Courier New"/>
          <w:sz w:val="17"/>
          <w:szCs w:val="17"/>
          <w:color w:val="auto"/>
        </w:rPr>
        <w:t>Exhibit 11</w:t>
      </w:r>
      <w:r>
        <w:rPr>
          <w:sz w:val="20"/>
          <w:szCs w:val="20"/>
          <w:color w:val="auto"/>
        </w:rPr>
        <w:tab/>
      </w:r>
      <w:r>
        <w:rPr>
          <w:rFonts w:ascii="Courier New" w:cs="Courier New" w:eastAsia="Courier New" w:hAnsi="Courier New"/>
          <w:sz w:val="16"/>
          <w:szCs w:val="16"/>
          <w:color w:val="auto"/>
        </w:rPr>
        <w:t>Computation of Earnings</w:t>
      </w:r>
    </w:p>
    <w:p>
      <w:pPr>
        <w:ind w:left="2700"/>
        <w:spacing w:after="0"/>
        <w:tabs>
          <w:tab w:leader="none" w:pos="7000" w:val="left"/>
        </w:tabs>
        <w:rPr>
          <w:sz w:val="20"/>
          <w:szCs w:val="20"/>
          <w:color w:val="auto"/>
        </w:rPr>
      </w:pPr>
      <w:r>
        <w:rPr>
          <w:rFonts w:ascii="Courier New" w:cs="Courier New" w:eastAsia="Courier New" w:hAnsi="Courier New"/>
          <w:sz w:val="17"/>
          <w:szCs w:val="17"/>
          <w:color w:val="auto"/>
        </w:rPr>
        <w:t>Per Common Share. . . . . . . . . . . . .</w:t>
      </w:r>
      <w:r>
        <w:rPr>
          <w:sz w:val="20"/>
          <w:szCs w:val="20"/>
          <w:color w:val="auto"/>
        </w:rPr>
        <w:tab/>
      </w: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881" w:right="1440" w:bottom="1440" w:gutter="0" w:footer="0" w:header="0"/>
        </w:sectPr>
      </w:pPr>
    </w:p>
    <w:bookmarkStart w:id="2" w:name="page3"/>
    <w:bookmarkEnd w:id="2"/>
    <w:p>
      <w:pPr>
        <w:jc w:val="center"/>
        <w:ind w:right="2099"/>
        <w:spacing w:after="0"/>
        <w:rPr>
          <w:sz w:val="20"/>
          <w:szCs w:val="20"/>
          <w:color w:val="auto"/>
        </w:rPr>
      </w:pPr>
      <w:r>
        <w:rPr>
          <w:rFonts w:ascii="Courier New" w:cs="Courier New" w:eastAsia="Courier New" w:hAnsi="Courier New"/>
          <w:sz w:val="17"/>
          <w:szCs w:val="17"/>
          <w:color w:val="auto"/>
        </w:rPr>
        <w:t>PART I. FINANCIAL INFORMATION</w:t>
      </w:r>
    </w:p>
    <w:p>
      <w:pPr>
        <w:jc w:val="center"/>
        <w:ind w:right="2099"/>
        <w:spacing w:after="0"/>
        <w:rPr>
          <w:sz w:val="20"/>
          <w:szCs w:val="20"/>
          <w:color w:val="auto"/>
        </w:rPr>
      </w:pPr>
      <w:r>
        <w:rPr>
          <w:rFonts w:ascii="Courier New" w:cs="Courier New" w:eastAsia="Courier New" w:hAnsi="Courier New"/>
          <w:sz w:val="17"/>
          <w:szCs w:val="17"/>
          <w:color w:val="auto"/>
        </w:rPr>
        <w:t>THE TORO COMPANY AND SUBSIDIARIES</w:t>
      </w:r>
    </w:p>
    <w:p>
      <w:pPr>
        <w:spacing w:after="0" w:line="6" w:lineRule="exact"/>
        <w:rPr>
          <w:sz w:val="20"/>
          <w:szCs w:val="20"/>
          <w:color w:val="auto"/>
        </w:rPr>
      </w:pPr>
    </w:p>
    <w:p>
      <w:pPr>
        <w:ind w:right="2699" w:firstLine="601"/>
        <w:spacing w:after="0" w:line="236" w:lineRule="auto"/>
        <w:rPr>
          <w:sz w:val="20"/>
          <w:szCs w:val="20"/>
          <w:color w:val="auto"/>
        </w:rPr>
      </w:pPr>
      <w:r>
        <w:rPr>
          <w:rFonts w:ascii="Courier New" w:cs="Courier New" w:eastAsia="Courier New" w:hAnsi="Courier New"/>
          <w:sz w:val="17"/>
          <w:szCs w:val="17"/>
          <w:color w:val="auto"/>
        </w:rPr>
        <w:t>CONDENSED CONSOLIDATED STATEMENTS OF OPERATIONS AND RETAINED EARNINGS (UNAUDITED)</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(DOLLARS IN THOUSANDS, EXCEPT PER-SHARE DATA)</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20" w:type="dxa"/>
            <w:vAlign w:val="bottom"/>
          </w:tcPr>
          <w:p>
            <w:pPr>
              <w:spacing w:after="0"/>
              <w:rPr>
                <w:sz w:val="16"/>
                <w:szCs w:val="16"/>
                <w:color w:val="auto"/>
              </w:rPr>
            </w:pPr>
          </w:p>
        </w:tc>
        <w:tc>
          <w:tcPr>
            <w:tcW w:w="2800" w:type="dxa"/>
            <w:vAlign w:val="bottom"/>
            <w:gridSpan w:val="3"/>
          </w:tcPr>
          <w:p>
            <w:pPr>
              <w:jc w:val="right"/>
              <w:ind w:right="616"/>
              <w:spacing w:after="0"/>
              <w:rPr>
                <w:sz w:val="20"/>
                <w:szCs w:val="20"/>
                <w:color w:val="auto"/>
              </w:rPr>
            </w:pPr>
            <w:r>
              <w:rPr>
                <w:rFonts w:ascii="Courier New" w:cs="Courier New" w:eastAsia="Courier New" w:hAnsi="Courier New"/>
                <w:sz w:val="17"/>
                <w:szCs w:val="17"/>
                <w:color w:val="auto"/>
              </w:rPr>
              <w:t>Three Months Ended</w:t>
            </w:r>
          </w:p>
        </w:tc>
        <w:tc>
          <w:tcPr>
            <w:tcW w:w="340" w:type="dxa"/>
            <w:vAlign w:val="bottom"/>
          </w:tcPr>
          <w:p>
            <w:pPr>
              <w:spacing w:after="0"/>
              <w:rPr>
                <w:sz w:val="16"/>
                <w:szCs w:val="16"/>
                <w:color w:val="auto"/>
              </w:rPr>
            </w:pPr>
          </w:p>
        </w:tc>
        <w:tc>
          <w:tcPr>
            <w:tcW w:w="2660" w:type="dxa"/>
            <w:vAlign w:val="bottom"/>
            <w:gridSpan w:val="3"/>
          </w:tcPr>
          <w:p>
            <w:pPr>
              <w:jc w:val="right"/>
              <w:ind w:right="516"/>
              <w:spacing w:after="0"/>
              <w:rPr>
                <w:sz w:val="20"/>
                <w:szCs w:val="20"/>
                <w:color w:val="auto"/>
              </w:rPr>
            </w:pPr>
            <w:r>
              <w:rPr>
                <w:rFonts w:ascii="Courier New" w:cs="Courier New" w:eastAsia="Courier New" w:hAnsi="Courier New"/>
                <w:sz w:val="17"/>
                <w:szCs w:val="17"/>
                <w:color w:val="auto"/>
              </w:rPr>
              <w:t>Six Months Ended</w:t>
            </w:r>
          </w:p>
        </w:tc>
      </w:tr>
      <w:tr>
        <w:trPr>
          <w:trHeight w:val="193"/>
        </w:trPr>
        <w:tc>
          <w:tcPr>
            <w:tcW w:w="51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2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4"/>
              </w:rPr>
              <w:t>May 3,</w:t>
            </w:r>
          </w:p>
        </w:tc>
        <w:tc>
          <w:tcPr>
            <w:tcW w:w="500" w:type="dxa"/>
            <w:vAlign w:val="bottom"/>
          </w:tcPr>
          <w:p>
            <w:pPr>
              <w:spacing w:after="0"/>
              <w:rPr>
                <w:sz w:val="16"/>
                <w:szCs w:val="16"/>
                <w:color w:val="auto"/>
              </w:rPr>
            </w:pP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April 28,</w:t>
            </w:r>
          </w:p>
        </w:tc>
        <w:tc>
          <w:tcPr>
            <w:tcW w:w="340" w:type="dxa"/>
            <w:vAlign w:val="bottom"/>
          </w:tcPr>
          <w:p>
            <w:pPr>
              <w:spacing w:after="0"/>
              <w:rPr>
                <w:sz w:val="16"/>
                <w:szCs w:val="16"/>
                <w:color w:val="auto"/>
              </w:rPr>
            </w:pPr>
          </w:p>
        </w:tc>
        <w:tc>
          <w:tcPr>
            <w:tcW w:w="11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May 3,</w:t>
            </w:r>
          </w:p>
        </w:tc>
        <w:tc>
          <w:tcPr>
            <w:tcW w:w="4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April 28,</w:t>
            </w:r>
          </w:p>
        </w:tc>
      </w:tr>
      <w:tr>
        <w:trPr>
          <w:trHeight w:val="193"/>
        </w:trPr>
        <w:tc>
          <w:tcPr>
            <w:tcW w:w="412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1996</w:t>
            </w:r>
          </w:p>
        </w:tc>
        <w:tc>
          <w:tcPr>
            <w:tcW w:w="500" w:type="dxa"/>
            <w:vAlign w:val="bottom"/>
          </w:tcPr>
          <w:p>
            <w:pPr>
              <w:spacing w:after="0"/>
              <w:rPr>
                <w:sz w:val="16"/>
                <w:szCs w:val="16"/>
                <w:color w:val="auto"/>
              </w:rPr>
            </w:pP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1995</w:t>
            </w:r>
          </w:p>
        </w:tc>
        <w:tc>
          <w:tcPr>
            <w:tcW w:w="340" w:type="dxa"/>
            <w:vAlign w:val="bottom"/>
          </w:tcPr>
          <w:p>
            <w:pPr>
              <w:spacing w:after="0"/>
              <w:rPr>
                <w:sz w:val="16"/>
                <w:szCs w:val="16"/>
                <w:color w:val="auto"/>
              </w:rPr>
            </w:pPr>
          </w:p>
        </w:tc>
        <w:tc>
          <w:tcPr>
            <w:tcW w:w="11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1996</w:t>
            </w:r>
          </w:p>
        </w:tc>
        <w:tc>
          <w:tcPr>
            <w:tcW w:w="40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1995</w:t>
            </w:r>
          </w:p>
        </w:tc>
      </w:tr>
      <w:tr>
        <w:trPr>
          <w:trHeight w:val="193"/>
        </w:trPr>
        <w:tc>
          <w:tcPr>
            <w:tcW w:w="5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120" w:type="dxa"/>
            <w:vAlign w:val="bottom"/>
          </w:tcPr>
          <w:p>
            <w:pPr>
              <w:spacing w:after="0"/>
              <w:rPr>
                <w:sz w:val="20"/>
                <w:szCs w:val="20"/>
                <w:color w:val="auto"/>
              </w:rPr>
            </w:pPr>
            <w:r>
              <w:rPr>
                <w:rFonts w:ascii="Courier New" w:cs="Courier New" w:eastAsia="Courier New" w:hAnsi="Courier New"/>
                <w:sz w:val="17"/>
                <w:szCs w:val="17"/>
                <w:color w:val="auto"/>
              </w:rPr>
              <w:t>Net sales. . . . . . . . . . . . .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288,646</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310,613</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500,147</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524,563</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Cost of sales. . . . . . . . . . .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184,836</w:t>
            </w:r>
          </w:p>
        </w:tc>
        <w:tc>
          <w:tcPr>
            <w:tcW w:w="5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203,271</w:t>
            </w:r>
          </w:p>
        </w:tc>
        <w:tc>
          <w:tcPr>
            <w:tcW w:w="3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320,008</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341,153</w:t>
            </w:r>
          </w:p>
        </w:tc>
      </w:tr>
      <w:tr>
        <w:trPr>
          <w:trHeight w:val="193"/>
        </w:trPr>
        <w:tc>
          <w:tcPr>
            <w:tcW w:w="5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Gross profit  . . . . . . . .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103,810</w:t>
            </w:r>
          </w:p>
        </w:tc>
        <w:tc>
          <w:tcPr>
            <w:tcW w:w="5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107,342</w:t>
            </w:r>
          </w:p>
        </w:tc>
        <w:tc>
          <w:tcPr>
            <w:tcW w:w="3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180,139</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183,410</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w:t>
            </w: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expense . . . . . . . . . . .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73,540</w:t>
            </w:r>
          </w:p>
        </w:tc>
        <w:tc>
          <w:tcPr>
            <w:tcW w:w="5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76,245</w:t>
            </w:r>
          </w:p>
        </w:tc>
        <w:tc>
          <w:tcPr>
            <w:tcW w:w="3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137,364</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140,239</w:t>
            </w:r>
          </w:p>
        </w:tc>
      </w:tr>
      <w:tr>
        <w:trPr>
          <w:trHeight w:val="193"/>
        </w:trPr>
        <w:tc>
          <w:tcPr>
            <w:tcW w:w="5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Earnings from operations  . .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30,270</w:t>
            </w:r>
          </w:p>
        </w:tc>
        <w:tc>
          <w:tcPr>
            <w:tcW w:w="5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31,097</w:t>
            </w:r>
          </w:p>
        </w:tc>
        <w:tc>
          <w:tcPr>
            <w:tcW w:w="3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42,775</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43,171</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Interest expense . . . . . . . . .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4,134</w:t>
            </w:r>
          </w:p>
        </w:tc>
        <w:tc>
          <w:tcPr>
            <w:tcW w:w="5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3,428</w:t>
            </w:r>
          </w:p>
        </w:tc>
        <w:tc>
          <w:tcPr>
            <w:tcW w:w="3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7,103</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6,023</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Other income, net. . . . . . . . .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(1,640)</w:t>
            </w:r>
          </w:p>
        </w:tc>
        <w:tc>
          <w:tcPr>
            <w:tcW w:w="5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(1,563)</w:t>
            </w:r>
          </w:p>
        </w:tc>
        <w:tc>
          <w:tcPr>
            <w:tcW w:w="3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(6,153)</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(3,415)</w:t>
            </w:r>
          </w:p>
        </w:tc>
      </w:tr>
      <w:tr>
        <w:trPr>
          <w:trHeight w:val="193"/>
        </w:trPr>
        <w:tc>
          <w:tcPr>
            <w:tcW w:w="5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Earnings before income taxes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27,776</w:t>
            </w:r>
          </w:p>
        </w:tc>
        <w:tc>
          <w:tcPr>
            <w:tcW w:w="5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29,232</w:t>
            </w:r>
          </w:p>
        </w:tc>
        <w:tc>
          <w:tcPr>
            <w:tcW w:w="3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41,825</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40,563</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Provision for income taxes . . . .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10,956</w:t>
            </w:r>
          </w:p>
        </w:tc>
        <w:tc>
          <w:tcPr>
            <w:tcW w:w="5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11,693</w:t>
            </w:r>
          </w:p>
        </w:tc>
        <w:tc>
          <w:tcPr>
            <w:tcW w:w="3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16,507</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16,225</w:t>
            </w:r>
          </w:p>
        </w:tc>
      </w:tr>
      <w:tr>
        <w:trPr>
          <w:trHeight w:val="193"/>
        </w:trPr>
        <w:tc>
          <w:tcPr>
            <w:tcW w:w="5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20" w:type="dxa"/>
            <w:vAlign w:val="bottom"/>
          </w:tcPr>
          <w:p>
            <w:pPr>
              <w:ind w:left="500"/>
              <w:spacing w:after="0"/>
              <w:rPr>
                <w:sz w:val="20"/>
                <w:szCs w:val="20"/>
                <w:color w:val="auto"/>
              </w:rPr>
            </w:pPr>
            <w:r>
              <w:rPr>
                <w:rFonts w:ascii="Courier New" w:cs="Courier New" w:eastAsia="Courier New" w:hAnsi="Courier New"/>
                <w:sz w:val="17"/>
                <w:szCs w:val="17"/>
                <w:color w:val="auto"/>
              </w:rPr>
              <w:t>Net earnings  . . . . . . . .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16,820</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17,539</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25,318</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24,338</w:t>
            </w:r>
          </w:p>
        </w:tc>
      </w:tr>
      <w:tr>
        <w:trPr>
          <w:trHeight w:val="193"/>
        </w:trPr>
        <w:tc>
          <w:tcPr>
            <w:tcW w:w="5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78"/>
        </w:trPr>
        <w:tc>
          <w:tcPr>
            <w:tcW w:w="4120" w:type="dxa"/>
            <w:vAlign w:val="bottom"/>
          </w:tcPr>
          <w:p>
            <w:pPr>
              <w:spacing w:after="0"/>
              <w:rPr>
                <w:sz w:val="20"/>
                <w:szCs w:val="20"/>
                <w:color w:val="auto"/>
              </w:rPr>
            </w:pPr>
            <w:r>
              <w:rPr>
                <w:rFonts w:ascii="Courier New" w:cs="Courier New" w:eastAsia="Courier New" w:hAnsi="Courier New"/>
                <w:sz w:val="17"/>
                <w:szCs w:val="17"/>
                <w:color w:val="auto"/>
              </w:rPr>
              <w:t>Retained earnings at beginning</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of period. . . . . . . . . .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149,924</w:t>
            </w:r>
          </w:p>
        </w:tc>
        <w:tc>
          <w:tcPr>
            <w:tcW w:w="5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121,751</w:t>
            </w:r>
          </w:p>
        </w:tc>
        <w:tc>
          <w:tcPr>
            <w:tcW w:w="3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142,891</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116,482</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Dividends on common stock of</w:t>
            </w: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120" w:type="dxa"/>
            <w:vAlign w:val="bottom"/>
          </w:tcPr>
          <w:p>
            <w:pPr>
              <w:ind w:left="600"/>
              <w:spacing w:after="0"/>
              <w:rPr>
                <w:sz w:val="20"/>
                <w:szCs w:val="20"/>
                <w:color w:val="auto"/>
              </w:rPr>
            </w:pPr>
            <w:r>
              <w:rPr>
                <w:rFonts w:ascii="Courier New" w:cs="Courier New" w:eastAsia="Courier New" w:hAnsi="Courier New"/>
                <w:sz w:val="17"/>
                <w:szCs w:val="17"/>
                <w:color w:val="auto"/>
              </w:rPr>
              <w:t>$0.12, $0.12,$0.24 and $0.24</w:t>
            </w: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per share, respectively. . .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(1,470)</w:t>
            </w:r>
          </w:p>
        </w:tc>
        <w:tc>
          <w:tcPr>
            <w:tcW w:w="50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(1,528)</w:t>
            </w:r>
          </w:p>
        </w:tc>
        <w:tc>
          <w:tcPr>
            <w:tcW w:w="3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(2,935)</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(3,058)</w:t>
            </w:r>
          </w:p>
        </w:tc>
      </w:tr>
      <w:tr>
        <w:trPr>
          <w:trHeight w:val="193"/>
        </w:trPr>
        <w:tc>
          <w:tcPr>
            <w:tcW w:w="5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Retained earnings at end of period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165,274</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137,762</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165,274</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137,762</w:t>
            </w:r>
          </w:p>
        </w:tc>
      </w:tr>
      <w:tr>
        <w:trPr>
          <w:trHeight w:val="193"/>
        </w:trPr>
        <w:tc>
          <w:tcPr>
            <w:tcW w:w="5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Net earnings per share of</w:t>
            </w: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120" w:type="dxa"/>
            <w:vAlign w:val="bottom"/>
          </w:tcPr>
          <w:p>
            <w:pPr>
              <w:ind w:left="600"/>
              <w:spacing w:after="0"/>
              <w:rPr>
                <w:sz w:val="20"/>
                <w:szCs w:val="20"/>
                <w:color w:val="auto"/>
              </w:rPr>
            </w:pPr>
            <w:r>
              <w:rPr>
                <w:rFonts w:ascii="Courier New" w:cs="Courier New" w:eastAsia="Courier New" w:hAnsi="Courier New"/>
                <w:sz w:val="17"/>
                <w:szCs w:val="17"/>
                <w:color w:val="auto"/>
              </w:rPr>
              <w:t>common stock and common stock</w:t>
            </w: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120" w:type="dxa"/>
            <w:vAlign w:val="bottom"/>
          </w:tcPr>
          <w:p>
            <w:pPr>
              <w:ind w:left="600"/>
              <w:spacing w:after="0"/>
              <w:rPr>
                <w:sz w:val="20"/>
                <w:szCs w:val="20"/>
                <w:color w:val="auto"/>
              </w:rPr>
            </w:pPr>
            <w:r>
              <w:rPr>
                <w:rFonts w:ascii="Courier New" w:cs="Courier New" w:eastAsia="Courier New" w:hAnsi="Courier New"/>
                <w:sz w:val="17"/>
                <w:szCs w:val="17"/>
                <w:color w:val="auto"/>
              </w:rPr>
              <w:t>equivalent . . . . . . . . .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1.33</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1.32</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1.83</w:t>
            </w:r>
          </w:p>
        </w:tc>
      </w:tr>
      <w:tr>
        <w:trPr>
          <w:trHeight w:val="193"/>
        </w:trPr>
        <w:tc>
          <w:tcPr>
            <w:tcW w:w="5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Net earnings per share of common</w:t>
            </w: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120" w:type="dxa"/>
            <w:vAlign w:val="bottom"/>
          </w:tcPr>
          <w:p>
            <w:pPr>
              <w:ind w:left="400"/>
              <w:spacing w:after="0"/>
              <w:rPr>
                <w:sz w:val="20"/>
                <w:szCs w:val="20"/>
                <w:color w:val="auto"/>
              </w:rPr>
            </w:pPr>
            <w:r>
              <w:rPr>
                <w:rFonts w:ascii="Courier New" w:cs="Courier New" w:eastAsia="Courier New" w:hAnsi="Courier New"/>
                <w:sz w:val="17"/>
                <w:szCs w:val="17"/>
                <w:color w:val="auto"/>
              </w:rPr>
              <w:t>stock and common stock</w:t>
            </w: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120" w:type="dxa"/>
            <w:vAlign w:val="bottom"/>
          </w:tcPr>
          <w:p>
            <w:pPr>
              <w:ind w:left="400"/>
              <w:spacing w:after="0"/>
              <w:rPr>
                <w:sz w:val="20"/>
                <w:szCs w:val="20"/>
                <w:color w:val="auto"/>
              </w:rPr>
            </w:pPr>
            <w:r>
              <w:rPr>
                <w:rFonts w:ascii="Courier New" w:cs="Courier New" w:eastAsia="Courier New" w:hAnsi="Courier New"/>
                <w:sz w:val="17"/>
                <w:szCs w:val="17"/>
                <w:color w:val="auto"/>
              </w:rPr>
              <w:t>equivalent - assuming full</w:t>
            </w: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120" w:type="dxa"/>
            <w:vAlign w:val="bottom"/>
          </w:tcPr>
          <w:p>
            <w:pPr>
              <w:ind w:left="400"/>
              <w:spacing w:after="0"/>
              <w:rPr>
                <w:sz w:val="20"/>
                <w:szCs w:val="20"/>
                <w:color w:val="auto"/>
              </w:rPr>
            </w:pPr>
            <w:r>
              <w:rPr>
                <w:rFonts w:ascii="Courier New" w:cs="Courier New" w:eastAsia="Courier New" w:hAnsi="Courier New"/>
                <w:sz w:val="17"/>
                <w:szCs w:val="17"/>
                <w:color w:val="auto"/>
              </w:rPr>
              <w:t>dilution . . . . . . . . . . .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1.33</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1.32</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1.83</w:t>
            </w:r>
          </w:p>
        </w:tc>
      </w:tr>
      <w:tr>
        <w:trPr>
          <w:trHeight w:val="193"/>
        </w:trPr>
        <w:tc>
          <w:tcPr>
            <w:tcW w:w="5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200" w:lineRule="exact"/>
        <w:rPr>
          <w:sz w:val="20"/>
          <w:szCs w:val="20"/>
          <w:color w:val="auto"/>
        </w:rPr>
      </w:pPr>
    </w:p>
    <w:p>
      <w:pPr>
        <w:spacing w:after="0" w:line="37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1074" w:right="1440" w:bottom="1440" w:gutter="0" w:footer="0" w:header="0"/>
        </w:sectPr>
      </w:pPr>
    </w:p>
    <w:bookmarkStart w:id="3" w:name="page4"/>
    <w:bookmarkEnd w:id="3"/>
    <w:p>
      <w:pPr>
        <w:jc w:val="center"/>
        <w:ind w:right="2099"/>
        <w:spacing w:after="0"/>
        <w:rPr>
          <w:sz w:val="20"/>
          <w:szCs w:val="20"/>
          <w:color w:val="auto"/>
        </w:rPr>
      </w:pPr>
      <w:r>
        <w:rPr>
          <w:rFonts w:ascii="Courier New" w:cs="Courier New" w:eastAsia="Courier New" w:hAnsi="Courier New"/>
          <w:sz w:val="17"/>
          <w:szCs w:val="17"/>
          <w:color w:val="auto"/>
        </w:rPr>
        <w:t>THE TORO COMPANY AND SUBSIDIARIES</w:t>
      </w:r>
    </w:p>
    <w:p>
      <w:pPr>
        <w:jc w:val="center"/>
        <w:ind w:right="2099"/>
        <w:spacing w:after="0"/>
        <w:rPr>
          <w:sz w:val="20"/>
          <w:szCs w:val="20"/>
          <w:color w:val="auto"/>
        </w:rPr>
      </w:pPr>
      <w:r>
        <w:rPr>
          <w:rFonts w:ascii="Courier New" w:cs="Courier New" w:eastAsia="Courier New" w:hAnsi="Courier New"/>
          <w:sz w:val="17"/>
          <w:szCs w:val="17"/>
          <w:color w:val="auto"/>
        </w:rPr>
        <w:t>CONDENSED CONSOLIDATED BALANCE SHEETS (UNAUDITED)</w:t>
      </w:r>
    </w:p>
    <w:tbl>
      <w:tblPr>
        <w:tblLayout w:type="fixed"/>
        <w:tblInd w:w="0" w:type="dxa"/>
        <w:tblCellMar>
          <w:top w:w="0" w:type="dxa"/>
          <w:left w:w="0" w:type="dxa"/>
          <w:bottom w:w="0" w:type="dxa"/>
          <w:right w:w="0" w:type="dxa"/>
        </w:tblCellMar>
      </w:tblPr>
      <w:tr>
        <w:trPr>
          <w:trHeight w:val="193"/>
        </w:trPr>
        <w:tc>
          <w:tcPr>
            <w:tcW w:w="572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(DOLLARS IN THOUSANDS)</w:t>
            </w: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578"/>
        </w:trPr>
        <w:tc>
          <w:tcPr>
            <w:tcW w:w="4360" w:type="dxa"/>
            <w:vAlign w:val="bottom"/>
          </w:tcPr>
          <w:p>
            <w:pPr>
              <w:spacing w:after="0"/>
              <w:rPr>
                <w:sz w:val="24"/>
                <w:szCs w:val="24"/>
                <w:color w:val="auto"/>
              </w:rPr>
            </w:pPr>
          </w:p>
        </w:tc>
        <w:tc>
          <w:tcPr>
            <w:tcW w:w="136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May 3,</w:t>
            </w:r>
          </w:p>
        </w:tc>
        <w:tc>
          <w:tcPr>
            <w:tcW w:w="700" w:type="dxa"/>
            <w:vAlign w:val="bottom"/>
          </w:tcPr>
          <w:p>
            <w:pPr>
              <w:spacing w:after="0"/>
              <w:rPr>
                <w:sz w:val="24"/>
                <w:szCs w:val="24"/>
                <w:color w:val="auto"/>
              </w:rPr>
            </w:pP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5"/>
              </w:rPr>
              <w:t>April 28,</w:t>
            </w:r>
          </w:p>
        </w:tc>
        <w:tc>
          <w:tcPr>
            <w:tcW w:w="180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October 31,</w:t>
            </w:r>
          </w:p>
        </w:tc>
      </w:tr>
      <w:tr>
        <w:trPr>
          <w:trHeight w:val="193"/>
        </w:trPr>
        <w:tc>
          <w:tcPr>
            <w:tcW w:w="4360" w:type="dxa"/>
            <w:vAlign w:val="bottom"/>
          </w:tcPr>
          <w:p>
            <w:pPr>
              <w:spacing w:after="0"/>
              <w:rPr>
                <w:sz w:val="16"/>
                <w:szCs w:val="16"/>
                <w:color w:val="auto"/>
              </w:rPr>
            </w:pPr>
          </w:p>
        </w:tc>
        <w:tc>
          <w:tcPr>
            <w:tcW w:w="13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1996</w:t>
            </w:r>
          </w:p>
        </w:tc>
        <w:tc>
          <w:tcPr>
            <w:tcW w:w="700" w:type="dxa"/>
            <w:vAlign w:val="bottom"/>
          </w:tcPr>
          <w:p>
            <w:pPr>
              <w:spacing w:after="0"/>
              <w:rPr>
                <w:sz w:val="16"/>
                <w:szCs w:val="16"/>
                <w:color w:val="auto"/>
              </w:rPr>
            </w:pPr>
          </w:p>
        </w:tc>
        <w:tc>
          <w:tcPr>
            <w:tcW w:w="14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1995</w:t>
            </w:r>
          </w:p>
        </w:tc>
        <w:tc>
          <w:tcPr>
            <w:tcW w:w="700" w:type="dxa"/>
            <w:vAlign w:val="bottom"/>
          </w:tcPr>
          <w:p>
            <w:pPr>
              <w:spacing w:after="0"/>
              <w:rPr>
                <w:sz w:val="16"/>
                <w:szCs w:val="16"/>
                <w:color w:val="auto"/>
              </w:rPr>
            </w:pPr>
          </w:p>
        </w:tc>
        <w:tc>
          <w:tcPr>
            <w:tcW w:w="11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1995</w:t>
            </w:r>
          </w:p>
        </w:tc>
      </w:tr>
      <w:tr>
        <w:trPr>
          <w:trHeight w:val="193"/>
        </w:trPr>
        <w:tc>
          <w:tcPr>
            <w:tcW w:w="572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1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3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w w:val="98"/>
              </w:rPr>
              <w:t>Cash and cash equivalents. . . . . . . . .$</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4,238</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11,709</w:t>
            </w:r>
          </w:p>
        </w:tc>
        <w:tc>
          <w:tcPr>
            <w:tcW w:w="70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7,702</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Receivables, net . . . . . . . . . . . . .</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343,344</w:t>
            </w:r>
          </w:p>
        </w:tc>
        <w:tc>
          <w:tcPr>
            <w:tcW w:w="7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329,447</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198,816</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Inventories. . . . . . . . . . . . . . . .</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158,841</w:t>
            </w:r>
          </w:p>
        </w:tc>
        <w:tc>
          <w:tcPr>
            <w:tcW w:w="7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138,018</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145,862</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Other current assets . . . . . . . . . . .</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32,270</w:t>
            </w:r>
          </w:p>
        </w:tc>
        <w:tc>
          <w:tcPr>
            <w:tcW w:w="7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30,093</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33,879</w:t>
            </w:r>
          </w:p>
        </w:tc>
      </w:tr>
      <w:tr>
        <w:trPr>
          <w:trHeight w:val="193"/>
        </w:trPr>
        <w:tc>
          <w:tcPr>
            <w:tcW w:w="572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1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ind w:left="500"/>
              <w:spacing w:after="0"/>
              <w:rPr>
                <w:sz w:val="20"/>
                <w:szCs w:val="20"/>
                <w:color w:val="auto"/>
              </w:rPr>
            </w:pPr>
            <w:r>
              <w:rPr>
                <w:rFonts w:ascii="Courier New" w:cs="Courier New" w:eastAsia="Courier New" w:hAnsi="Courier New"/>
                <w:sz w:val="17"/>
                <w:szCs w:val="17"/>
                <w:color w:val="auto"/>
              </w:rPr>
              <w:t>Total current assets. . . . . . . . .</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538,693</w:t>
            </w:r>
          </w:p>
        </w:tc>
        <w:tc>
          <w:tcPr>
            <w:tcW w:w="7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509,267</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386,259</w:t>
            </w:r>
          </w:p>
        </w:tc>
      </w:tr>
      <w:tr>
        <w:trPr>
          <w:trHeight w:val="193"/>
        </w:trPr>
        <w:tc>
          <w:tcPr>
            <w:tcW w:w="572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1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 . . . . .</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216,806</w:t>
            </w:r>
          </w:p>
        </w:tc>
        <w:tc>
          <w:tcPr>
            <w:tcW w:w="7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203,928</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211,681</w:t>
            </w:r>
          </w:p>
        </w:tc>
      </w:tr>
      <w:tr>
        <w:trPr>
          <w:trHeight w:val="193"/>
        </w:trPr>
        <w:tc>
          <w:tcPr>
            <w:tcW w:w="4360" w:type="dxa"/>
            <w:vAlign w:val="bottom"/>
          </w:tcPr>
          <w:p>
            <w:pPr>
              <w:ind w:left="500"/>
              <w:spacing w:after="0"/>
              <w:rPr>
                <w:sz w:val="20"/>
                <w:szCs w:val="20"/>
                <w:color w:val="auto"/>
              </w:rPr>
            </w:pPr>
            <w:r>
              <w:rPr>
                <w:rFonts w:ascii="Courier New" w:cs="Courier New" w:eastAsia="Courier New" w:hAnsi="Courier New"/>
                <w:sz w:val="17"/>
                <w:szCs w:val="17"/>
                <w:color w:val="auto"/>
              </w:rPr>
              <w:t>Less accumulated depreciation</w:t>
            </w:r>
          </w:p>
        </w:tc>
        <w:tc>
          <w:tcPr>
            <w:tcW w:w="1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360" w:type="dxa"/>
            <w:vAlign w:val="bottom"/>
          </w:tcPr>
          <w:p>
            <w:pPr>
              <w:ind w:left="500"/>
              <w:spacing w:after="0"/>
              <w:rPr>
                <w:sz w:val="20"/>
                <w:szCs w:val="20"/>
                <w:color w:val="auto"/>
              </w:rPr>
            </w:pPr>
            <w:r>
              <w:rPr>
                <w:rFonts w:ascii="Courier New" w:cs="Courier New" w:eastAsia="Courier New" w:hAnsi="Courier New"/>
                <w:sz w:val="17"/>
                <w:szCs w:val="17"/>
                <w:color w:val="auto"/>
              </w:rPr>
              <w:t>and amortization. . . . . . . . . . .</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148,100</w:t>
            </w:r>
          </w:p>
        </w:tc>
        <w:tc>
          <w:tcPr>
            <w:tcW w:w="7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138,128</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141,726</w:t>
            </w:r>
          </w:p>
        </w:tc>
      </w:tr>
      <w:tr>
        <w:trPr>
          <w:trHeight w:val="193"/>
        </w:trPr>
        <w:tc>
          <w:tcPr>
            <w:tcW w:w="572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1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spacing w:after="0"/>
              <w:rPr>
                <w:sz w:val="16"/>
                <w:szCs w:val="16"/>
                <w:color w:val="auto"/>
              </w:rPr>
            </w:pP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68,706</w:t>
            </w:r>
          </w:p>
        </w:tc>
        <w:tc>
          <w:tcPr>
            <w:tcW w:w="7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65,800</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69,955</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Other assets . . . . . . . . . . . . . . .</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17,676</w:t>
            </w:r>
          </w:p>
        </w:tc>
        <w:tc>
          <w:tcPr>
            <w:tcW w:w="7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17,397</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16,439</w:t>
            </w:r>
          </w:p>
        </w:tc>
      </w:tr>
      <w:tr>
        <w:trPr>
          <w:trHeight w:val="193"/>
        </w:trPr>
        <w:tc>
          <w:tcPr>
            <w:tcW w:w="572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1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ind w:left="500"/>
              <w:spacing w:after="0"/>
              <w:rPr>
                <w:sz w:val="20"/>
                <w:szCs w:val="20"/>
                <w:color w:val="auto"/>
              </w:rPr>
            </w:pPr>
            <w:r>
              <w:rPr>
                <w:rFonts w:ascii="Courier New" w:cs="Courier New" w:eastAsia="Courier New" w:hAnsi="Courier New"/>
                <w:sz w:val="17"/>
                <w:szCs w:val="17"/>
                <w:color w:val="auto"/>
                <w:w w:val="99"/>
              </w:rPr>
              <w:t>Total assets. . . . . . . . . . . . .$</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625,075</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592,464</w:t>
            </w:r>
          </w:p>
        </w:tc>
        <w:tc>
          <w:tcPr>
            <w:tcW w:w="70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472,653</w:t>
            </w:r>
          </w:p>
        </w:tc>
      </w:tr>
      <w:tr>
        <w:trPr>
          <w:trHeight w:val="193"/>
        </w:trPr>
        <w:tc>
          <w:tcPr>
            <w:tcW w:w="572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1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72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1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3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w w:val="98"/>
              </w:rPr>
              <w:t>Current portion of long-term debt. . . . .$</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10,353</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16,055</w:t>
            </w:r>
          </w:p>
        </w:tc>
        <w:tc>
          <w:tcPr>
            <w:tcW w:w="70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15,334</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Short-term borrowing . . . . . . . . . . .</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148,585</w:t>
            </w:r>
          </w:p>
        </w:tc>
        <w:tc>
          <w:tcPr>
            <w:tcW w:w="7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91,863</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41,575</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Accounts payable . . . . . . . . . . . . .</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39,565</w:t>
            </w:r>
          </w:p>
        </w:tc>
        <w:tc>
          <w:tcPr>
            <w:tcW w:w="7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44,650</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51,052</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Other accrued liabilities. . . . . . . . .</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142,853</w:t>
            </w:r>
          </w:p>
        </w:tc>
        <w:tc>
          <w:tcPr>
            <w:tcW w:w="7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167,245</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113,212</w:t>
            </w:r>
          </w:p>
        </w:tc>
      </w:tr>
      <w:tr>
        <w:trPr>
          <w:trHeight w:val="193"/>
        </w:trPr>
        <w:tc>
          <w:tcPr>
            <w:tcW w:w="572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1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ind w:left="500"/>
              <w:spacing w:after="0"/>
              <w:rPr>
                <w:sz w:val="20"/>
                <w:szCs w:val="20"/>
                <w:color w:val="auto"/>
              </w:rPr>
            </w:pPr>
            <w:r>
              <w:rPr>
                <w:rFonts w:ascii="Courier New" w:cs="Courier New" w:eastAsia="Courier New" w:hAnsi="Courier New"/>
                <w:sz w:val="17"/>
                <w:szCs w:val="17"/>
                <w:color w:val="auto"/>
              </w:rPr>
              <w:t>Total current liabilities . . . . . .</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341,356</w:t>
            </w:r>
          </w:p>
        </w:tc>
        <w:tc>
          <w:tcPr>
            <w:tcW w:w="7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319,813</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221,173</w:t>
            </w:r>
          </w:p>
        </w:tc>
      </w:tr>
      <w:tr>
        <w:trPr>
          <w:trHeight w:val="193"/>
        </w:trPr>
        <w:tc>
          <w:tcPr>
            <w:tcW w:w="572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1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Long-term debt, less current portion . . .</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53,339</w:t>
            </w:r>
          </w:p>
        </w:tc>
        <w:tc>
          <w:tcPr>
            <w:tcW w:w="7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65,369</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53,365</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Other long-term liabilities. . . . . . . .</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20,201</w:t>
            </w:r>
          </w:p>
        </w:tc>
        <w:tc>
          <w:tcPr>
            <w:tcW w:w="7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5,250</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7,223</w:t>
            </w:r>
          </w:p>
        </w:tc>
      </w:tr>
      <w:tr>
        <w:trPr>
          <w:trHeight w:val="385"/>
        </w:trPr>
        <w:tc>
          <w:tcPr>
            <w:tcW w:w="4360" w:type="dxa"/>
            <w:vAlign w:val="bottom"/>
          </w:tcPr>
          <w:p>
            <w:pPr>
              <w:spacing w:after="0"/>
              <w:rPr>
                <w:sz w:val="20"/>
                <w:szCs w:val="20"/>
                <w:color w:val="auto"/>
              </w:rPr>
            </w:pPr>
            <w:r>
              <w:rPr>
                <w:rFonts w:ascii="Courier New" w:cs="Courier New" w:eastAsia="Courier New" w:hAnsi="Courier New"/>
                <w:sz w:val="17"/>
                <w:szCs w:val="17"/>
                <w:color w:val="auto"/>
              </w:rPr>
              <w:t>Common stockholders' equity:</w:t>
            </w: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3"/>
        </w:trPr>
        <w:tc>
          <w:tcPr>
            <w:tcW w:w="4360" w:type="dxa"/>
            <w:vAlign w:val="bottom"/>
          </w:tcPr>
          <w:p>
            <w:pPr>
              <w:ind w:left="300"/>
              <w:spacing w:after="0"/>
              <w:rPr>
                <w:sz w:val="20"/>
                <w:szCs w:val="20"/>
                <w:color w:val="auto"/>
              </w:rPr>
            </w:pPr>
            <w:r>
              <w:rPr>
                <w:rFonts w:ascii="Courier New" w:cs="Courier New" w:eastAsia="Courier New" w:hAnsi="Courier New"/>
                <w:sz w:val="17"/>
                <w:szCs w:val="17"/>
                <w:color w:val="auto"/>
              </w:rPr>
              <w:t>Common stock par value $1.00,</w:t>
            </w:r>
          </w:p>
        </w:tc>
        <w:tc>
          <w:tcPr>
            <w:tcW w:w="1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360" w:type="dxa"/>
            <w:vAlign w:val="bottom"/>
          </w:tcPr>
          <w:p>
            <w:pPr>
              <w:ind w:left="500"/>
              <w:spacing w:after="0"/>
              <w:rPr>
                <w:sz w:val="20"/>
                <w:szCs w:val="20"/>
                <w:color w:val="auto"/>
              </w:rPr>
            </w:pPr>
            <w:r>
              <w:rPr>
                <w:rFonts w:ascii="Courier New" w:cs="Courier New" w:eastAsia="Courier New" w:hAnsi="Courier New"/>
                <w:sz w:val="17"/>
                <w:szCs w:val="17"/>
                <w:color w:val="auto"/>
              </w:rPr>
              <w:t>authorized 35,000,000 shares;</w:t>
            </w:r>
          </w:p>
        </w:tc>
        <w:tc>
          <w:tcPr>
            <w:tcW w:w="1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360" w:type="dxa"/>
            <w:vAlign w:val="bottom"/>
          </w:tcPr>
          <w:p>
            <w:pPr>
              <w:ind w:left="500"/>
              <w:spacing w:after="0"/>
              <w:rPr>
                <w:sz w:val="20"/>
                <w:szCs w:val="20"/>
                <w:color w:val="auto"/>
              </w:rPr>
            </w:pPr>
            <w:r>
              <w:rPr>
                <w:rFonts w:ascii="Courier New" w:cs="Courier New" w:eastAsia="Courier New" w:hAnsi="Courier New"/>
                <w:sz w:val="17"/>
                <w:szCs w:val="17"/>
                <w:color w:val="auto"/>
              </w:rPr>
              <w:t>issued and outstanding 12,099,223</w:t>
            </w:r>
          </w:p>
        </w:tc>
        <w:tc>
          <w:tcPr>
            <w:tcW w:w="1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360" w:type="dxa"/>
            <w:vAlign w:val="bottom"/>
          </w:tcPr>
          <w:p>
            <w:pPr>
              <w:ind w:left="500"/>
              <w:spacing w:after="0"/>
              <w:rPr>
                <w:sz w:val="20"/>
                <w:szCs w:val="20"/>
                <w:color w:val="auto"/>
              </w:rPr>
            </w:pPr>
            <w:r>
              <w:rPr>
                <w:rFonts w:ascii="Courier New" w:cs="Courier New" w:eastAsia="Courier New" w:hAnsi="Courier New"/>
                <w:sz w:val="17"/>
                <w:szCs w:val="17"/>
                <w:color w:val="auto"/>
              </w:rPr>
              <w:t>shares at May 3, 1996 (net of</w:t>
            </w:r>
          </w:p>
        </w:tc>
        <w:tc>
          <w:tcPr>
            <w:tcW w:w="1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360" w:type="dxa"/>
            <w:vAlign w:val="bottom"/>
          </w:tcPr>
          <w:p>
            <w:pPr>
              <w:ind w:left="500"/>
              <w:spacing w:after="0"/>
              <w:rPr>
                <w:sz w:val="20"/>
                <w:szCs w:val="20"/>
                <w:color w:val="auto"/>
              </w:rPr>
            </w:pPr>
            <w:r>
              <w:rPr>
                <w:rFonts w:ascii="Courier New" w:cs="Courier New" w:eastAsia="Courier New" w:hAnsi="Courier New"/>
                <w:sz w:val="17"/>
                <w:szCs w:val="17"/>
                <w:color w:val="auto"/>
              </w:rPr>
              <w:t>743,102 treasury shares),</w:t>
            </w:r>
          </w:p>
        </w:tc>
        <w:tc>
          <w:tcPr>
            <w:tcW w:w="1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360" w:type="dxa"/>
            <w:vAlign w:val="bottom"/>
          </w:tcPr>
          <w:p>
            <w:pPr>
              <w:ind w:left="500"/>
              <w:spacing w:after="0"/>
              <w:rPr>
                <w:sz w:val="20"/>
                <w:szCs w:val="20"/>
                <w:color w:val="auto"/>
              </w:rPr>
            </w:pPr>
            <w:r>
              <w:rPr>
                <w:rFonts w:ascii="Courier New" w:cs="Courier New" w:eastAsia="Courier New" w:hAnsi="Courier New"/>
                <w:sz w:val="17"/>
                <w:szCs w:val="17"/>
                <w:color w:val="auto"/>
              </w:rPr>
              <w:t>12,763,886 shares at April 28, 1995</w:t>
            </w:r>
          </w:p>
        </w:tc>
        <w:tc>
          <w:tcPr>
            <w:tcW w:w="1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360" w:type="dxa"/>
            <w:vAlign w:val="bottom"/>
          </w:tcPr>
          <w:p>
            <w:pPr>
              <w:ind w:left="500"/>
              <w:spacing w:after="0"/>
              <w:rPr>
                <w:sz w:val="20"/>
                <w:szCs w:val="20"/>
                <w:color w:val="auto"/>
              </w:rPr>
            </w:pPr>
            <w:r>
              <w:rPr>
                <w:rFonts w:ascii="Courier New" w:cs="Courier New" w:eastAsia="Courier New" w:hAnsi="Courier New"/>
                <w:sz w:val="17"/>
                <w:szCs w:val="17"/>
                <w:color w:val="auto"/>
              </w:rPr>
              <w:t>(net of 63,281 treasury shares),</w:t>
            </w:r>
          </w:p>
        </w:tc>
        <w:tc>
          <w:tcPr>
            <w:tcW w:w="1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360" w:type="dxa"/>
            <w:vAlign w:val="bottom"/>
          </w:tcPr>
          <w:p>
            <w:pPr>
              <w:ind w:left="500"/>
              <w:spacing w:after="0"/>
              <w:rPr>
                <w:sz w:val="20"/>
                <w:szCs w:val="20"/>
                <w:color w:val="auto"/>
              </w:rPr>
            </w:pPr>
            <w:r>
              <w:rPr>
                <w:rFonts w:ascii="Courier New" w:cs="Courier New" w:eastAsia="Courier New" w:hAnsi="Courier New"/>
                <w:sz w:val="17"/>
                <w:szCs w:val="17"/>
                <w:color w:val="auto"/>
              </w:rPr>
              <w:t>and 12,167,835 shares at</w:t>
            </w:r>
          </w:p>
        </w:tc>
        <w:tc>
          <w:tcPr>
            <w:tcW w:w="1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360" w:type="dxa"/>
            <w:vAlign w:val="bottom"/>
          </w:tcPr>
          <w:p>
            <w:pPr>
              <w:ind w:left="500"/>
              <w:spacing w:after="0"/>
              <w:rPr>
                <w:sz w:val="20"/>
                <w:szCs w:val="20"/>
                <w:color w:val="auto"/>
              </w:rPr>
            </w:pPr>
            <w:r>
              <w:rPr>
                <w:rFonts w:ascii="Courier New" w:cs="Courier New" w:eastAsia="Courier New" w:hAnsi="Courier New"/>
                <w:sz w:val="17"/>
                <w:szCs w:val="17"/>
                <w:color w:val="auto"/>
              </w:rPr>
              <w:t>October 31, 1995 (net of 674,490</w:t>
            </w:r>
          </w:p>
        </w:tc>
        <w:tc>
          <w:tcPr>
            <w:tcW w:w="1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360" w:type="dxa"/>
            <w:vAlign w:val="bottom"/>
          </w:tcPr>
          <w:p>
            <w:pPr>
              <w:ind w:left="500"/>
              <w:spacing w:after="0"/>
              <w:rPr>
                <w:sz w:val="20"/>
                <w:szCs w:val="20"/>
                <w:color w:val="auto"/>
              </w:rPr>
            </w:pPr>
            <w:r>
              <w:rPr>
                <w:rFonts w:ascii="Courier New" w:cs="Courier New" w:eastAsia="Courier New" w:hAnsi="Courier New"/>
                <w:sz w:val="17"/>
                <w:szCs w:val="17"/>
                <w:color w:val="auto"/>
              </w:rPr>
              <w:t>treasury shares). . . . . . . . . . .</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12,099</w:t>
            </w:r>
          </w:p>
        </w:tc>
        <w:tc>
          <w:tcPr>
            <w:tcW w:w="7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12,764</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12,168</w:t>
            </w:r>
          </w:p>
        </w:tc>
      </w:tr>
      <w:tr>
        <w:trPr>
          <w:trHeight w:val="193"/>
        </w:trPr>
        <w:tc>
          <w:tcPr>
            <w:tcW w:w="4360" w:type="dxa"/>
            <w:vAlign w:val="bottom"/>
          </w:tcPr>
          <w:p>
            <w:pPr>
              <w:ind w:left="300"/>
              <w:spacing w:after="0"/>
              <w:rPr>
                <w:sz w:val="20"/>
                <w:szCs w:val="20"/>
                <w:color w:val="auto"/>
              </w:rPr>
            </w:pPr>
            <w:r>
              <w:rPr>
                <w:rFonts w:ascii="Courier New" w:cs="Courier New" w:eastAsia="Courier New" w:hAnsi="Courier New"/>
                <w:sz w:val="17"/>
                <w:szCs w:val="17"/>
                <w:color w:val="auto"/>
              </w:rPr>
              <w:t>Additional paid-in capital. . . . . . .</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33,359</w:t>
            </w:r>
          </w:p>
        </w:tc>
        <w:tc>
          <w:tcPr>
            <w:tcW w:w="7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53,604</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35,712</w:t>
            </w:r>
          </w:p>
        </w:tc>
      </w:tr>
      <w:tr>
        <w:trPr>
          <w:trHeight w:val="193"/>
        </w:trPr>
        <w:tc>
          <w:tcPr>
            <w:tcW w:w="4360" w:type="dxa"/>
            <w:vAlign w:val="bottom"/>
          </w:tcPr>
          <w:p>
            <w:pPr>
              <w:ind w:left="300"/>
              <w:spacing w:after="0"/>
              <w:rPr>
                <w:sz w:val="20"/>
                <w:szCs w:val="20"/>
                <w:color w:val="auto"/>
              </w:rPr>
            </w:pPr>
            <w:r>
              <w:rPr>
                <w:rFonts w:ascii="Courier New" w:cs="Courier New" w:eastAsia="Courier New" w:hAnsi="Courier New"/>
                <w:sz w:val="17"/>
                <w:szCs w:val="17"/>
                <w:color w:val="auto"/>
              </w:rPr>
              <w:t>Retained earnings . . . . . . . . . . .</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165,274</w:t>
            </w:r>
          </w:p>
        </w:tc>
        <w:tc>
          <w:tcPr>
            <w:tcW w:w="7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137,762</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142,891</w:t>
            </w:r>
          </w:p>
        </w:tc>
      </w:tr>
      <w:tr>
        <w:trPr>
          <w:trHeight w:val="193"/>
        </w:trPr>
        <w:tc>
          <w:tcPr>
            <w:tcW w:w="4360" w:type="dxa"/>
            <w:vAlign w:val="bottom"/>
          </w:tcPr>
          <w:p>
            <w:pPr>
              <w:ind w:left="300"/>
              <w:spacing w:after="0"/>
              <w:rPr>
                <w:sz w:val="20"/>
                <w:szCs w:val="20"/>
                <w:color w:val="auto"/>
              </w:rPr>
            </w:pPr>
            <w:r>
              <w:rPr>
                <w:rFonts w:ascii="Courier New" w:cs="Courier New" w:eastAsia="Courier New" w:hAnsi="Courier New"/>
                <w:sz w:val="17"/>
                <w:szCs w:val="17"/>
                <w:color w:val="auto"/>
              </w:rPr>
              <w:t>Foreign currency translation</w:t>
            </w:r>
          </w:p>
        </w:tc>
        <w:tc>
          <w:tcPr>
            <w:tcW w:w="1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360" w:type="dxa"/>
            <w:vAlign w:val="bottom"/>
          </w:tcPr>
          <w:p>
            <w:pPr>
              <w:ind w:left="500"/>
              <w:spacing w:after="0"/>
              <w:rPr>
                <w:sz w:val="20"/>
                <w:szCs w:val="20"/>
                <w:color w:val="auto"/>
              </w:rPr>
            </w:pPr>
            <w:r>
              <w:rPr>
                <w:rFonts w:ascii="Courier New" w:cs="Courier New" w:eastAsia="Courier New" w:hAnsi="Courier New"/>
                <w:sz w:val="17"/>
                <w:szCs w:val="17"/>
                <w:color w:val="auto"/>
              </w:rPr>
              <w:t>adjustment. . . . . . . . . . . . . .</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(553)</w:t>
            </w:r>
          </w:p>
        </w:tc>
        <w:tc>
          <w:tcPr>
            <w:tcW w:w="7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514</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121</w:t>
            </w:r>
          </w:p>
        </w:tc>
      </w:tr>
      <w:tr>
        <w:trPr>
          <w:trHeight w:val="193"/>
        </w:trPr>
        <w:tc>
          <w:tcPr>
            <w:tcW w:w="572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1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spacing w:after="0"/>
              <w:rPr>
                <w:sz w:val="16"/>
                <w:szCs w:val="16"/>
                <w:color w:val="auto"/>
              </w:rPr>
            </w:pP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210,179</w:t>
            </w:r>
          </w:p>
        </w:tc>
        <w:tc>
          <w:tcPr>
            <w:tcW w:w="7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204,644</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190,892</w:t>
            </w:r>
          </w:p>
        </w:tc>
      </w:tr>
      <w:tr>
        <w:trPr>
          <w:trHeight w:val="193"/>
        </w:trPr>
        <w:tc>
          <w:tcPr>
            <w:tcW w:w="4360" w:type="dxa"/>
            <w:vAlign w:val="bottom"/>
          </w:tcPr>
          <w:p>
            <w:pPr>
              <w:ind w:left="300"/>
              <w:spacing w:after="0"/>
              <w:rPr>
                <w:sz w:val="20"/>
                <w:szCs w:val="20"/>
                <w:color w:val="auto"/>
              </w:rPr>
            </w:pPr>
            <w:r>
              <w:rPr>
                <w:rFonts w:ascii="Courier New" w:cs="Courier New" w:eastAsia="Courier New" w:hAnsi="Courier New"/>
                <w:sz w:val="17"/>
                <w:szCs w:val="17"/>
                <w:color w:val="auto"/>
              </w:rPr>
              <w:t>Receivable from ESOP. . . . . . . . . .</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(2,612)</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72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1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ind w:left="300"/>
              <w:spacing w:after="0"/>
              <w:rPr>
                <w:sz w:val="20"/>
                <w:szCs w:val="20"/>
                <w:color w:val="auto"/>
              </w:rPr>
            </w:pPr>
            <w:r>
              <w:rPr>
                <w:rFonts w:ascii="Courier New" w:cs="Courier New" w:eastAsia="Courier New" w:hAnsi="Courier New"/>
                <w:sz w:val="17"/>
                <w:szCs w:val="17"/>
                <w:color w:val="auto"/>
              </w:rPr>
              <w:t>Total common stockholders' equity . . .</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210,179</w:t>
            </w:r>
          </w:p>
        </w:tc>
        <w:tc>
          <w:tcPr>
            <w:tcW w:w="70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202,032</w:t>
            </w:r>
          </w:p>
        </w:tc>
        <w:tc>
          <w:tcPr>
            <w:tcW w:w="7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190,892</w:t>
            </w:r>
          </w:p>
        </w:tc>
      </w:tr>
      <w:tr>
        <w:trPr>
          <w:trHeight w:val="193"/>
        </w:trPr>
        <w:tc>
          <w:tcPr>
            <w:tcW w:w="572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1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ind w:left="500"/>
              <w:spacing w:after="0"/>
              <w:rPr>
                <w:sz w:val="20"/>
                <w:szCs w:val="20"/>
                <w:color w:val="auto"/>
              </w:rPr>
            </w:pPr>
            <w:r>
              <w:rPr>
                <w:rFonts w:ascii="Courier New" w:cs="Courier New" w:eastAsia="Courier New" w:hAnsi="Courier New"/>
                <w:sz w:val="17"/>
                <w:szCs w:val="17"/>
                <w:color w:val="auto"/>
              </w:rPr>
              <w:t>Total liabilities and common</w:t>
            </w:r>
          </w:p>
        </w:tc>
        <w:tc>
          <w:tcPr>
            <w:tcW w:w="1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4360" w:type="dxa"/>
            <w:vAlign w:val="bottom"/>
          </w:tcPr>
          <w:p>
            <w:pPr>
              <w:ind w:left="500"/>
              <w:spacing w:after="0"/>
              <w:rPr>
                <w:sz w:val="20"/>
                <w:szCs w:val="20"/>
                <w:color w:val="auto"/>
              </w:rPr>
            </w:pPr>
            <w:r>
              <w:rPr>
                <w:rFonts w:ascii="Courier New" w:cs="Courier New" w:eastAsia="Courier New" w:hAnsi="Courier New"/>
                <w:sz w:val="17"/>
                <w:szCs w:val="17"/>
                <w:color w:val="auto"/>
                <w:w w:val="99"/>
              </w:rPr>
              <w:t>stockholders' equity. . . . . . . . .$</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625,075</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592,464</w:t>
            </w:r>
          </w:p>
        </w:tc>
        <w:tc>
          <w:tcPr>
            <w:tcW w:w="70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472,653</w:t>
            </w:r>
          </w:p>
        </w:tc>
      </w:tr>
      <w:tr>
        <w:trPr>
          <w:trHeight w:val="193"/>
        </w:trPr>
        <w:tc>
          <w:tcPr>
            <w:tcW w:w="572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1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72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1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200" w:lineRule="exact"/>
        <w:rPr>
          <w:sz w:val="20"/>
          <w:szCs w:val="20"/>
          <w:color w:val="auto"/>
        </w:rPr>
      </w:pPr>
    </w:p>
    <w:p>
      <w:pPr>
        <w:spacing w:after="0" w:line="37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881" w:right="1440" w:bottom="1440" w:gutter="0" w:footer="0" w:header="0"/>
        </w:sectPr>
      </w:pPr>
    </w:p>
    <w:bookmarkStart w:id="4" w:name="page5"/>
    <w:bookmarkEnd w:id="4"/>
    <w:p>
      <w:pPr>
        <w:jc w:val="center"/>
        <w:ind w:right="2099"/>
        <w:spacing w:after="0"/>
        <w:rPr>
          <w:sz w:val="20"/>
          <w:szCs w:val="20"/>
          <w:color w:val="auto"/>
        </w:rPr>
      </w:pPr>
      <w:r>
        <w:rPr>
          <w:rFonts w:ascii="Courier New" w:cs="Courier New" w:eastAsia="Courier New" w:hAnsi="Courier New"/>
          <w:sz w:val="17"/>
          <w:szCs w:val="17"/>
          <w:color w:val="auto"/>
        </w:rPr>
        <w:t>THE TORO COMPANY AND SUBSIDIARIES</w:t>
      </w:r>
    </w:p>
    <w:p>
      <w:pPr>
        <w:jc w:val="center"/>
        <w:ind w:right="2099"/>
        <w:spacing w:after="0"/>
        <w:rPr>
          <w:sz w:val="20"/>
          <w:szCs w:val="20"/>
          <w:color w:val="auto"/>
        </w:rPr>
      </w:pPr>
      <w:r>
        <w:rPr>
          <w:rFonts w:ascii="Courier New" w:cs="Courier New" w:eastAsia="Courier New" w:hAnsi="Courier New"/>
          <w:sz w:val="17"/>
          <w:szCs w:val="17"/>
          <w:color w:val="auto"/>
        </w:rPr>
        <w:t>CONSOLIDATED STATEMENTS OF CASH FLOWS (UNAUDITED)</w:t>
      </w:r>
    </w:p>
    <w:p>
      <w:pPr>
        <w:jc w:val="center"/>
        <w:ind w:right="2199"/>
        <w:spacing w:after="0"/>
        <w:rPr>
          <w:sz w:val="20"/>
          <w:szCs w:val="20"/>
          <w:color w:val="auto"/>
        </w:rPr>
      </w:pPr>
      <w:r>
        <w:rPr>
          <w:rFonts w:ascii="Courier New" w:cs="Courier New" w:eastAsia="Courier New" w:hAnsi="Courier New"/>
          <w:sz w:val="17"/>
          <w:szCs w:val="17"/>
          <w:color w:val="auto"/>
        </w:rPr>
        <w:t>(DOLLARS IN THOUSANDS)</w:t>
      </w:r>
    </w:p>
    <w:p>
      <w:pPr>
        <w:spacing w:after="0" w:line="386" w:lineRule="exact"/>
        <w:rPr>
          <w:sz w:val="20"/>
          <w:szCs w:val="20"/>
          <w:color w:val="auto"/>
        </w:rPr>
      </w:pPr>
    </w:p>
    <w:p>
      <w:pPr>
        <w:ind w:left="7020"/>
        <w:spacing w:after="0"/>
        <w:rPr>
          <w:sz w:val="20"/>
          <w:szCs w:val="20"/>
          <w:color w:val="auto"/>
        </w:rPr>
      </w:pPr>
      <w:r>
        <w:rPr>
          <w:rFonts w:ascii="Courier New" w:cs="Courier New" w:eastAsia="Courier New" w:hAnsi="Courier New"/>
          <w:sz w:val="17"/>
          <w:szCs w:val="17"/>
          <w:color w:val="auto"/>
        </w:rPr>
        <w:t>Six Months Ended</w:t>
      </w:r>
    </w:p>
    <w:p>
      <w:pPr>
        <w:spacing w:after="0" w:line="6"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2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May 3,</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April 28,</w:t>
            </w:r>
          </w:p>
        </w:tc>
      </w:tr>
      <w:tr>
        <w:trPr>
          <w:trHeight w:val="193"/>
        </w:trPr>
        <w:tc>
          <w:tcPr>
            <w:tcW w:w="6520" w:type="dxa"/>
            <w:vAlign w:val="bottom"/>
          </w:tcPr>
          <w:p>
            <w:pPr>
              <w:spacing w:after="0"/>
              <w:rPr>
                <w:sz w:val="16"/>
                <w:szCs w:val="16"/>
                <w:color w:val="auto"/>
              </w:rPr>
            </w:pPr>
          </w:p>
        </w:tc>
        <w:tc>
          <w:tcPr>
            <w:tcW w:w="12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1996</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1995</w:t>
            </w:r>
          </w:p>
        </w:tc>
      </w:tr>
      <w:tr>
        <w:trPr>
          <w:trHeight w:val="193"/>
        </w:trPr>
        <w:tc>
          <w:tcPr>
            <w:tcW w:w="776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65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3"/>
        </w:trPr>
        <w:tc>
          <w:tcPr>
            <w:tcW w:w="6520" w:type="dxa"/>
            <w:vAlign w:val="bottom"/>
          </w:tcPr>
          <w:p>
            <w:pPr>
              <w:spacing w:after="0"/>
              <w:rPr>
                <w:sz w:val="20"/>
                <w:szCs w:val="20"/>
                <w:color w:val="auto"/>
              </w:rPr>
            </w:pPr>
            <w:r>
              <w:rPr>
                <w:rFonts w:ascii="Courier New" w:cs="Courier New" w:eastAsia="Courier New" w:hAnsi="Courier New"/>
                <w:sz w:val="17"/>
                <w:szCs w:val="17"/>
                <w:color w:val="auto"/>
                <w:w w:val="98"/>
              </w:rPr>
              <w:t>Net earnings. . .. . . . . . . . . . . . . . . . .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25,318</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$24,338</w:t>
            </w:r>
          </w:p>
        </w:tc>
      </w:tr>
      <w:tr>
        <w:trPr>
          <w:trHeight w:val="193"/>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Adjustments to reconcile net earnings to net cash</w:t>
            </w: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3"/>
        </w:trPr>
        <w:tc>
          <w:tcPr>
            <w:tcW w:w="6520" w:type="dxa"/>
            <w:vAlign w:val="bottom"/>
          </w:tcPr>
          <w:p>
            <w:pPr>
              <w:jc w:val="right"/>
              <w:ind w:right="3016"/>
              <w:spacing w:after="0"/>
              <w:rPr>
                <w:sz w:val="20"/>
                <w:szCs w:val="20"/>
                <w:color w:val="auto"/>
              </w:rPr>
            </w:pPr>
            <w:r>
              <w:rPr>
                <w:rFonts w:ascii="Courier New" w:cs="Courier New" w:eastAsia="Courier New" w:hAnsi="Courier New"/>
                <w:sz w:val="17"/>
                <w:szCs w:val="17"/>
                <w:color w:val="auto"/>
              </w:rPr>
              <w:t>used in operating activities:</w:t>
            </w: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3"/>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Provision for depreciation and amortization .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8,831</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8,906</w:t>
            </w:r>
          </w:p>
        </w:tc>
      </w:tr>
      <w:tr>
        <w:trPr>
          <w:trHeight w:val="193"/>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Loss on disposal of property, plant and equipment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(115)</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(234)</w:t>
            </w:r>
          </w:p>
        </w:tc>
      </w:tr>
      <w:tr>
        <w:trPr>
          <w:trHeight w:val="193"/>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Deferred income taxes . . . . . . . . . . . .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(297)</w:t>
            </w:r>
          </w:p>
        </w:tc>
      </w:tr>
      <w:tr>
        <w:trPr>
          <w:trHeight w:val="193"/>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Tax benefits related to employee stock option transactions.</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1,490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1,178</w:t>
            </w:r>
          </w:p>
        </w:tc>
      </w:tr>
      <w:tr>
        <w:trPr>
          <w:trHeight w:val="193"/>
        </w:trPr>
        <w:tc>
          <w:tcPr>
            <w:tcW w:w="6520" w:type="dxa"/>
            <w:vAlign w:val="bottom"/>
          </w:tcPr>
          <w:p>
            <w:pPr>
              <w:ind w:left="300"/>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3"/>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Receivables, net . . . . . . . . . . . . .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(144,528)</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(146,954)</w:t>
            </w:r>
          </w:p>
        </w:tc>
      </w:tr>
      <w:tr>
        <w:trPr>
          <w:trHeight w:val="193"/>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Inventories. . . . . . . . . . . . . . . .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(12,979)</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(5,164)</w:t>
            </w:r>
          </w:p>
        </w:tc>
      </w:tr>
      <w:tr>
        <w:trPr>
          <w:trHeight w:val="193"/>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Other current assets . . . . . . . . . . .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1,609</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(1,874)</w:t>
            </w:r>
          </w:p>
        </w:tc>
      </w:tr>
      <w:tr>
        <w:trPr>
          <w:trHeight w:val="193"/>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Accounts payable and accrued expenses. . .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14,597</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38,542</w:t>
            </w:r>
          </w:p>
        </w:tc>
      </w:tr>
      <w:tr>
        <w:trPr>
          <w:trHeight w:val="193"/>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Accrued income taxes . . . . . . . . . . .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3,557</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(2,779)</w:t>
            </w:r>
          </w:p>
        </w:tc>
      </w:tr>
      <w:tr>
        <w:trPr>
          <w:trHeight w:val="193"/>
        </w:trPr>
        <w:tc>
          <w:tcPr>
            <w:tcW w:w="776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Net cash used in operating activities .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(102,220)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(84,338)</w:t>
            </w:r>
          </w:p>
        </w:tc>
      </w:tr>
      <w:tr>
        <w:trPr>
          <w:trHeight w:val="193"/>
        </w:trPr>
        <w:tc>
          <w:tcPr>
            <w:tcW w:w="776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652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3"/>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Purchases of property, plant and equipment. .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(7,236)</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(14,683)</w:t>
            </w:r>
          </w:p>
        </w:tc>
      </w:tr>
      <w:tr>
        <w:trPr>
          <w:trHeight w:val="193"/>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Proceeds from asset disposals . . . . . . . .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184</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633</w:t>
            </w:r>
          </w:p>
        </w:tc>
      </w:tr>
      <w:tr>
        <w:trPr>
          <w:trHeight w:val="193"/>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(Increase) decrease in other assets . . . . .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(1,652)</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658</w:t>
            </w:r>
          </w:p>
        </w:tc>
      </w:tr>
      <w:tr>
        <w:trPr>
          <w:trHeight w:val="193"/>
        </w:trPr>
        <w:tc>
          <w:tcPr>
            <w:tcW w:w="776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Net cash used in investing activities .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(8,704)</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(13,392)</w:t>
            </w:r>
          </w:p>
        </w:tc>
      </w:tr>
      <w:tr>
        <w:trPr>
          <w:trHeight w:val="193"/>
        </w:trPr>
        <w:tc>
          <w:tcPr>
            <w:tcW w:w="776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52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3"/>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Increase in sale of receivables . . . . . . .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17,417</w:t>
            </w:r>
          </w:p>
        </w:tc>
      </w:tr>
      <w:tr>
        <w:trPr>
          <w:trHeight w:val="193"/>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Increase in short-term borrowing. . . . . . .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107,010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91,863</w:t>
            </w:r>
          </w:p>
        </w:tc>
      </w:tr>
      <w:tr>
        <w:trPr>
          <w:trHeight w:val="193"/>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Repayments of long-term debt. . . . . . . . .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(5,007)</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(10,030)</w:t>
            </w:r>
          </w:p>
        </w:tc>
      </w:tr>
      <w:tr>
        <w:trPr>
          <w:trHeight w:val="193"/>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Change in other long-term liabilities . . . .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12,978</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Proceeds from sale of common stock. . . . . .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3,238</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2,015</w:t>
            </w:r>
          </w:p>
        </w:tc>
      </w:tr>
      <w:tr>
        <w:trPr>
          <w:trHeight w:val="193"/>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Purchases of common stock . . . . . . . . . .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(7,150)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(1,919)</w:t>
            </w:r>
          </w:p>
        </w:tc>
      </w:tr>
      <w:tr>
        <w:trPr>
          <w:trHeight w:val="193"/>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Dividends on common stock . . . . . . . . . .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(2,935)</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(3,058)</w:t>
            </w:r>
          </w:p>
        </w:tc>
      </w:tr>
      <w:tr>
        <w:trPr>
          <w:trHeight w:val="193"/>
        </w:trPr>
        <w:tc>
          <w:tcPr>
            <w:tcW w:w="776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Net cash provided by financing activities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108,134</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96,288</w:t>
            </w:r>
          </w:p>
        </w:tc>
      </w:tr>
      <w:tr>
        <w:trPr>
          <w:trHeight w:val="193"/>
        </w:trPr>
        <w:tc>
          <w:tcPr>
            <w:tcW w:w="776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Foreign currency translation adjustment. . . . .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(674)</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749</w:t>
            </w:r>
          </w:p>
        </w:tc>
      </w:tr>
      <w:tr>
        <w:trPr>
          <w:trHeight w:val="193"/>
        </w:trPr>
        <w:tc>
          <w:tcPr>
            <w:tcW w:w="776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Net decrease in cash and cash equivalents. . . .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(3,464)</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(693)</w:t>
            </w:r>
          </w:p>
        </w:tc>
      </w:tr>
      <w:tr>
        <w:trPr>
          <w:trHeight w:val="193"/>
        </w:trPr>
        <w:tc>
          <w:tcPr>
            <w:tcW w:w="65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Cash and cash equivalents at beginning of period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7,702</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12,402</w:t>
            </w:r>
          </w:p>
        </w:tc>
      </w:tr>
      <w:tr>
        <w:trPr>
          <w:trHeight w:val="193"/>
        </w:trPr>
        <w:tc>
          <w:tcPr>
            <w:tcW w:w="776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6520" w:type="dxa"/>
            <w:vAlign w:val="bottom"/>
          </w:tcPr>
          <w:p>
            <w:pPr>
              <w:spacing w:after="0"/>
              <w:rPr>
                <w:sz w:val="20"/>
                <w:szCs w:val="20"/>
                <w:color w:val="auto"/>
              </w:rPr>
            </w:pPr>
            <w:r>
              <w:rPr>
                <w:rFonts w:ascii="Courier New" w:cs="Courier New" w:eastAsia="Courier New" w:hAnsi="Courier New"/>
                <w:sz w:val="17"/>
                <w:szCs w:val="17"/>
                <w:color w:val="auto"/>
                <w:w w:val="99"/>
              </w:rPr>
              <w:t>Cash and cash equivalents at end of period . . . . . . . . . . $</w:t>
            </w: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4,238</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   11,709</w:t>
            </w:r>
          </w:p>
        </w:tc>
      </w:tr>
      <w:tr>
        <w:trPr>
          <w:trHeight w:val="193"/>
        </w:trPr>
        <w:tc>
          <w:tcPr>
            <w:tcW w:w="776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776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881" w:right="1440" w:bottom="1440" w:gutter="0" w:footer="0" w:header="0"/>
        </w:sectPr>
      </w:pPr>
    </w:p>
    <w:bookmarkStart w:id="5" w:name="page6"/>
    <w:bookmarkEnd w:id="5"/>
    <w:p>
      <w:pPr>
        <w:jc w:val="center"/>
        <w:ind w:right="2202"/>
        <w:spacing w:after="0"/>
        <w:rPr>
          <w:sz w:val="20"/>
          <w:szCs w:val="20"/>
          <w:color w:val="auto"/>
        </w:rPr>
      </w:pPr>
      <w:r>
        <w:rPr>
          <w:rFonts w:ascii="Courier New" w:cs="Courier New" w:eastAsia="Courier New" w:hAnsi="Courier New"/>
          <w:sz w:val="17"/>
          <w:szCs w:val="17"/>
          <w:color w:val="auto"/>
        </w:rPr>
        <w:t>THE TORO COMPANY AND SUBSIDIARIES NOTES TO CONDENSED CONSOLIDATED FINANCIAL STATEMENTS (UNAUDITED) MAY 3, 1996</w:t>
      </w:r>
    </w:p>
    <w:p>
      <w:pPr>
        <w:spacing w:after="0" w:line="200" w:lineRule="exact"/>
        <w:rPr>
          <w:sz w:val="20"/>
          <w:szCs w:val="20"/>
          <w:color w:val="auto"/>
        </w:rPr>
      </w:pPr>
    </w:p>
    <w:p>
      <w:pPr>
        <w:spacing w:after="0" w:line="373" w:lineRule="exact"/>
        <w:rPr>
          <w:sz w:val="20"/>
          <w:szCs w:val="20"/>
          <w:color w:val="auto"/>
        </w:rPr>
      </w:pPr>
    </w:p>
    <w:p>
      <w:pPr>
        <w:ind w:left="497" w:hanging="497"/>
        <w:spacing w:after="0"/>
        <w:tabs>
          <w:tab w:leader="none" w:pos="497"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BASIS OF PRESENTATION</w:t>
      </w:r>
    </w:p>
    <w:p>
      <w:pPr>
        <w:spacing w:after="0" w:line="198" w:lineRule="exact"/>
        <w:rPr>
          <w:rFonts w:ascii="Courier New" w:cs="Courier New" w:eastAsia="Courier New" w:hAnsi="Courier New"/>
          <w:sz w:val="17"/>
          <w:szCs w:val="17"/>
          <w:color w:val="auto"/>
        </w:rPr>
      </w:pPr>
    </w:p>
    <w:p>
      <w:pPr>
        <w:ind w:left="497" w:right="2199"/>
        <w:spacing w:after="0" w:line="25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The accompanying unaudited consolidated financial statements have been prepared in accordance with the instructions to Form 10-Q and do not include all the information and notes required by generally accepted accounting principles for complete financial statements. In the opinion of management, the unaudited consolidated financial statements include all adjustments, consisting primarily of recurring accruals, considered necessary for a fair presentation of the financial position and the results of operations. The Toro Company's business is seasonal. Operating results for the six months ended May 3, 1996 are not necessarily indicative of the results that may be expected for the year ending October 31, 1996.</w:t>
      </w:r>
    </w:p>
    <w:p>
      <w:pPr>
        <w:spacing w:after="0" w:line="186" w:lineRule="exact"/>
        <w:rPr>
          <w:rFonts w:ascii="Courier New" w:cs="Courier New" w:eastAsia="Courier New" w:hAnsi="Courier New"/>
          <w:sz w:val="17"/>
          <w:szCs w:val="17"/>
          <w:color w:val="auto"/>
        </w:rPr>
      </w:pPr>
    </w:p>
    <w:p>
      <w:pPr>
        <w:ind w:left="497" w:right="24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November 1995, the company changed its fiscal year from a fiscal year ended July 31 to a fiscal year ended October 31.</w:t>
      </w:r>
    </w:p>
    <w:p>
      <w:pPr>
        <w:spacing w:after="0" w:line="199" w:lineRule="exact"/>
        <w:rPr>
          <w:rFonts w:ascii="Courier New" w:cs="Courier New" w:eastAsia="Courier New" w:hAnsi="Courier New"/>
          <w:sz w:val="17"/>
          <w:szCs w:val="17"/>
          <w:color w:val="auto"/>
        </w:rPr>
      </w:pPr>
    </w:p>
    <w:p>
      <w:pPr>
        <w:ind w:left="497" w:right="22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quarter ended May 3, 1996 had thirteen weeks of results versus the prior quarter ended April 28, 1995 which had twelve weeks. Both six month periods ended May 3, 1996 and April 28, 1996 had 26 weeks of actual results.</w:t>
      </w:r>
    </w:p>
    <w:p>
      <w:pPr>
        <w:spacing w:after="0" w:line="199" w:lineRule="exact"/>
        <w:rPr>
          <w:rFonts w:ascii="Courier New" w:cs="Courier New" w:eastAsia="Courier New" w:hAnsi="Courier New"/>
          <w:sz w:val="17"/>
          <w:szCs w:val="17"/>
          <w:color w:val="auto"/>
        </w:rPr>
      </w:pPr>
    </w:p>
    <w:p>
      <w:pPr>
        <w:ind w:left="497" w:right="2199"/>
        <w:spacing w:after="0" w:line="257"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For further information, refer to the consolidated financial statements and notes included in the company's Annual Report on Form 10-K for the year ended July 31, 1995 (the company's former fiscal year end). The policies described in that report are used for preparing quarterly reports.</w:t>
      </w:r>
    </w:p>
    <w:p>
      <w:pPr>
        <w:spacing w:after="0" w:line="181" w:lineRule="exact"/>
        <w:rPr>
          <w:rFonts w:ascii="Courier New" w:cs="Courier New" w:eastAsia="Courier New" w:hAnsi="Courier New"/>
          <w:sz w:val="17"/>
          <w:szCs w:val="17"/>
          <w:color w:val="auto"/>
        </w:rPr>
      </w:pPr>
    </w:p>
    <w:p>
      <w:pPr>
        <w:ind w:left="497" w:hanging="497"/>
        <w:spacing w:after="0"/>
        <w:tabs>
          <w:tab w:leader="none" w:pos="497"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INVENTORIES</w:t>
      </w:r>
    </w:p>
    <w:p>
      <w:pPr>
        <w:spacing w:after="0" w:line="198" w:lineRule="exact"/>
        <w:rPr>
          <w:rFonts w:ascii="Courier New" w:cs="Courier New" w:eastAsia="Courier New" w:hAnsi="Courier New"/>
          <w:sz w:val="17"/>
          <w:szCs w:val="17"/>
          <w:color w:val="auto"/>
        </w:rPr>
      </w:pPr>
    </w:p>
    <w:p>
      <w:pPr>
        <w:ind w:left="497" w:right="22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majority of inventories are valued at the lower of cost or net realizable value with cost determined by the last-in, first-out (LIFO) method. Had the first-in, first-out (FIFO) method of cost determination been used, inventories would have been $24,841,000 and $19,204,000 higher than reported at May 3, 1996, and April 28, 1995, respectively. Under the FIFO method, work-in-process inventories were $78,977,000 and $76,042,000 and finished goods inventories were $104,705,000 and $81,180,000 at May 3, 1996, and April 28, 1995, respectively.</w:t>
      </w:r>
    </w:p>
    <w:p>
      <w:pPr>
        <w:spacing w:after="0" w:line="388" w:lineRule="exact"/>
        <w:rPr>
          <w:sz w:val="20"/>
          <w:szCs w:val="20"/>
          <w:color w:val="auto"/>
        </w:rPr>
      </w:pPr>
    </w:p>
    <w:p>
      <w:pPr>
        <w:ind w:left="3917"/>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6"/>
          </w:cols>
          <w:pgMar w:left="243" w:top="887" w:right="1440" w:bottom="1440" w:gutter="0" w:footer="0" w:header="0"/>
        </w:sectPr>
      </w:pPr>
    </w:p>
    <w:bookmarkStart w:id="6" w:name="page7"/>
    <w:bookmarkEnd w:id="6"/>
    <w:p>
      <w:pPr>
        <w:ind w:left="497" w:hanging="497"/>
        <w:spacing w:after="0"/>
        <w:tabs>
          <w:tab w:leader="none" w:pos="49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DEFERRED INCOME</w:t>
      </w:r>
    </w:p>
    <w:p>
      <w:pPr>
        <w:spacing w:after="0" w:line="391" w:lineRule="exact"/>
        <w:rPr>
          <w:rFonts w:ascii="Courier New" w:cs="Courier New" w:eastAsia="Courier New" w:hAnsi="Courier New"/>
          <w:sz w:val="17"/>
          <w:szCs w:val="17"/>
          <w:color w:val="auto"/>
        </w:rPr>
      </w:pPr>
    </w:p>
    <w:p>
      <w:pPr>
        <w:ind w:left="497" w:right="2199"/>
        <w:spacing w:after="0" w:line="25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The company entered into a forward starting interest rate exchange agreement with a bank on March 6, 1996 to hedge the anticipated refinancing of its $50 million, 11% long-term sinking fund debentures callable August 1, 1997, and to realize the benefit of current favorable interest rates. Simultaneously with entering into this interest rate exchange agreement, the company terminated its interest rate exchange agreement entered into during February 1994. The effect of this transaction was to extend the original forward starting interest rate exchange agreement from 5 years to 30 years. As a result of this transaction, the net cash received was increased from $5.25 million in 1994 to $17.3 in March of 1996. The net proceeds to the company in March 1996 were $12.1 million. In return for the net proceeds, the company will pay the bank 10.55% on a notational amount of $50 million from August 1, 1997 through July 31, 2027 and the company will receive payments based on a floating rate equal to LIBOR on the notational amount over the same period.</w:t>
      </w:r>
    </w:p>
    <w:p>
      <w:pPr>
        <w:spacing w:after="0" w:line="387" w:lineRule="exact"/>
        <w:rPr>
          <w:rFonts w:ascii="Courier New" w:cs="Courier New" w:eastAsia="Courier New" w:hAnsi="Courier New"/>
          <w:sz w:val="17"/>
          <w:szCs w:val="17"/>
          <w:color w:val="auto"/>
        </w:rPr>
      </w:pPr>
    </w:p>
    <w:p>
      <w:pPr>
        <w:ind w:left="497" w:right="23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net interest rate differential to be received or paid and the $17.3 million deferred income will be recognized commencing August 1, 1997 as a reduction to interest expense over the term of the agreement.</w:t>
      </w:r>
    </w:p>
    <w:p>
      <w:pPr>
        <w:spacing w:after="0" w:line="200" w:lineRule="exact"/>
        <w:rPr>
          <w:rFonts w:ascii="Courier New" w:cs="Courier New" w:eastAsia="Courier New" w:hAnsi="Courier New"/>
          <w:sz w:val="17"/>
          <w:szCs w:val="17"/>
          <w:color w:val="auto"/>
        </w:rPr>
      </w:pPr>
    </w:p>
    <w:p>
      <w:pPr>
        <w:jc w:val="both"/>
        <w:ind w:left="497" w:right="2699"/>
        <w:spacing w:after="0" w:line="257"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In accordance with FASB statement 107 "Disclosures about Fair Value of Financial Instruments" the cost to terminate this agreement at May 3, 1996, had management elected to do so, was approximately $17.4 million which would have resulted in a loss of approximately $0.1 million.</w:t>
      </w:r>
    </w:p>
    <w:p>
      <w:pPr>
        <w:spacing w:after="0" w:line="200" w:lineRule="exact"/>
        <w:rPr>
          <w:sz w:val="20"/>
          <w:szCs w:val="20"/>
          <w:color w:val="auto"/>
        </w:rPr>
      </w:pPr>
    </w:p>
    <w:p>
      <w:pPr>
        <w:spacing w:after="0" w:line="367" w:lineRule="exact"/>
        <w:rPr>
          <w:sz w:val="20"/>
          <w:szCs w:val="20"/>
          <w:color w:val="auto"/>
        </w:rPr>
      </w:pPr>
    </w:p>
    <w:p>
      <w:pPr>
        <w:ind w:left="3917"/>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6"/>
          </w:cols>
          <w:pgMar w:left="243" w:top="881" w:right="1440" w:bottom="1440" w:gutter="0" w:footer="0" w:header="0"/>
        </w:sectPr>
      </w:pPr>
    </w:p>
    <w:bookmarkStart w:id="7" w:name="page8"/>
    <w:bookmarkEnd w:id="7"/>
    <w:p>
      <w:pPr>
        <w:jc w:val="center"/>
        <w:ind w:right="209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jc w:val="center"/>
        <w:ind w:right="2099"/>
        <w:spacing w:after="0"/>
        <w:rPr>
          <w:sz w:val="20"/>
          <w:szCs w:val="20"/>
          <w:color w:val="auto"/>
        </w:rPr>
      </w:pPr>
      <w:r>
        <w:rPr>
          <w:rFonts w:ascii="Courier New" w:cs="Courier New" w:eastAsia="Courier New" w:hAnsi="Courier New"/>
          <w:sz w:val="17"/>
          <w:szCs w:val="17"/>
          <w:color w:val="auto"/>
        </w:rPr>
        <w:t>AND RESULTS OF OPERATIONS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table sets forth sales by product line.</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4"/>
          </w:tcPr>
          <w:p>
            <w:pPr>
              <w:jc w:val="right"/>
              <w:ind w:right="416"/>
              <w:spacing w:after="0"/>
              <w:rPr>
                <w:sz w:val="20"/>
                <w:szCs w:val="20"/>
                <w:color w:val="auto"/>
              </w:rPr>
            </w:pPr>
            <w:r>
              <w:rPr>
                <w:rFonts w:ascii="Courier New" w:cs="Courier New" w:eastAsia="Courier New" w:hAnsi="Courier New"/>
                <w:sz w:val="17"/>
                <w:szCs w:val="17"/>
                <w:color w:val="auto"/>
              </w:rPr>
              <w:t>Three Months Ended</w:t>
            </w:r>
          </w:p>
        </w:tc>
        <w:tc>
          <w:tcPr>
            <w:tcW w:w="1500" w:type="dxa"/>
            <w:vAlign w:val="bottom"/>
          </w:tcPr>
          <w:p>
            <w:pPr>
              <w:spacing w:after="0"/>
              <w:rPr>
                <w:sz w:val="16"/>
                <w:szCs w:val="16"/>
                <w:color w:val="auto"/>
              </w:rPr>
            </w:pPr>
          </w:p>
        </w:tc>
      </w:tr>
      <w:tr>
        <w:trPr>
          <w:trHeight w:val="193"/>
        </w:trPr>
        <w:tc>
          <w:tcPr>
            <w:tcW w:w="992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(Dollars in thousands)</w:t>
            </w:r>
          </w:p>
        </w:tc>
        <w:tc>
          <w:tcPr>
            <w:tcW w:w="100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7"/>
              </w:rPr>
              <w:t>May 3,</w:t>
            </w:r>
          </w:p>
        </w:tc>
        <w:tc>
          <w:tcPr>
            <w:tcW w:w="50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April 28,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4120" w:type="dxa"/>
            <w:vAlign w:val="bottom"/>
          </w:tcPr>
          <w:p>
            <w:pPr>
              <w:spacing w:after="0"/>
              <w:rPr>
                <w:sz w:val="16"/>
                <w:szCs w:val="16"/>
                <w:color w:val="auto"/>
              </w:rPr>
            </w:pPr>
          </w:p>
        </w:tc>
        <w:tc>
          <w:tcPr>
            <w:tcW w:w="100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7"/>
              </w:rPr>
              <w:t>1996</w:t>
            </w:r>
          </w:p>
        </w:tc>
        <w:tc>
          <w:tcPr>
            <w:tcW w:w="500" w:type="dxa"/>
            <w:vAlign w:val="bottom"/>
          </w:tcPr>
          <w:p>
            <w:pPr>
              <w:spacing w:after="0"/>
              <w:rPr>
                <w:sz w:val="16"/>
                <w:szCs w:val="16"/>
                <w:color w:val="auto"/>
              </w:rPr>
            </w:pPr>
          </w:p>
        </w:tc>
        <w:tc>
          <w:tcPr>
            <w:tcW w:w="124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7"/>
              </w:rPr>
              <w:t>1995</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 Change</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Change</w:t>
            </w:r>
          </w:p>
        </w:tc>
      </w:tr>
      <w:tr>
        <w:trPr>
          <w:trHeight w:val="193"/>
        </w:trPr>
        <w:tc>
          <w:tcPr>
            <w:tcW w:w="5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w:t>
            </w:r>
          </w:p>
        </w:tc>
        <w:tc>
          <w:tcPr>
            <w:tcW w:w="160" w:type="dxa"/>
            <w:vAlign w:val="bottom"/>
          </w:tcPr>
          <w:p>
            <w:pPr>
              <w:spacing w:after="0"/>
              <w:rPr>
                <w:sz w:val="16"/>
                <w:szCs w:val="16"/>
                <w:color w:val="auto"/>
              </w:rPr>
            </w:pP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6"/>
              </w:rPr>
              <w:t>-------------</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120" w:type="dxa"/>
            <w:vAlign w:val="bottom"/>
          </w:tcPr>
          <w:p>
            <w:pPr>
              <w:spacing w:after="0"/>
              <w:rPr>
                <w:sz w:val="20"/>
                <w:szCs w:val="20"/>
                <w:color w:val="auto"/>
              </w:rPr>
            </w:pPr>
            <w:r>
              <w:rPr>
                <w:rFonts w:ascii="Courier New" w:cs="Courier New" w:eastAsia="Courier New" w:hAnsi="Courier New"/>
                <w:sz w:val="17"/>
                <w:szCs w:val="17"/>
                <w:color w:val="auto"/>
              </w:rPr>
              <w:t>Consumer products. . . . . . . . .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137,791</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172,925</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24"/>
                <w:szCs w:val="24"/>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(35,134)</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(20.3)%</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Commercial products. . . . . . . .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108,523</w:t>
            </w:r>
          </w:p>
        </w:tc>
        <w:tc>
          <w:tcPr>
            <w:tcW w:w="50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100,448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8,075</w:t>
            </w: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8.0</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Irrigation products. . . . . . . .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42,332</w:t>
            </w:r>
          </w:p>
        </w:tc>
        <w:tc>
          <w:tcPr>
            <w:tcW w:w="50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37,240</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5,092</w:t>
            </w: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13.7</w:t>
            </w:r>
          </w:p>
        </w:tc>
      </w:tr>
      <w:tr>
        <w:trPr>
          <w:trHeight w:val="193"/>
        </w:trPr>
        <w:tc>
          <w:tcPr>
            <w:tcW w:w="5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16"/>
                <w:szCs w:val="16"/>
                <w:color w:val="auto"/>
              </w:rPr>
            </w:pPr>
          </w:p>
        </w:tc>
      </w:tr>
      <w:tr>
        <w:trPr>
          <w:trHeight w:val="193"/>
        </w:trPr>
        <w:tc>
          <w:tcPr>
            <w:tcW w:w="4120" w:type="dxa"/>
            <w:vAlign w:val="bottom"/>
          </w:tcPr>
          <w:p>
            <w:pPr>
              <w:ind w:left="400"/>
              <w:spacing w:after="0"/>
              <w:rPr>
                <w:sz w:val="20"/>
                <w:szCs w:val="20"/>
                <w:color w:val="auto"/>
              </w:rPr>
            </w:pPr>
            <w:r>
              <w:rPr>
                <w:rFonts w:ascii="Courier New" w:cs="Courier New" w:eastAsia="Courier New" w:hAnsi="Courier New"/>
                <w:sz w:val="17"/>
                <w:szCs w:val="17"/>
                <w:color w:val="auto"/>
              </w:rPr>
              <w:t>Total *. . . . . . . . . . . .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288,646</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310,613</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(21,967)</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(7.1)%</w:t>
            </w:r>
          </w:p>
        </w:tc>
      </w:tr>
      <w:tr>
        <w:trPr>
          <w:trHeight w:val="193"/>
        </w:trPr>
        <w:tc>
          <w:tcPr>
            <w:tcW w:w="5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16"/>
                <w:szCs w:val="16"/>
                <w:color w:val="auto"/>
              </w:rPr>
            </w:pPr>
          </w:p>
        </w:tc>
      </w:tr>
      <w:tr>
        <w:trPr>
          <w:trHeight w:val="193"/>
        </w:trPr>
        <w:tc>
          <w:tcPr>
            <w:tcW w:w="5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16"/>
                <w:szCs w:val="16"/>
                <w:color w:val="auto"/>
              </w:rPr>
            </w:pP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 Includes international sales of: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64,339</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56,461</w:t>
            </w:r>
          </w:p>
        </w:tc>
        <w:tc>
          <w:tcPr>
            <w:tcW w:w="160" w:type="dxa"/>
            <w:vAlign w:val="bottom"/>
          </w:tcPr>
          <w:p>
            <w:pPr>
              <w:spacing w:after="0"/>
              <w:rPr>
                <w:sz w:val="16"/>
                <w:szCs w:val="16"/>
                <w:color w:val="auto"/>
              </w:rPr>
            </w:pPr>
          </w:p>
        </w:tc>
        <w:tc>
          <w:tcPr>
            <w:tcW w:w="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7,878</w:t>
            </w:r>
          </w:p>
        </w:tc>
        <w:tc>
          <w:tcPr>
            <w:tcW w:w="15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14.0%</w:t>
            </w:r>
          </w:p>
        </w:tc>
      </w:tr>
      <w:tr>
        <w:trPr>
          <w:trHeight w:val="385"/>
        </w:trPr>
        <w:tc>
          <w:tcPr>
            <w:tcW w:w="4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0" w:type="dxa"/>
            <w:vAlign w:val="bottom"/>
            <w:gridSpan w:val="4"/>
          </w:tcPr>
          <w:p>
            <w:pPr>
              <w:jc w:val="right"/>
              <w:ind w:right="516"/>
              <w:spacing w:after="0"/>
              <w:rPr>
                <w:sz w:val="20"/>
                <w:szCs w:val="20"/>
                <w:color w:val="auto"/>
              </w:rPr>
            </w:pPr>
            <w:r>
              <w:rPr>
                <w:rFonts w:ascii="Courier New" w:cs="Courier New" w:eastAsia="Courier New" w:hAnsi="Courier New"/>
                <w:sz w:val="17"/>
                <w:szCs w:val="17"/>
                <w:color w:val="auto"/>
              </w:rPr>
              <w:t>Six Months Ended</w:t>
            </w:r>
          </w:p>
        </w:tc>
        <w:tc>
          <w:tcPr>
            <w:tcW w:w="1500" w:type="dxa"/>
            <w:vAlign w:val="bottom"/>
          </w:tcPr>
          <w:p>
            <w:pPr>
              <w:spacing w:after="0"/>
              <w:rPr>
                <w:sz w:val="24"/>
                <w:szCs w:val="24"/>
                <w:color w:val="auto"/>
              </w:rPr>
            </w:pPr>
          </w:p>
        </w:tc>
      </w:tr>
      <w:tr>
        <w:trPr>
          <w:trHeight w:val="193"/>
        </w:trPr>
        <w:tc>
          <w:tcPr>
            <w:tcW w:w="992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(Dollars in thousands)</w:t>
            </w:r>
          </w:p>
        </w:tc>
        <w:tc>
          <w:tcPr>
            <w:tcW w:w="100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7"/>
              </w:rPr>
              <w:t>May 3,</w:t>
            </w:r>
          </w:p>
        </w:tc>
        <w:tc>
          <w:tcPr>
            <w:tcW w:w="500" w:type="dxa"/>
            <w:vAlign w:val="bottom"/>
          </w:tcPr>
          <w:p>
            <w:pPr>
              <w:spacing w:after="0"/>
              <w:rPr>
                <w:sz w:val="16"/>
                <w:szCs w:val="16"/>
                <w:color w:val="auto"/>
              </w:rPr>
            </w:pPr>
          </w:p>
        </w:tc>
        <w:tc>
          <w:tcPr>
            <w:tcW w:w="124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5"/>
              </w:rPr>
              <w:t>April 28,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4120" w:type="dxa"/>
            <w:vAlign w:val="bottom"/>
          </w:tcPr>
          <w:p>
            <w:pPr>
              <w:spacing w:after="0"/>
              <w:rPr>
                <w:sz w:val="16"/>
                <w:szCs w:val="16"/>
                <w:color w:val="auto"/>
              </w:rPr>
            </w:pPr>
          </w:p>
        </w:tc>
        <w:tc>
          <w:tcPr>
            <w:tcW w:w="1000" w:type="dxa"/>
            <w:vAlign w:val="bottom"/>
          </w:tcPr>
          <w:p>
            <w:pPr>
              <w:jc w:val="center"/>
              <w:ind w:right="316"/>
              <w:spacing w:after="0"/>
              <w:rPr>
                <w:sz w:val="20"/>
                <w:szCs w:val="20"/>
                <w:color w:val="auto"/>
              </w:rPr>
            </w:pPr>
            <w:r>
              <w:rPr>
                <w:rFonts w:ascii="Courier New" w:cs="Courier New" w:eastAsia="Courier New" w:hAnsi="Courier New"/>
                <w:sz w:val="17"/>
                <w:szCs w:val="17"/>
                <w:color w:val="auto"/>
                <w:w w:val="97"/>
              </w:rPr>
              <w:t>1996</w:t>
            </w:r>
          </w:p>
        </w:tc>
        <w:tc>
          <w:tcPr>
            <w:tcW w:w="500" w:type="dxa"/>
            <w:vAlign w:val="bottom"/>
          </w:tcPr>
          <w:p>
            <w:pPr>
              <w:spacing w:after="0"/>
              <w:rPr>
                <w:sz w:val="16"/>
                <w:szCs w:val="16"/>
                <w:color w:val="auto"/>
              </w:rPr>
            </w:pPr>
          </w:p>
        </w:tc>
        <w:tc>
          <w:tcPr>
            <w:tcW w:w="1240" w:type="dxa"/>
            <w:vAlign w:val="bottom"/>
          </w:tcPr>
          <w:p>
            <w:pPr>
              <w:jc w:val="center"/>
              <w:ind w:right="356"/>
              <w:spacing w:after="0"/>
              <w:rPr>
                <w:sz w:val="20"/>
                <w:szCs w:val="20"/>
                <w:color w:val="auto"/>
              </w:rPr>
            </w:pPr>
            <w:r>
              <w:rPr>
                <w:rFonts w:ascii="Courier New" w:cs="Courier New" w:eastAsia="Courier New" w:hAnsi="Courier New"/>
                <w:sz w:val="17"/>
                <w:szCs w:val="17"/>
                <w:color w:val="auto"/>
                <w:w w:val="97"/>
              </w:rPr>
              <w:t>1995</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 Change</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Change</w:t>
            </w:r>
          </w:p>
        </w:tc>
      </w:tr>
      <w:tr>
        <w:trPr>
          <w:trHeight w:val="193"/>
        </w:trPr>
        <w:tc>
          <w:tcPr>
            <w:tcW w:w="5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8"/>
              </w:rPr>
              <w:t>----------------</w:t>
            </w:r>
          </w:p>
        </w:tc>
        <w:tc>
          <w:tcPr>
            <w:tcW w:w="160" w:type="dxa"/>
            <w:vAlign w:val="bottom"/>
          </w:tcPr>
          <w:p>
            <w:pPr>
              <w:spacing w:after="0"/>
              <w:rPr>
                <w:sz w:val="16"/>
                <w:szCs w:val="16"/>
                <w:color w:val="auto"/>
              </w:rPr>
            </w:pP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6"/>
              </w:rPr>
              <w:t>-------------</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120" w:type="dxa"/>
            <w:vAlign w:val="bottom"/>
          </w:tcPr>
          <w:p>
            <w:pPr>
              <w:spacing w:after="0"/>
              <w:rPr>
                <w:sz w:val="20"/>
                <w:szCs w:val="20"/>
                <w:color w:val="auto"/>
              </w:rPr>
            </w:pPr>
            <w:r>
              <w:rPr>
                <w:rFonts w:ascii="Courier New" w:cs="Courier New" w:eastAsia="Courier New" w:hAnsi="Courier New"/>
                <w:sz w:val="17"/>
                <w:szCs w:val="17"/>
                <w:color w:val="auto"/>
              </w:rPr>
              <w:t>Consumer products. . . . . . . . .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240,432</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284,904</w:t>
            </w:r>
          </w:p>
        </w:tc>
        <w:tc>
          <w:tcPr>
            <w:tcW w:w="160" w:type="dxa"/>
            <w:vAlign w:val="bottom"/>
          </w:tcPr>
          <w:p>
            <w:pPr>
              <w:spacing w:after="0"/>
              <w:rPr>
                <w:sz w:val="24"/>
                <w:szCs w:val="24"/>
                <w:color w:val="auto"/>
              </w:rPr>
            </w:pPr>
          </w:p>
        </w:tc>
        <w:tc>
          <w:tcPr>
            <w:tcW w:w="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(44,472)</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(15.6)%</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Commercial products. . . . . . . .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186,856</w:t>
            </w:r>
          </w:p>
        </w:tc>
        <w:tc>
          <w:tcPr>
            <w:tcW w:w="50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174,290</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12,566</w:t>
            </w: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7.2</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Irrigation products. . . . . . . .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72,859</w:t>
            </w:r>
          </w:p>
        </w:tc>
        <w:tc>
          <w:tcPr>
            <w:tcW w:w="50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65,369</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7,490</w:t>
            </w: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11.5</w:t>
            </w:r>
          </w:p>
        </w:tc>
      </w:tr>
      <w:tr>
        <w:trPr>
          <w:trHeight w:val="193"/>
        </w:trPr>
        <w:tc>
          <w:tcPr>
            <w:tcW w:w="5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16"/>
                <w:szCs w:val="16"/>
                <w:color w:val="auto"/>
              </w:rPr>
            </w:pPr>
          </w:p>
        </w:tc>
      </w:tr>
      <w:tr>
        <w:trPr>
          <w:trHeight w:val="193"/>
        </w:trPr>
        <w:tc>
          <w:tcPr>
            <w:tcW w:w="4120" w:type="dxa"/>
            <w:vAlign w:val="bottom"/>
          </w:tcPr>
          <w:p>
            <w:pPr>
              <w:ind w:left="400"/>
              <w:spacing w:after="0"/>
              <w:rPr>
                <w:sz w:val="20"/>
                <w:szCs w:val="20"/>
                <w:color w:val="auto"/>
              </w:rPr>
            </w:pPr>
            <w:r>
              <w:rPr>
                <w:rFonts w:ascii="Courier New" w:cs="Courier New" w:eastAsia="Courier New" w:hAnsi="Courier New"/>
                <w:sz w:val="17"/>
                <w:szCs w:val="17"/>
                <w:color w:val="auto"/>
              </w:rPr>
              <w:t>Total *. . . . . . . . . . . .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500,147</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524,563</w:t>
            </w:r>
          </w:p>
        </w:tc>
        <w:tc>
          <w:tcPr>
            <w:tcW w:w="160" w:type="dxa"/>
            <w:vAlign w:val="bottom"/>
          </w:tcPr>
          <w:p>
            <w:pPr>
              <w:spacing w:after="0"/>
              <w:rPr>
                <w:sz w:val="16"/>
                <w:szCs w:val="16"/>
                <w:color w:val="auto"/>
              </w:rPr>
            </w:pPr>
          </w:p>
        </w:tc>
        <w:tc>
          <w:tcPr>
            <w:tcW w:w="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(24,416)</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(4.7)%</w:t>
            </w:r>
          </w:p>
        </w:tc>
      </w:tr>
      <w:tr>
        <w:trPr>
          <w:trHeight w:val="193"/>
        </w:trPr>
        <w:tc>
          <w:tcPr>
            <w:tcW w:w="5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16"/>
                <w:szCs w:val="16"/>
                <w:color w:val="auto"/>
              </w:rPr>
            </w:pPr>
          </w:p>
        </w:tc>
      </w:tr>
      <w:tr>
        <w:trPr>
          <w:trHeight w:val="193"/>
        </w:trPr>
        <w:tc>
          <w:tcPr>
            <w:tcW w:w="5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spacing w:after="0"/>
              <w:rPr>
                <w:sz w:val="16"/>
                <w:szCs w:val="16"/>
                <w:color w:val="auto"/>
              </w:rPr>
            </w:pP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 Includes international sales of: . .$</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103,758</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91,243</w:t>
            </w:r>
          </w:p>
        </w:tc>
        <w:tc>
          <w:tcPr>
            <w:tcW w:w="1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12,515</w:t>
            </w:r>
          </w:p>
        </w:tc>
        <w:tc>
          <w:tcPr>
            <w:tcW w:w="15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13.7%</w:t>
            </w:r>
          </w:p>
        </w:tc>
      </w:tr>
    </w:tbl>
    <w:p>
      <w:pPr>
        <w:spacing w:after="0" w:line="391"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Worldwide net sales for the three months ended May 3, 1996 of $288.6 million decreased by $22.0 million from the prior year. This decrease was diminished because the quarter ended May 3, 1996 included thirteen weeks of results versus the prior quarter ended April 28th, 1995 which included twelve weeks. The $21.9 million decrease occurred primarily as a result of decreased consumer sales due to an unusually slow start to the lawn and garden retail season because of unseasonable weather over most of the United States. The decline in consumer product sales for the quarter was offset partially by an increase in commercial and irrigation product sales. Although commercial product sales also had a delayed impact due to the unseasonable weather, they rebounded late in the quarter as sales of equipment to golf courses improved. Sales of irrigation products to mass merchants gained momentum and irrigation sales to golf courses remained strong. International sales, reported within the consumer, commercial and irrigation results above, increased from the prior year due to stronger economies and improved weather conditions.</w:t>
      </w:r>
    </w:p>
    <w:p>
      <w:pPr>
        <w:spacing w:after="0" w:line="207"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Gross profit of $103.8 million decreased $3.5 million from the prior year. As a percent of sales, gross profit for the period ended May 3, 1996 was 36.0% compared with 34.6% for the period ended April 28, 1995 due primarily to favorable product costs and mix.</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881" w:right="1440" w:bottom="1440" w:gutter="0" w:footer="0" w:header="0"/>
        </w:sectPr>
      </w:pPr>
    </w:p>
    <w:bookmarkStart w:id="8" w:name="page9"/>
    <w:bookmarkEnd w:id="8"/>
    <w:p>
      <w:pPr>
        <w:ind w:left="1900"/>
        <w:spacing w:after="0"/>
        <w:rPr>
          <w:sz w:val="20"/>
          <w:szCs w:val="20"/>
          <w:color w:val="auto"/>
        </w:rPr>
      </w:pPr>
      <w:r>
        <w:rPr>
          <w:rFonts w:ascii="Courier New" w:cs="Courier New" w:eastAsia="Courier New" w:hAnsi="Courier New"/>
          <w:sz w:val="17"/>
          <w:szCs w:val="17"/>
          <w:color w:val="auto"/>
        </w:rPr>
        <w:t>Selling General and Administrative Expense</w:t>
      </w:r>
    </w:p>
    <w:p>
      <w:pPr>
        <w:spacing w:after="0" w:line="391"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jc w:val="right"/>
        <w:ind w:left="2000" w:right="199"/>
        <w:spacing w:after="0" w:line="236" w:lineRule="auto"/>
        <w:rPr>
          <w:sz w:val="20"/>
          <w:szCs w:val="20"/>
          <w:color w:val="auto"/>
        </w:rPr>
      </w:pPr>
      <w:r>
        <w:rPr>
          <w:rFonts w:ascii="Courier New" w:cs="Courier New" w:eastAsia="Courier New" w:hAnsi="Courier New"/>
          <w:sz w:val="17"/>
          <w:szCs w:val="17"/>
          <w:color w:val="auto"/>
        </w:rPr>
        <w:t>S G &amp; A                      May 3,       % of Net        Apr 28,       % of Net 1996          Sales           1995          Sales</w:t>
      </w:r>
    </w:p>
    <w:p>
      <w:pPr>
        <w:spacing w:after="0" w:line="7"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3360" w:type="dxa"/>
            <w:vAlign w:val="bottom"/>
          </w:tcPr>
          <w:p>
            <w:pPr>
              <w:spacing w:after="0"/>
              <w:rPr>
                <w:sz w:val="20"/>
                <w:szCs w:val="20"/>
                <w:color w:val="auto"/>
              </w:rPr>
            </w:pPr>
            <w:r>
              <w:rPr>
                <w:rFonts w:ascii="Courier New" w:cs="Courier New" w:eastAsia="Courier New" w:hAnsi="Courier New"/>
                <w:sz w:val="17"/>
                <w:szCs w:val="17"/>
                <w:color w:val="auto"/>
              </w:rPr>
              <w:t>Administrative</w:t>
            </w:r>
          </w:p>
        </w:tc>
        <w:tc>
          <w:tcPr>
            <w:tcW w:w="16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$ 21.7</w:t>
            </w:r>
          </w:p>
        </w:tc>
        <w:tc>
          <w:tcPr>
            <w:tcW w:w="14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7.5%</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$ 23.1</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7.4%</w:t>
            </w:r>
          </w:p>
        </w:tc>
      </w:tr>
      <w:tr>
        <w:trPr>
          <w:trHeight w:val="193"/>
        </w:trPr>
        <w:tc>
          <w:tcPr>
            <w:tcW w:w="3360" w:type="dxa"/>
            <w:vAlign w:val="bottom"/>
          </w:tcPr>
          <w:p>
            <w:pPr>
              <w:spacing w:after="0"/>
              <w:rPr>
                <w:sz w:val="20"/>
                <w:szCs w:val="20"/>
                <w:color w:val="auto"/>
              </w:rPr>
            </w:pPr>
            <w:r>
              <w:rPr>
                <w:rFonts w:ascii="Courier New" w:cs="Courier New" w:eastAsia="Courier New" w:hAnsi="Courier New"/>
                <w:sz w:val="17"/>
                <w:szCs w:val="17"/>
                <w:color w:val="auto"/>
              </w:rPr>
              <w:t>Sales and Marketing</w:t>
            </w:r>
          </w:p>
        </w:tc>
        <w:tc>
          <w:tcPr>
            <w:tcW w:w="16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24.3</w:t>
            </w:r>
          </w:p>
        </w:tc>
        <w:tc>
          <w:tcPr>
            <w:tcW w:w="14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8.4</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28.9</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w:t>
            </w:r>
          </w:p>
        </w:tc>
      </w:tr>
      <w:tr>
        <w:trPr>
          <w:trHeight w:val="193"/>
        </w:trPr>
        <w:tc>
          <w:tcPr>
            <w:tcW w:w="3360" w:type="dxa"/>
            <w:vAlign w:val="bottom"/>
          </w:tcPr>
          <w:p>
            <w:pPr>
              <w:spacing w:after="0"/>
              <w:rPr>
                <w:sz w:val="20"/>
                <w:szCs w:val="20"/>
                <w:color w:val="auto"/>
              </w:rPr>
            </w:pPr>
            <w:r>
              <w:rPr>
                <w:rFonts w:ascii="Courier New" w:cs="Courier New" w:eastAsia="Courier New" w:hAnsi="Courier New"/>
                <w:sz w:val="17"/>
                <w:szCs w:val="17"/>
                <w:color w:val="auto"/>
              </w:rPr>
              <w:t>Warranty</w:t>
            </w:r>
          </w:p>
        </w:tc>
        <w:tc>
          <w:tcPr>
            <w:tcW w:w="16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11.0</w:t>
            </w:r>
          </w:p>
        </w:tc>
        <w:tc>
          <w:tcPr>
            <w:tcW w:w="14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3.8</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9.6</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w:t>
            </w:r>
          </w:p>
        </w:tc>
      </w:tr>
      <w:tr>
        <w:trPr>
          <w:trHeight w:val="193"/>
        </w:trPr>
        <w:tc>
          <w:tcPr>
            <w:tcW w:w="3360" w:type="dxa"/>
            <w:vAlign w:val="bottom"/>
          </w:tcPr>
          <w:p>
            <w:pPr>
              <w:spacing w:after="0"/>
              <w:rPr>
                <w:sz w:val="20"/>
                <w:szCs w:val="20"/>
                <w:color w:val="auto"/>
              </w:rPr>
            </w:pPr>
            <w:r>
              <w:rPr>
                <w:rFonts w:ascii="Courier New" w:cs="Courier New" w:eastAsia="Courier New" w:hAnsi="Courier New"/>
                <w:sz w:val="17"/>
                <w:szCs w:val="17"/>
                <w:color w:val="auto"/>
              </w:rPr>
              <w:t>Distributor/Dealer Financing</w:t>
            </w:r>
          </w:p>
        </w:tc>
        <w:tc>
          <w:tcPr>
            <w:tcW w:w="16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2.8</w:t>
            </w:r>
          </w:p>
        </w:tc>
        <w:tc>
          <w:tcPr>
            <w:tcW w:w="14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1.0</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3.0</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w:t>
            </w:r>
          </w:p>
        </w:tc>
      </w:tr>
      <w:tr>
        <w:trPr>
          <w:trHeight w:val="193"/>
        </w:trPr>
        <w:tc>
          <w:tcPr>
            <w:tcW w:w="3360" w:type="dxa"/>
            <w:vAlign w:val="bottom"/>
          </w:tcPr>
          <w:p>
            <w:pPr>
              <w:spacing w:after="0"/>
              <w:rPr>
                <w:sz w:val="20"/>
                <w:szCs w:val="20"/>
                <w:color w:val="auto"/>
              </w:rPr>
            </w:pPr>
            <w:r>
              <w:rPr>
                <w:rFonts w:ascii="Courier New" w:cs="Courier New" w:eastAsia="Courier New" w:hAnsi="Courier New"/>
                <w:sz w:val="17"/>
                <w:szCs w:val="17"/>
                <w:color w:val="auto"/>
              </w:rPr>
              <w:t>Research and Development</w:t>
            </w:r>
          </w:p>
        </w:tc>
        <w:tc>
          <w:tcPr>
            <w:tcW w:w="16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7.5</w:t>
            </w:r>
          </w:p>
        </w:tc>
        <w:tc>
          <w:tcPr>
            <w:tcW w:w="14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2.6</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6.4</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w:t>
            </w:r>
          </w:p>
        </w:tc>
      </w:tr>
      <w:tr>
        <w:trPr>
          <w:trHeight w:val="193"/>
        </w:trPr>
        <w:tc>
          <w:tcPr>
            <w:tcW w:w="3360" w:type="dxa"/>
            <w:vAlign w:val="bottom"/>
          </w:tcPr>
          <w:p>
            <w:pPr>
              <w:spacing w:after="0"/>
              <w:rPr>
                <w:sz w:val="20"/>
                <w:szCs w:val="20"/>
                <w:color w:val="auto"/>
              </w:rPr>
            </w:pPr>
            <w:r>
              <w:rPr>
                <w:rFonts w:ascii="Courier New" w:cs="Courier New" w:eastAsia="Courier New" w:hAnsi="Courier New"/>
                <w:sz w:val="17"/>
                <w:szCs w:val="17"/>
                <w:color w:val="auto"/>
              </w:rPr>
              <w:t>Warehousing</w:t>
            </w:r>
          </w:p>
        </w:tc>
        <w:tc>
          <w:tcPr>
            <w:tcW w:w="16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4.4</w:t>
            </w:r>
          </w:p>
        </w:tc>
        <w:tc>
          <w:tcPr>
            <w:tcW w:w="14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1.5</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3.6</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w:t>
            </w:r>
          </w:p>
        </w:tc>
      </w:tr>
      <w:tr>
        <w:trPr>
          <w:trHeight w:val="193"/>
        </w:trPr>
        <w:tc>
          <w:tcPr>
            <w:tcW w:w="3360" w:type="dxa"/>
            <w:vAlign w:val="bottom"/>
          </w:tcPr>
          <w:p>
            <w:pPr>
              <w:spacing w:after="0"/>
              <w:rPr>
                <w:sz w:val="20"/>
                <w:szCs w:val="20"/>
                <w:color w:val="auto"/>
              </w:rPr>
            </w:pPr>
            <w:r>
              <w:rPr>
                <w:rFonts w:ascii="Courier New" w:cs="Courier New" w:eastAsia="Courier New" w:hAnsi="Courier New"/>
                <w:sz w:val="17"/>
                <w:szCs w:val="17"/>
                <w:color w:val="auto"/>
              </w:rPr>
              <w:t>Service/Quality Assurance</w:t>
            </w:r>
          </w:p>
        </w:tc>
        <w:tc>
          <w:tcPr>
            <w:tcW w:w="16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1.8</w:t>
            </w:r>
          </w:p>
        </w:tc>
        <w:tc>
          <w:tcPr>
            <w:tcW w:w="14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0.6</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1.6</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0.5</w:t>
            </w:r>
          </w:p>
        </w:tc>
      </w:tr>
      <w:tr>
        <w:trPr>
          <w:trHeight w:val="193"/>
        </w:trPr>
        <w:tc>
          <w:tcPr>
            <w:tcW w:w="3360" w:type="dxa"/>
            <w:vAlign w:val="bottom"/>
          </w:tcPr>
          <w:p>
            <w:pPr>
              <w:spacing w:after="0"/>
              <w:rPr>
                <w:sz w:val="16"/>
                <w:szCs w:val="16"/>
                <w:color w:val="auto"/>
              </w:rPr>
            </w:pPr>
          </w:p>
        </w:tc>
        <w:tc>
          <w:tcPr>
            <w:tcW w:w="16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360" w:type="dxa"/>
            <w:vAlign w:val="bottom"/>
          </w:tcPr>
          <w:p>
            <w:pPr>
              <w:ind w:left="500"/>
              <w:spacing w:after="0"/>
              <w:rPr>
                <w:sz w:val="20"/>
                <w:szCs w:val="20"/>
                <w:color w:val="auto"/>
              </w:rPr>
            </w:pPr>
            <w:r>
              <w:rPr>
                <w:rFonts w:ascii="Courier New" w:cs="Courier New" w:eastAsia="Courier New" w:hAnsi="Courier New"/>
                <w:sz w:val="17"/>
                <w:szCs w:val="17"/>
                <w:color w:val="auto"/>
              </w:rPr>
              <w:t>Total</w:t>
            </w:r>
          </w:p>
        </w:tc>
        <w:tc>
          <w:tcPr>
            <w:tcW w:w="16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$ 73.5</w:t>
            </w:r>
          </w:p>
        </w:tc>
        <w:tc>
          <w:tcPr>
            <w:tcW w:w="14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25.4%</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$ 76.2</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24.5%</w:t>
            </w:r>
          </w:p>
        </w:tc>
      </w:tr>
    </w:tbl>
    <w:p>
      <w:pPr>
        <w:spacing w:after="0" w:line="200" w:lineRule="exact"/>
        <w:rPr>
          <w:sz w:val="20"/>
          <w:szCs w:val="20"/>
          <w:color w:val="auto"/>
        </w:rPr>
      </w:pPr>
    </w:p>
    <w:p>
      <w:pPr>
        <w:spacing w:after="0" w:line="384"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Selling, General and Administrative Expense (S G &amp; A) decreased $2.7 million from the prior year and as a percent of sales increased to 25.4%. Administrative expense decreased $1.4 million from the prior year primarily because the company was beginning its implementation of an enterprise wide information system in fiscal 1995. Sales and marketing expense decreased primarily because of reduced sales and the company's efforts to reduce marketing costs. Warranty expense increased from the prior year primarily as a result of a reserve established for required rework on a lawnmower product and gas tank was offset partially because warranty reserve requirements were lower. Distributor/Dealer financing was down primarily due to a reduction in distributor financing expense because of the sales decline. Research and development expenditures were above the prior year reflecting the company's continued commitment to product innovation. Warehousing was up due in part to expenses related to the opening of a new parts warehouse/distribution center late in fiscal 1995 and also increased temporary labor and consulting fees.</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POSITION AS OF MAY 3, 1996</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MAY 3, 1996 COMPARED TO APRIL 28, 1995</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Total assets as of May 3, 1996 were $625.1 million, up $32.6 million from April 28, 1995. The primary increases occurred in accounts receivable and inventory. The increase in inventory comes as a result of the slow retail season in many product categories. Production changes and a pick up in retail demand is expected to bring inventory levels back in line with prior periods by October 31, 1996.</w:t>
      </w:r>
    </w:p>
    <w:p>
      <w:pPr>
        <w:spacing w:after="0" w:line="198"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Historically, accounts receivable balances increase throughout the winter months as a result of extended payment terms made available to the company's customers and decrease in late spring when payments become due. Accounts receivable showed an increase of $13.9 million over the prior year. Of this increase, approximately $17.4 million relates to the sale of receivables in the prior period with no receivables being sold in the current year. The offsetting decrease occurred primarily due to reduced consumer sales of 20.3% which was offset by the increases in the commercial, irrigation and international sales.</w:t>
      </w:r>
    </w:p>
    <w:p>
      <w:pPr>
        <w:spacing w:after="0" w:line="18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Total current liabilities of $341.4 million at May 3, 1996 increased $21.5 million compared with current liabilities at April 28, 1995. The majority of this increase occurred in short-term borrowing, which was up $56.7 million over the prior year. The increase in short-term borrowing reflects the company's cash management strategy of utilizing short-term borrowing to fund the company's seasonal working capital needs. The company's peak borrowing usually occurs in late winter/early spring. The company also acquired $6.5 million of Toro stock in the second quarter. The purchased stock will be used primarily to fulfill the company's obligations under a variety of benefit plans. The increase in short-term borrowing was offset by a decrease in other accrued liabilities which reflects reductions in marketing programs due to a combination of the consumer sales decline and the company's efforts to reduce marketing costs.</w:t>
      </w:r>
    </w:p>
    <w:p>
      <w:pPr>
        <w:spacing w:after="0" w:line="195"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Other long-term liabilities increased $15.0 million over the prior year because the company entered into a forward starting interest rate exchange agreement. See footnote 3 on page 7.</w:t>
      </w:r>
    </w:p>
    <w:p>
      <w:pPr>
        <w:spacing w:after="0" w:line="3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881" w:right="1440" w:bottom="745" w:gutter="0" w:footer="0" w:header="0"/>
        </w:sectPr>
      </w:pPr>
    </w:p>
    <w:bookmarkStart w:id="9" w:name="page10"/>
    <w:bookmarkEnd w:id="9"/>
    <w:p>
      <w:pPr>
        <w:ind w:left="500"/>
        <w:spacing w:after="0"/>
        <w:rPr>
          <w:sz w:val="20"/>
          <w:szCs w:val="20"/>
          <w:color w:val="auto"/>
        </w:rPr>
      </w:pPr>
      <w:r>
        <w:rPr>
          <w:rFonts w:ascii="Courier New" w:cs="Courier New" w:eastAsia="Courier New" w:hAnsi="Courier New"/>
          <w:sz w:val="17"/>
          <w:szCs w:val="17"/>
          <w:color w:val="auto"/>
        </w:rPr>
        <w:t>MAY 3, 1996 COMPARED TO OCTOBER 31, 1995</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Total assets as of May 3, 1996 were $625.1 million, up $152.4 million from October 31, 1995. The majority of this increase occurred in accounts receivable ($144.5 million). The increase in accounts receivable is attributable to the company's business cycle with receivables increasing as sales increase in the winter months and extended payment terms are offered to customers. In addition, accounts receivable have increased due to the expansion of the dealer financing customer base.</w:t>
      </w:r>
    </w:p>
    <w:p>
      <w:pPr>
        <w:spacing w:after="0" w:line="199"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Total current liabilities of $341.4 million at May 3, 1996 increased $120.2 million compared with current liabilities at October 31, 1995. The majority of this increase was the result of additional short-term borrowing of $107.0 million. The increase in short-term borrowing reflects the company's strategy of utilizing short-term borrowing to fund the company's seasonal working capital needs. The company also acquired $7.2 million of Toro stock in the six months ended May 3, 1996.</w:t>
      </w:r>
    </w:p>
    <w:p>
      <w:pPr>
        <w:spacing w:after="0" w:line="199"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Other long-term liabilities increased $13.0 million because the company entered into a forward starting interest rate exchange agreement. See footnote 3 on page 7.</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EQUITY</w:t>
      </w:r>
    </w:p>
    <w:p>
      <w:pPr>
        <w:spacing w:after="0" w:line="198"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Equity increased $8.1 million compared with the prior year. Retained earnings increased $27.5 million. This was offset by a decrease in additional paid in capital. The company acquired $31.3 million of Toro stock in the twelve months ended May 3, 1996. The purchased stock will be used primarily to fulfill the company's obligations under a variety of benefit plans.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Equity as of May 3, 1996 increased $19.3 million compared to October 31, 1995.</w:t>
      </w:r>
    </w:p>
    <w:p>
      <w:pPr>
        <w:spacing w:after="0"/>
        <w:rPr>
          <w:sz w:val="20"/>
          <w:szCs w:val="20"/>
          <w:color w:val="auto"/>
        </w:rPr>
      </w:pPr>
      <w:r>
        <w:rPr>
          <w:rFonts w:ascii="Courier New" w:cs="Courier New" w:eastAsia="Courier New" w:hAnsi="Courier New"/>
          <w:sz w:val="17"/>
          <w:szCs w:val="17"/>
          <w:color w:val="auto"/>
        </w:rPr>
        <w:t>The increase reflects the earnings over the period.</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CASH FLOWS</w:t>
      </w:r>
    </w:p>
    <w:p>
      <w:pPr>
        <w:spacing w:after="0" w:line="198"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The seasonal working capital requirements of the business are financed with short-term debt. Management believes that the combination of funds available through its existing financing arrangements, coupled with forecasted cash flows, will provide the capital resources for its anticipated needs.</w:t>
      </w:r>
    </w:p>
    <w:p>
      <w:pPr>
        <w:spacing w:after="0" w:line="200"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Cash used in operating activities was primarily to support the increase in accounts receivable and inventory primarily as a result of normal seasonal increases, offset slightly by payments of accounts payable and accrued expenses. Partially offsetting these operating cash outflows were positive cash flows from net earnings.</w:t>
      </w:r>
    </w:p>
    <w:p>
      <w:pPr>
        <w:spacing w:after="0" w:line="202"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Net cash used in investment activities was the result of spending related to company improvement projects of property, plant, and equipment. Investment in property, plant, and equipment is down due to the prior year investments including several one-time expenditures on facility expansions.</w:t>
      </w:r>
    </w:p>
    <w:p>
      <w:pPr>
        <w:spacing w:after="0" w:line="200"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Net cash provided by financing activities was the result of proceeds from short-term borrowing used to fulfill the operating cash flow requirements described above in addition to reducing long-term debt. The cash provided from the change in other long-term liabilities is the cash received from the forward starting interest rate exchange agreement entered into on March 6, 1996. See footnote 3 on page 7.</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INFLATION</w:t>
      </w:r>
    </w:p>
    <w:p>
      <w:pPr>
        <w:spacing w:after="0" w:line="198" w:lineRule="exact"/>
        <w:rPr>
          <w:sz w:val="20"/>
          <w:szCs w:val="20"/>
          <w:color w:val="auto"/>
        </w:rPr>
      </w:pPr>
    </w:p>
    <w:p>
      <w:pPr>
        <w:ind w:right="2399"/>
        <w:spacing w:after="0" w:line="237" w:lineRule="auto"/>
        <w:rPr>
          <w:sz w:val="20"/>
          <w:szCs w:val="20"/>
          <w:color w:val="auto"/>
        </w:rPr>
      </w:pPr>
      <w:r>
        <w:rPr>
          <w:rFonts w:ascii="Courier New" w:cs="Courier New" w:eastAsia="Courier New" w:hAnsi="Courier New"/>
          <w:sz w:val="17"/>
          <w:szCs w:val="17"/>
          <w:color w:val="auto"/>
        </w:rPr>
        <w:t>The company is subject to the effects of changing prices. The Company has, however, generally been able to pass along inflationary increases in its costs by increasing the prices of its products.</w:t>
      </w:r>
    </w:p>
    <w:p>
      <w:pPr>
        <w:spacing w:after="0" w:line="388"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- 10 -</w:t>
      </w:r>
    </w:p>
    <w:p>
      <w:pPr>
        <w:sectPr>
          <w:pgSz w:w="11900" w:h="16838" w:orient="portrait"/>
          <w:cols w:equalWidth="0" w:num="1">
            <w:col w:w="10219"/>
          </w:cols>
          <w:pgMar w:left="240" w:top="881" w:right="1440" w:bottom="1440" w:gutter="0" w:footer="0" w:header="0"/>
        </w:sectPr>
      </w:pPr>
    </w:p>
    <w:bookmarkStart w:id="10" w:name="page11"/>
    <w:bookmarkEnd w:id="10"/>
    <w:p>
      <w:pPr>
        <w:ind w:left="2700"/>
        <w:spacing w:after="0"/>
        <w:tabs>
          <w:tab w:leader="none" w:pos="3700" w:val="left"/>
        </w:tabs>
        <w:rPr>
          <w:sz w:val="20"/>
          <w:szCs w:val="20"/>
          <w:color w:val="auto"/>
        </w:rPr>
      </w:pPr>
      <w:r>
        <w:rPr>
          <w:rFonts w:ascii="Courier New" w:cs="Courier New" w:eastAsia="Courier New" w:hAnsi="Courier New"/>
          <w:sz w:val="17"/>
          <w:szCs w:val="17"/>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38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Results of Votes of Security Holders</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Annual Meeting of Stockholders was held on March 12, 1996.</w:t>
      </w:r>
    </w:p>
    <w:p>
      <w:pPr>
        <w:spacing w:after="0" w:line="198" w:lineRule="exact"/>
        <w:rPr>
          <w:sz w:val="20"/>
          <w:szCs w:val="20"/>
          <w:color w:val="auto"/>
        </w:rPr>
      </w:pPr>
    </w:p>
    <w:p>
      <w:pPr>
        <w:ind w:left="500" w:right="2199"/>
        <w:spacing w:after="0" w:line="239" w:lineRule="auto"/>
        <w:rPr>
          <w:sz w:val="20"/>
          <w:szCs w:val="20"/>
          <w:color w:val="auto"/>
        </w:rPr>
      </w:pPr>
      <w:r>
        <w:rPr>
          <w:rFonts w:ascii="Courier New" w:cs="Courier New" w:eastAsia="Courier New" w:hAnsi="Courier New"/>
          <w:sz w:val="17"/>
          <w:szCs w:val="17"/>
          <w:color w:val="auto"/>
        </w:rPr>
        <w:t>The results of the stockholder votes were as follows: on the election of directors, 10,556,001 were voted for election and some of the proxies were cast against the three directors, but not more than 3.7% of the shares represented in person or by proxy at the meeting; on the Annual Management Incentive Plan 9,944,819 shares were voted for, 831,440 shares were voted against and 181,735 shares abstained; and on the amendment of Continuous Performance Award Plan 9,803,760 shares were voted for, 950,554 shares were voted against, and 203,680 shares abstained; and on the Amendment of 1989 and 1993 Stock Option Plans 5,810,547 shares were voted for, 3,861,708 shares were voted against, and 240,234 shares abstained; and on the Amendment of The Toro Company 1992 Directors Stock Plan 7,213,856 shares were voted for, 2,488,113 shares were voted against, and 210,520 shares abstained; on the appointment of the independent auditors 10,698,164 shares were voted for, 153,598 shares were voted against and 106,232 shares abstained.</w:t>
      </w:r>
    </w:p>
    <w:p>
      <w:pPr>
        <w:spacing w:after="0" w:line="20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193" w:lineRule="exact"/>
        <w:rPr>
          <w:sz w:val="20"/>
          <w:szCs w:val="20"/>
          <w:color w:val="auto"/>
        </w:rPr>
      </w:pPr>
    </w:p>
    <w:p>
      <w:pPr>
        <w:ind w:left="1000" w:hanging="496"/>
        <w:spacing w:after="0"/>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 11  Computation of Earnings per Common Share</w:t>
      </w:r>
    </w:p>
    <w:p>
      <w:pPr>
        <w:spacing w:after="0" w:line="192" w:lineRule="exact"/>
        <w:rPr>
          <w:rFonts w:ascii="Courier New" w:cs="Courier New" w:eastAsia="Courier New" w:hAnsi="Courier New"/>
          <w:sz w:val="17"/>
          <w:szCs w:val="17"/>
          <w:color w:val="auto"/>
        </w:rPr>
      </w:pPr>
    </w:p>
    <w:p>
      <w:pPr>
        <w:ind w:left="1000" w:hanging="496"/>
        <w:spacing w:after="0"/>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 27  Financial Data Schedule</w:t>
      </w:r>
    </w:p>
    <w:p>
      <w:pPr>
        <w:spacing w:after="0" w:line="192" w:lineRule="exact"/>
        <w:rPr>
          <w:rFonts w:ascii="Courier New" w:cs="Courier New" w:eastAsia="Courier New" w:hAnsi="Courier New"/>
          <w:sz w:val="17"/>
          <w:szCs w:val="17"/>
          <w:color w:val="auto"/>
        </w:rPr>
      </w:pPr>
    </w:p>
    <w:p>
      <w:pPr>
        <w:ind w:left="1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Summarized financial data; electronic filing only.</w:t>
      </w:r>
    </w:p>
    <w:p>
      <w:pPr>
        <w:spacing w:after="0" w:line="192" w:lineRule="exact"/>
        <w:rPr>
          <w:rFonts w:ascii="Courier New" w:cs="Courier New" w:eastAsia="Courier New" w:hAnsi="Courier New"/>
          <w:sz w:val="17"/>
          <w:szCs w:val="17"/>
          <w:color w:val="auto"/>
        </w:rPr>
      </w:pPr>
    </w:p>
    <w:p>
      <w:pPr>
        <w:ind w:left="1000" w:hanging="496"/>
        <w:spacing w:after="0"/>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198" w:lineRule="exact"/>
        <w:rPr>
          <w:rFonts w:ascii="Courier New" w:cs="Courier New" w:eastAsia="Courier New" w:hAnsi="Courier New"/>
          <w:sz w:val="17"/>
          <w:szCs w:val="17"/>
          <w:color w:val="auto"/>
        </w:rPr>
      </w:pPr>
    </w:p>
    <w:p>
      <w:pPr>
        <w:ind w:left="1000" w:right="28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did not file any Form 8-K reports during the second quarter of 1996.</w:t>
      </w:r>
    </w:p>
    <w:p>
      <w:pPr>
        <w:spacing w:after="0" w:line="38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SIGNATURES</w:t>
      </w:r>
    </w:p>
    <w:p>
      <w:pPr>
        <w:spacing w:after="0" w:line="198" w:lineRule="exact"/>
        <w:rPr>
          <w:sz w:val="20"/>
          <w:szCs w:val="20"/>
          <w:color w:val="auto"/>
        </w:rPr>
      </w:pPr>
    </w:p>
    <w:p>
      <w:pPr>
        <w:jc w:val="both"/>
        <w:ind w:left="500" w:right="2799"/>
        <w:spacing w:after="0" w:line="237"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388"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THE TORO COMPANY</w:t>
      </w:r>
    </w:p>
    <w:p>
      <w:pPr>
        <w:jc w:val="center"/>
        <w:ind w:right="2199"/>
        <w:spacing w:after="0"/>
        <w:rPr>
          <w:sz w:val="20"/>
          <w:szCs w:val="20"/>
          <w:color w:val="auto"/>
        </w:rPr>
      </w:pPr>
      <w:r>
        <w:rPr>
          <w:rFonts w:ascii="Courier New" w:cs="Courier New" w:eastAsia="Courier New" w:hAnsi="Courier New"/>
          <w:sz w:val="17"/>
          <w:szCs w:val="17"/>
          <w:color w:val="auto"/>
        </w:rPr>
        <w:t>(Registrant)</w:t>
      </w:r>
    </w:p>
    <w:p>
      <w:pPr>
        <w:spacing w:after="0" w:line="193" w:lineRule="exact"/>
        <w:rPr>
          <w:sz w:val="20"/>
          <w:szCs w:val="20"/>
          <w:color w:val="auto"/>
        </w:rPr>
      </w:pPr>
    </w:p>
    <w:p>
      <w:pPr>
        <w:ind w:left="3000"/>
        <w:spacing w:after="0"/>
        <w:tabs>
          <w:tab w:leader="none" w:pos="34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Gerald T. Knight</w:t>
      </w:r>
    </w:p>
    <w:p>
      <w:pPr>
        <w:ind w:left="3420"/>
        <w:spacing w:after="0"/>
        <w:rPr>
          <w:sz w:val="20"/>
          <w:szCs w:val="20"/>
          <w:color w:val="auto"/>
        </w:rPr>
      </w:pPr>
      <w:r>
        <w:rPr>
          <w:rFonts w:ascii="Courier New" w:cs="Courier New" w:eastAsia="Courier New" w:hAnsi="Courier New"/>
          <w:sz w:val="17"/>
          <w:szCs w:val="17"/>
          <w:color w:val="auto"/>
        </w:rPr>
        <w:t>-------------------------------</w:t>
      </w:r>
    </w:p>
    <w:p>
      <w:pPr>
        <w:ind w:left="3420"/>
        <w:spacing w:after="0"/>
        <w:rPr>
          <w:sz w:val="20"/>
          <w:szCs w:val="20"/>
          <w:color w:val="auto"/>
        </w:rPr>
      </w:pPr>
      <w:r>
        <w:rPr>
          <w:rFonts w:ascii="Courier New" w:cs="Courier New" w:eastAsia="Courier New" w:hAnsi="Courier New"/>
          <w:sz w:val="17"/>
          <w:szCs w:val="17"/>
          <w:color w:val="auto"/>
        </w:rPr>
        <w:t>Gerald T. Knight</w:t>
      </w:r>
    </w:p>
    <w:p>
      <w:pPr>
        <w:ind w:left="3420"/>
        <w:spacing w:after="0"/>
        <w:rPr>
          <w:sz w:val="20"/>
          <w:szCs w:val="20"/>
          <w:color w:val="auto"/>
        </w:rPr>
      </w:pPr>
      <w:r>
        <w:rPr>
          <w:rFonts w:ascii="Courier New" w:cs="Courier New" w:eastAsia="Courier New" w:hAnsi="Courier New"/>
          <w:sz w:val="17"/>
          <w:szCs w:val="17"/>
          <w:color w:val="auto"/>
        </w:rPr>
        <w:t>Vice President, Finance</w:t>
      </w:r>
    </w:p>
    <w:p>
      <w:pPr>
        <w:ind w:left="3420"/>
        <w:spacing w:after="0"/>
        <w:rPr>
          <w:sz w:val="20"/>
          <w:szCs w:val="20"/>
          <w:color w:val="auto"/>
        </w:rPr>
      </w:pPr>
      <w:r>
        <w:rPr>
          <w:rFonts w:ascii="Courier New" w:cs="Courier New" w:eastAsia="Courier New" w:hAnsi="Courier New"/>
          <w:sz w:val="17"/>
          <w:szCs w:val="17"/>
          <w:color w:val="auto"/>
        </w:rPr>
        <w:t>Chief Financial Officer</w:t>
      </w:r>
    </w:p>
    <w:p>
      <w:pPr>
        <w:ind w:left="3420"/>
        <w:spacing w:after="0"/>
        <w:rPr>
          <w:sz w:val="20"/>
          <w:szCs w:val="20"/>
          <w:color w:val="auto"/>
        </w:rPr>
      </w:pPr>
      <w:r>
        <w:rPr>
          <w:rFonts w:ascii="Courier New" w:cs="Courier New" w:eastAsia="Courier New" w:hAnsi="Courier New"/>
          <w:sz w:val="17"/>
          <w:szCs w:val="17"/>
          <w:color w:val="auto"/>
        </w:rPr>
        <w:t>(principal financial officer)</w:t>
      </w:r>
    </w:p>
    <w:p>
      <w:pPr>
        <w:spacing w:after="0" w:line="38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7"/>
          <w:szCs w:val="17"/>
          <w:color w:val="auto"/>
        </w:rPr>
        <w:t>Date:</w:t>
        <w:tab/>
        <w:t>June 17, 1996</w:t>
      </w:r>
    </w:p>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881" w:right="1440" w:bottom="1440" w:gutter="0" w:footer="0" w:header="0"/>
        </w:sectPr>
      </w:pPr>
    </w:p>
    <w:bookmarkStart w:id="11" w:name="page12"/>
    <w:bookmarkEnd w:id="11"/>
    <w:p>
      <w:pPr>
        <w:ind w:left="7020"/>
        <w:spacing w:after="0"/>
        <w:rPr>
          <w:sz w:val="20"/>
          <w:szCs w:val="20"/>
          <w:color w:val="auto"/>
        </w:rPr>
      </w:pPr>
      <w:r>
        <w:rPr>
          <w:rFonts w:ascii="Courier New" w:cs="Courier New" w:eastAsia="Courier New" w:hAnsi="Courier New"/>
          <w:sz w:val="17"/>
          <w:szCs w:val="17"/>
          <w:color w:val="auto"/>
        </w:rPr>
        <w:t>Exhibit 11</w:t>
      </w:r>
    </w:p>
    <w:p>
      <w:pPr>
        <w:spacing w:after="0" w:line="386"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7"/>
          <w:szCs w:val="17"/>
          <w:color w:val="auto"/>
        </w:rPr>
        <w:t>THE TORO COMPANY AND SUBSIDIARIES</w:t>
      </w:r>
    </w:p>
    <w:p>
      <w:pPr>
        <w:ind w:left="1200"/>
        <w:spacing w:after="0"/>
        <w:rPr>
          <w:sz w:val="20"/>
          <w:szCs w:val="20"/>
          <w:color w:val="auto"/>
        </w:rPr>
      </w:pPr>
      <w:r>
        <w:rPr>
          <w:rFonts w:ascii="Courier New" w:cs="Courier New" w:eastAsia="Courier New" w:hAnsi="Courier New"/>
          <w:sz w:val="17"/>
          <w:szCs w:val="17"/>
          <w:color w:val="auto"/>
        </w:rPr>
        <w:t>COMPUTATION OF EARNINGS PER COMMON SHARE (UNAUDITED)</w:t>
      </w:r>
    </w:p>
    <w:p>
      <w:pPr>
        <w:ind w:left="1600"/>
        <w:spacing w:after="0"/>
        <w:rPr>
          <w:sz w:val="20"/>
          <w:szCs w:val="20"/>
          <w:color w:val="auto"/>
        </w:rPr>
      </w:pPr>
      <w:r>
        <w:rPr>
          <w:rFonts w:ascii="Courier New" w:cs="Courier New" w:eastAsia="Courier New" w:hAnsi="Courier New"/>
          <w:sz w:val="17"/>
          <w:szCs w:val="17"/>
          <w:color w:val="auto"/>
        </w:rPr>
        <w:t>(DOLLARS IN THOUSANDS, EXCEPT PER-SHARE DATA)</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Three Months Ended</w:t>
            </w:r>
          </w:p>
        </w:tc>
        <w:tc>
          <w:tcPr>
            <w:tcW w:w="300" w:type="dxa"/>
            <w:vAlign w:val="bottom"/>
          </w:tcPr>
          <w:p>
            <w:pPr>
              <w:spacing w:after="0"/>
              <w:rPr>
                <w:sz w:val="16"/>
                <w:szCs w:val="16"/>
                <w:color w:val="auto"/>
              </w:rPr>
            </w:pPr>
          </w:p>
        </w:tc>
        <w:tc>
          <w:tcPr>
            <w:tcW w:w="2500" w:type="dxa"/>
            <w:vAlign w:val="bottom"/>
            <w:gridSpan w:val="3"/>
          </w:tcPr>
          <w:p>
            <w:pPr>
              <w:jc w:val="right"/>
              <w:ind w:right="316"/>
              <w:spacing w:after="0"/>
              <w:rPr>
                <w:sz w:val="20"/>
                <w:szCs w:val="20"/>
                <w:color w:val="auto"/>
              </w:rPr>
            </w:pPr>
            <w:r>
              <w:rPr>
                <w:rFonts w:ascii="Courier New" w:cs="Courier New" w:eastAsia="Courier New" w:hAnsi="Courier New"/>
                <w:sz w:val="17"/>
                <w:szCs w:val="17"/>
                <w:color w:val="auto"/>
              </w:rPr>
              <w:t>Six Months Ended</w:t>
            </w:r>
          </w:p>
        </w:tc>
      </w:tr>
      <w:tr>
        <w:trPr>
          <w:trHeight w:val="193"/>
        </w:trPr>
        <w:tc>
          <w:tcPr>
            <w:tcW w:w="5660" w:type="dxa"/>
            <w:vAlign w:val="bottom"/>
          </w:tcPr>
          <w:p>
            <w:pPr>
              <w:spacing w:after="0"/>
              <w:rPr>
                <w:sz w:val="16"/>
                <w:szCs w:val="16"/>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1"/>
                <w:szCs w:val="11"/>
                <w:color w:val="auto"/>
                <w:w w:val="74"/>
              </w:rPr>
              <w:t>--------------------------</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May 3,</w:t>
            </w:r>
          </w:p>
        </w:tc>
        <w:tc>
          <w:tcPr>
            <w:tcW w:w="3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April 28,</w:t>
            </w:r>
          </w:p>
        </w:tc>
        <w:tc>
          <w:tcPr>
            <w:tcW w:w="3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May 3,</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April 28,</w:t>
            </w:r>
          </w:p>
        </w:tc>
      </w:tr>
      <w:tr>
        <w:trPr>
          <w:trHeight w:val="193"/>
        </w:trPr>
        <w:tc>
          <w:tcPr>
            <w:tcW w:w="5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1996</w:t>
            </w:r>
          </w:p>
        </w:tc>
        <w:tc>
          <w:tcPr>
            <w:tcW w:w="3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1995</w:t>
            </w:r>
          </w:p>
        </w:tc>
        <w:tc>
          <w:tcPr>
            <w:tcW w:w="3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1996</w:t>
            </w:r>
          </w:p>
        </w:tc>
        <w:tc>
          <w:tcPr>
            <w:tcW w:w="3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1995</w:t>
            </w:r>
          </w:p>
        </w:tc>
      </w:tr>
      <w:tr>
        <w:trPr>
          <w:trHeight w:val="193"/>
        </w:trPr>
        <w:tc>
          <w:tcPr>
            <w:tcW w:w="5660" w:type="dxa"/>
            <w:vAlign w:val="bottom"/>
          </w:tcPr>
          <w:p>
            <w:pPr>
              <w:spacing w:after="0"/>
              <w:rPr>
                <w:sz w:val="16"/>
                <w:szCs w:val="16"/>
                <w:color w:val="auto"/>
              </w:rPr>
            </w:pP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78"/>
        </w:trPr>
        <w:tc>
          <w:tcPr>
            <w:tcW w:w="566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8"/>
              </w:rPr>
              <w:t>Net earnings . . . . . . . . . . . . . . . . . . . . .</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16,820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17,539</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25,318</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24,338</w:t>
            </w:r>
          </w:p>
        </w:tc>
      </w:tr>
      <w:tr>
        <w:trPr>
          <w:trHeight w:val="193"/>
        </w:trPr>
        <w:tc>
          <w:tcPr>
            <w:tcW w:w="5660" w:type="dxa"/>
            <w:vAlign w:val="bottom"/>
          </w:tcPr>
          <w:p>
            <w:pPr>
              <w:spacing w:after="0"/>
              <w:rPr>
                <w:sz w:val="16"/>
                <w:szCs w:val="16"/>
                <w:color w:val="auto"/>
              </w:rPr>
            </w:pP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660" w:type="dxa"/>
            <w:vAlign w:val="bottom"/>
          </w:tcPr>
          <w:p>
            <w:pPr>
              <w:spacing w:after="0"/>
              <w:rPr>
                <w:sz w:val="16"/>
                <w:szCs w:val="16"/>
                <w:color w:val="auto"/>
              </w:rPr>
            </w:pP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5660" w:type="dxa"/>
            <w:vAlign w:val="bottom"/>
          </w:tcPr>
          <w:p>
            <w:pPr>
              <w:spacing w:after="0"/>
              <w:rPr>
                <w:sz w:val="20"/>
                <w:szCs w:val="20"/>
                <w:color w:val="auto"/>
              </w:rPr>
            </w:pPr>
            <w:r>
              <w:rPr>
                <w:rFonts w:ascii="Courier New" w:cs="Courier New" w:eastAsia="Courier New" w:hAnsi="Courier New"/>
                <w:sz w:val="17"/>
                <w:szCs w:val="17"/>
                <w:color w:val="auto"/>
              </w:rPr>
              <w:t>Primary:</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5660" w:type="dxa"/>
            <w:vAlign w:val="bottom"/>
          </w:tcPr>
          <w:p>
            <w:pPr>
              <w:ind w:left="300"/>
              <w:spacing w:after="0"/>
              <w:rPr>
                <w:sz w:val="20"/>
                <w:szCs w:val="20"/>
                <w:color w:val="auto"/>
              </w:rPr>
            </w:pPr>
            <w:r>
              <w:rPr>
                <w:rFonts w:ascii="Courier New" w:cs="Courier New" w:eastAsia="Courier New" w:hAnsi="Courier New"/>
                <w:sz w:val="17"/>
                <w:szCs w:val="17"/>
                <w:color w:val="auto"/>
              </w:rPr>
              <w:t>Shares of common stock and common</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660" w:type="dxa"/>
            <w:vAlign w:val="bottom"/>
          </w:tcPr>
          <w:p>
            <w:pPr>
              <w:ind w:left="300"/>
              <w:spacing w:after="0"/>
              <w:rPr>
                <w:sz w:val="20"/>
                <w:szCs w:val="20"/>
                <w:color w:val="auto"/>
              </w:rPr>
            </w:pPr>
            <w:r>
              <w:rPr>
                <w:rFonts w:ascii="Courier New" w:cs="Courier New" w:eastAsia="Courier New" w:hAnsi="Courier New"/>
                <w:sz w:val="17"/>
                <w:szCs w:val="17"/>
                <w:color w:val="auto"/>
              </w:rPr>
              <w:t>stock equivalents: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660" w:type="dxa"/>
            <w:vAlign w:val="bottom"/>
          </w:tcPr>
          <w:p>
            <w:pPr>
              <w:ind w:left="500"/>
              <w:spacing w:after="0"/>
              <w:rPr>
                <w:sz w:val="20"/>
                <w:szCs w:val="20"/>
                <w:color w:val="auto"/>
              </w:rPr>
            </w:pPr>
            <w:r>
              <w:rPr>
                <w:rFonts w:ascii="Courier New" w:cs="Courier New" w:eastAsia="Courier New" w:hAnsi="Courier New"/>
                <w:sz w:val="17"/>
                <w:szCs w:val="17"/>
                <w:color w:val="auto"/>
              </w:rPr>
              <w:t>Weighted average number of common shares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6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outstanding . . . . . . . . . . . . . . . . . .</w:t>
            </w:r>
          </w:p>
        </w:tc>
        <w:tc>
          <w:tcPr>
            <w:tcW w:w="3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6"/>
              </w:rPr>
              <w:t>12,222,437</w:t>
            </w:r>
          </w:p>
        </w:tc>
        <w:tc>
          <w:tcPr>
            <w:tcW w:w="3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6"/>
              </w:rPr>
              <w:t>12,770,376</w:t>
            </w:r>
          </w:p>
        </w:tc>
        <w:tc>
          <w:tcPr>
            <w:tcW w:w="3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6"/>
              </w:rPr>
              <w:t>12,220,874</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w w:val="96"/>
              </w:rPr>
              <w:t>12,759,817</w:t>
            </w:r>
          </w:p>
        </w:tc>
      </w:tr>
      <w:tr>
        <w:trPr>
          <w:trHeight w:val="193"/>
        </w:trPr>
        <w:tc>
          <w:tcPr>
            <w:tcW w:w="5660" w:type="dxa"/>
            <w:vAlign w:val="bottom"/>
          </w:tcPr>
          <w:p>
            <w:pPr>
              <w:ind w:left="500"/>
              <w:spacing w:after="0"/>
              <w:rPr>
                <w:sz w:val="20"/>
                <w:szCs w:val="20"/>
                <w:color w:val="auto"/>
              </w:rPr>
            </w:pPr>
            <w:r>
              <w:rPr>
                <w:rFonts w:ascii="Courier New" w:cs="Courier New" w:eastAsia="Courier New" w:hAnsi="Courier New"/>
                <w:sz w:val="17"/>
                <w:szCs w:val="17"/>
                <w:color w:val="auto"/>
              </w:rPr>
              <w:t>Dilutive effect of outstanding</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6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stock options (1) . . . . . . . . . . . . . . .</w:t>
            </w:r>
          </w:p>
        </w:tc>
        <w:tc>
          <w:tcPr>
            <w:tcW w:w="3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429,796</w:t>
            </w:r>
          </w:p>
        </w:tc>
        <w:tc>
          <w:tcPr>
            <w:tcW w:w="3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504,457</w:t>
            </w:r>
          </w:p>
        </w:tc>
        <w:tc>
          <w:tcPr>
            <w:tcW w:w="3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437,539</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515,562</w:t>
            </w:r>
          </w:p>
        </w:tc>
      </w:tr>
      <w:tr>
        <w:trPr>
          <w:trHeight w:val="193"/>
        </w:trPr>
        <w:tc>
          <w:tcPr>
            <w:tcW w:w="5660" w:type="dxa"/>
            <w:vAlign w:val="bottom"/>
          </w:tcPr>
          <w:p>
            <w:pPr>
              <w:spacing w:after="0"/>
              <w:rPr>
                <w:sz w:val="16"/>
                <w:szCs w:val="16"/>
                <w:color w:val="auto"/>
              </w:rPr>
            </w:pP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6"/>
              </w:rPr>
              <w:t>12,652,233</w:t>
            </w:r>
          </w:p>
        </w:tc>
        <w:tc>
          <w:tcPr>
            <w:tcW w:w="3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6"/>
              </w:rPr>
              <w:t>13,274,833</w:t>
            </w:r>
          </w:p>
        </w:tc>
        <w:tc>
          <w:tcPr>
            <w:tcW w:w="3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6"/>
              </w:rPr>
              <w:t>12,658,413</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w w:val="96"/>
              </w:rPr>
              <w:t>13,275,379</w:t>
            </w:r>
          </w:p>
        </w:tc>
      </w:tr>
      <w:tr>
        <w:trPr>
          <w:trHeight w:val="193"/>
        </w:trPr>
        <w:tc>
          <w:tcPr>
            <w:tcW w:w="5660" w:type="dxa"/>
            <w:vAlign w:val="bottom"/>
          </w:tcPr>
          <w:p>
            <w:pPr>
              <w:spacing w:after="0"/>
              <w:rPr>
                <w:sz w:val="16"/>
                <w:szCs w:val="16"/>
                <w:color w:val="auto"/>
              </w:rPr>
            </w:pP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5660" w:type="dxa"/>
            <w:vAlign w:val="bottom"/>
          </w:tcPr>
          <w:p>
            <w:pPr>
              <w:ind w:left="500"/>
              <w:spacing w:after="0"/>
              <w:rPr>
                <w:sz w:val="20"/>
                <w:szCs w:val="20"/>
                <w:color w:val="auto"/>
              </w:rPr>
            </w:pPr>
            <w:r>
              <w:rPr>
                <w:rFonts w:ascii="Courier New" w:cs="Courier New" w:eastAsia="Courier New" w:hAnsi="Courier New"/>
                <w:sz w:val="17"/>
                <w:szCs w:val="17"/>
                <w:color w:val="auto"/>
              </w:rPr>
              <w:t>Net earnings per share of common stock</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56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and common stock equivalent . . . . . . . . . .</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1.33</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1.83</w:t>
            </w:r>
          </w:p>
        </w:tc>
      </w:tr>
      <w:tr>
        <w:trPr>
          <w:trHeight w:val="193"/>
        </w:trPr>
        <w:tc>
          <w:tcPr>
            <w:tcW w:w="5660" w:type="dxa"/>
            <w:vAlign w:val="bottom"/>
          </w:tcPr>
          <w:p>
            <w:pPr>
              <w:spacing w:after="0"/>
              <w:rPr>
                <w:sz w:val="16"/>
                <w:szCs w:val="16"/>
                <w:color w:val="auto"/>
              </w:rPr>
            </w:pP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660" w:type="dxa"/>
            <w:vAlign w:val="bottom"/>
          </w:tcPr>
          <w:p>
            <w:pPr>
              <w:spacing w:after="0"/>
              <w:rPr>
                <w:sz w:val="16"/>
                <w:szCs w:val="16"/>
                <w:color w:val="auto"/>
              </w:rPr>
            </w:pP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771"/>
        </w:trPr>
        <w:tc>
          <w:tcPr>
            <w:tcW w:w="5660" w:type="dxa"/>
            <w:vAlign w:val="bottom"/>
          </w:tcPr>
          <w:p>
            <w:pPr>
              <w:spacing w:after="0"/>
              <w:rPr>
                <w:sz w:val="20"/>
                <w:szCs w:val="20"/>
                <w:color w:val="auto"/>
              </w:rPr>
            </w:pPr>
            <w:r>
              <w:rPr>
                <w:rFonts w:ascii="Courier New" w:cs="Courier New" w:eastAsia="Courier New" w:hAnsi="Courier New"/>
                <w:sz w:val="17"/>
                <w:szCs w:val="17"/>
                <w:color w:val="auto"/>
              </w:rPr>
              <w:t>Fully Diluted:</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5660" w:type="dxa"/>
            <w:vAlign w:val="bottom"/>
          </w:tcPr>
          <w:p>
            <w:pPr>
              <w:ind w:left="300"/>
              <w:spacing w:after="0"/>
              <w:rPr>
                <w:sz w:val="20"/>
                <w:szCs w:val="20"/>
                <w:color w:val="auto"/>
              </w:rPr>
            </w:pPr>
            <w:r>
              <w:rPr>
                <w:rFonts w:ascii="Courier New" w:cs="Courier New" w:eastAsia="Courier New" w:hAnsi="Courier New"/>
                <w:sz w:val="17"/>
                <w:szCs w:val="17"/>
                <w:color w:val="auto"/>
              </w:rPr>
              <w:t>Shares of common stock and common</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660" w:type="dxa"/>
            <w:vAlign w:val="bottom"/>
          </w:tcPr>
          <w:p>
            <w:pPr>
              <w:ind w:left="300"/>
              <w:spacing w:after="0"/>
              <w:rPr>
                <w:sz w:val="20"/>
                <w:szCs w:val="20"/>
                <w:color w:val="auto"/>
              </w:rPr>
            </w:pPr>
            <w:r>
              <w:rPr>
                <w:rFonts w:ascii="Courier New" w:cs="Courier New" w:eastAsia="Courier New" w:hAnsi="Courier New"/>
                <w:sz w:val="17"/>
                <w:szCs w:val="17"/>
                <w:color w:val="auto"/>
              </w:rPr>
              <w:t>stock equivalents: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660" w:type="dxa"/>
            <w:vAlign w:val="bottom"/>
          </w:tcPr>
          <w:p>
            <w:pPr>
              <w:ind w:left="500"/>
              <w:spacing w:after="0"/>
              <w:rPr>
                <w:sz w:val="20"/>
                <w:szCs w:val="20"/>
                <w:color w:val="auto"/>
              </w:rPr>
            </w:pPr>
            <w:r>
              <w:rPr>
                <w:rFonts w:ascii="Courier New" w:cs="Courier New" w:eastAsia="Courier New" w:hAnsi="Courier New"/>
                <w:sz w:val="17"/>
                <w:szCs w:val="17"/>
                <w:color w:val="auto"/>
              </w:rPr>
              <w:t>Weighted average number of common shares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6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outstanding . . . . . . . . . . . . . . . . . .</w:t>
            </w:r>
          </w:p>
        </w:tc>
        <w:tc>
          <w:tcPr>
            <w:tcW w:w="3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6"/>
              </w:rPr>
              <w:t>12,222,437</w:t>
            </w:r>
          </w:p>
        </w:tc>
        <w:tc>
          <w:tcPr>
            <w:tcW w:w="3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6"/>
              </w:rPr>
              <w:t>12,770,376</w:t>
            </w:r>
          </w:p>
        </w:tc>
        <w:tc>
          <w:tcPr>
            <w:tcW w:w="3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6"/>
              </w:rPr>
              <w:t>12,220,874</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w w:val="96"/>
              </w:rPr>
              <w:t>12,759,817</w:t>
            </w:r>
          </w:p>
        </w:tc>
      </w:tr>
      <w:tr>
        <w:trPr>
          <w:trHeight w:val="193"/>
        </w:trPr>
        <w:tc>
          <w:tcPr>
            <w:tcW w:w="5660" w:type="dxa"/>
            <w:vAlign w:val="bottom"/>
          </w:tcPr>
          <w:p>
            <w:pPr>
              <w:ind w:left="500"/>
              <w:spacing w:after="0"/>
              <w:rPr>
                <w:sz w:val="20"/>
                <w:szCs w:val="20"/>
                <w:color w:val="auto"/>
              </w:rPr>
            </w:pPr>
            <w:r>
              <w:rPr>
                <w:rFonts w:ascii="Courier New" w:cs="Courier New" w:eastAsia="Courier New" w:hAnsi="Courier New"/>
                <w:sz w:val="17"/>
                <w:szCs w:val="17"/>
                <w:color w:val="auto"/>
              </w:rPr>
              <w:t>Dilutive effect of outstanding</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6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stock options (2) . . . . . . . . . . . . . . .</w:t>
            </w:r>
          </w:p>
        </w:tc>
        <w:tc>
          <w:tcPr>
            <w:tcW w:w="3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429,796</w:t>
            </w:r>
          </w:p>
        </w:tc>
        <w:tc>
          <w:tcPr>
            <w:tcW w:w="3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505,169</w:t>
            </w:r>
          </w:p>
        </w:tc>
        <w:tc>
          <w:tcPr>
            <w:tcW w:w="3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445,315</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523,338</w:t>
            </w:r>
          </w:p>
        </w:tc>
      </w:tr>
      <w:tr>
        <w:trPr>
          <w:trHeight w:val="193"/>
        </w:trPr>
        <w:tc>
          <w:tcPr>
            <w:tcW w:w="5660" w:type="dxa"/>
            <w:vAlign w:val="bottom"/>
          </w:tcPr>
          <w:p>
            <w:pPr>
              <w:spacing w:after="0"/>
              <w:rPr>
                <w:sz w:val="16"/>
                <w:szCs w:val="16"/>
                <w:color w:val="auto"/>
              </w:rPr>
            </w:pP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6"/>
              </w:rPr>
              <w:t>12,652,233</w:t>
            </w:r>
          </w:p>
        </w:tc>
        <w:tc>
          <w:tcPr>
            <w:tcW w:w="3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6"/>
              </w:rPr>
              <w:t>13,275,545</w:t>
            </w:r>
          </w:p>
        </w:tc>
        <w:tc>
          <w:tcPr>
            <w:tcW w:w="30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6"/>
              </w:rPr>
              <w:t>12,666,189</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w w:val="96"/>
              </w:rPr>
              <w:t>13,283,155</w:t>
            </w:r>
          </w:p>
        </w:tc>
      </w:tr>
      <w:tr>
        <w:trPr>
          <w:trHeight w:val="193"/>
        </w:trPr>
        <w:tc>
          <w:tcPr>
            <w:tcW w:w="5660" w:type="dxa"/>
            <w:vAlign w:val="bottom"/>
          </w:tcPr>
          <w:p>
            <w:pPr>
              <w:spacing w:after="0"/>
              <w:rPr>
                <w:sz w:val="16"/>
                <w:szCs w:val="16"/>
                <w:color w:val="auto"/>
              </w:rPr>
            </w:pP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5660" w:type="dxa"/>
            <w:vAlign w:val="bottom"/>
          </w:tcPr>
          <w:p>
            <w:pPr>
              <w:ind w:left="500"/>
              <w:spacing w:after="0"/>
              <w:rPr>
                <w:sz w:val="20"/>
                <w:szCs w:val="20"/>
                <w:color w:val="auto"/>
              </w:rPr>
            </w:pPr>
            <w:r>
              <w:rPr>
                <w:rFonts w:ascii="Courier New" w:cs="Courier New" w:eastAsia="Courier New" w:hAnsi="Courier New"/>
                <w:sz w:val="17"/>
                <w:szCs w:val="17"/>
                <w:color w:val="auto"/>
              </w:rPr>
              <w:t>Net earnings per share of common stock</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56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and common stock equivalent . . . . . . . . . .</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1.33</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1.83</w:t>
            </w:r>
          </w:p>
        </w:tc>
      </w:tr>
      <w:tr>
        <w:trPr>
          <w:trHeight w:val="193"/>
        </w:trPr>
        <w:tc>
          <w:tcPr>
            <w:tcW w:w="5660" w:type="dxa"/>
            <w:vAlign w:val="bottom"/>
          </w:tcPr>
          <w:p>
            <w:pPr>
              <w:spacing w:after="0"/>
              <w:rPr>
                <w:sz w:val="16"/>
                <w:szCs w:val="16"/>
                <w:color w:val="auto"/>
              </w:rPr>
            </w:pP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660" w:type="dxa"/>
            <w:vAlign w:val="bottom"/>
          </w:tcPr>
          <w:p>
            <w:pPr>
              <w:spacing w:after="0"/>
              <w:rPr>
                <w:sz w:val="16"/>
                <w:szCs w:val="16"/>
                <w:color w:val="auto"/>
              </w:rPr>
            </w:pP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84" w:lineRule="exact"/>
        <w:rPr>
          <w:sz w:val="20"/>
          <w:szCs w:val="20"/>
          <w:color w:val="auto"/>
        </w:rPr>
      </w:pPr>
    </w:p>
    <w:p>
      <w:pPr>
        <w:ind w:left="500" w:right="3700" w:hanging="497"/>
        <w:spacing w:after="0" w:line="259" w:lineRule="auto"/>
        <w:tabs>
          <w:tab w:leader="none" w:pos="5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stock options and options exercised in the current period are converted to common stock equivalents by the treasury stock method using the average market price of the company's stock during each period.</w:t>
      </w:r>
    </w:p>
    <w:p>
      <w:pPr>
        <w:spacing w:after="0" w:line="184" w:lineRule="exact"/>
        <w:rPr>
          <w:rFonts w:ascii="Courier New" w:cs="Courier New" w:eastAsia="Courier New" w:hAnsi="Courier New"/>
          <w:sz w:val="16"/>
          <w:szCs w:val="16"/>
          <w:color w:val="auto"/>
        </w:rPr>
      </w:pPr>
    </w:p>
    <w:p>
      <w:pPr>
        <w:ind w:left="500" w:right="3700" w:hanging="497"/>
        <w:spacing w:after="0" w:line="238" w:lineRule="auto"/>
        <w:tabs>
          <w:tab w:leader="none" w:pos="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Outstanding stock options and options exercised in the current period are converted to common stock equivalents by the treasury stock method using the greater of the average market price or the period-end market price of the company's stock during each period.</w:t>
      </w:r>
    </w:p>
    <w:p>
      <w:pPr>
        <w:spacing w:after="0" w:line="200" w:lineRule="exact"/>
        <w:rPr>
          <w:sz w:val="20"/>
          <w:szCs w:val="20"/>
          <w:color w:val="auto"/>
        </w:rPr>
      </w:pPr>
    </w:p>
    <w:p>
      <w:pPr>
        <w:spacing w:after="0" w:line="38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1520"/>
          </w:cols>
          <w:pgMar w:left="240" w:top="714" w:right="139" w:bottom="1440" w:gutter="0" w:footer="0" w:header="0"/>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ind w:left="100"/>
        <w:spacing w:after="0"/>
        <w:rPr>
          <w:sz w:val="20"/>
          <w:szCs w:val="20"/>
          <w:color w:val="auto"/>
        </w:rPr>
      </w:pPr>
      <w:r>
        <w:rPr>
          <w:rFonts w:ascii="Courier New" w:cs="Courier New" w:eastAsia="Courier New" w:hAnsi="Courier New"/>
          <w:sz w:val="17"/>
          <w:szCs w:val="17"/>
          <w:color w:val="auto"/>
        </w:rPr>
        <w:t>5</w:t>
      </w:r>
    </w:p>
    <w:p>
      <w:pPr>
        <w:spacing w:after="0" w:line="198" w:lineRule="exact"/>
        <w:rPr>
          <w:sz w:val="20"/>
          <w:szCs w:val="20"/>
          <w:color w:val="auto"/>
        </w:rPr>
      </w:pPr>
    </w:p>
    <w:p>
      <w:pPr>
        <w:ind w:left="20" w:right="2979"/>
        <w:spacing w:after="0" w:line="257"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CONDENSED CONSOLIDATED STATEMENT OF OPERATIONS AND RETAINED EARNINGS, THE CONDENSED CONSOLIDATED BALANCE SHEET AND EXHIBIT 11 AND IS QUALIFIED IN ITS ENTIRETY BY REFERENCE TO SUCH FINANCIAL STATEMENTS.</w:t>
      </w:r>
    </w:p>
    <w:p>
      <w:pPr>
        <w:spacing w:after="0" w:line="18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1,000</w:t>
      </w:r>
    </w:p>
    <w:p>
      <w:pPr>
        <w:spacing w:after="0" w:line="386"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6-MOS</w:t>
      </w:r>
    </w:p>
    <w:p>
      <w:pPr>
        <w:ind w:left="2600"/>
        <w:spacing w:after="0"/>
        <w:rPr>
          <w:sz w:val="20"/>
          <w:szCs w:val="20"/>
          <w:color w:val="auto"/>
        </w:rPr>
      </w:pPr>
      <w:r>
        <w:rPr>
          <w:rFonts w:ascii="Courier New" w:cs="Courier New" w:eastAsia="Courier New" w:hAnsi="Courier New"/>
          <w:sz w:val="17"/>
          <w:szCs w:val="17"/>
          <w:color w:val="auto"/>
        </w:rPr>
        <w:t>OCT-31-1995</w:t>
      </w:r>
    </w:p>
    <w:p>
      <w:pPr>
        <w:ind w:left="2900"/>
        <w:spacing w:after="0"/>
        <w:rPr>
          <w:sz w:val="20"/>
          <w:szCs w:val="20"/>
          <w:color w:val="auto"/>
        </w:rPr>
      </w:pPr>
      <w:r>
        <w:rPr>
          <w:rFonts w:ascii="Courier New" w:cs="Courier New" w:eastAsia="Courier New" w:hAnsi="Courier New"/>
          <w:sz w:val="17"/>
          <w:szCs w:val="17"/>
          <w:color w:val="auto"/>
        </w:rPr>
        <w:t>NOV-01-1995</w:t>
      </w:r>
    </w:p>
    <w:p>
      <w:pPr>
        <w:ind w:left="3100"/>
        <w:spacing w:after="0"/>
        <w:rPr>
          <w:sz w:val="20"/>
          <w:szCs w:val="20"/>
          <w:color w:val="auto"/>
        </w:rPr>
      </w:pPr>
      <w:r>
        <w:rPr>
          <w:rFonts w:ascii="Courier New" w:cs="Courier New" w:eastAsia="Courier New" w:hAnsi="Courier New"/>
          <w:sz w:val="17"/>
          <w:szCs w:val="17"/>
          <w:color w:val="auto"/>
        </w:rPr>
        <w:t>MAY-03-1996</w:t>
      </w:r>
    </w:p>
    <w:p>
      <w:pPr>
        <w:ind w:left="4320"/>
        <w:spacing w:after="0"/>
        <w:rPr>
          <w:sz w:val="20"/>
          <w:szCs w:val="20"/>
          <w:color w:val="auto"/>
        </w:rPr>
      </w:pPr>
      <w:r>
        <w:rPr>
          <w:rFonts w:ascii="Courier New" w:cs="Courier New" w:eastAsia="Courier New" w:hAnsi="Courier New"/>
          <w:sz w:val="17"/>
          <w:szCs w:val="17"/>
          <w:color w:val="auto"/>
        </w:rPr>
        <w:t>4,238</w:t>
      </w:r>
    </w:p>
    <w:p>
      <w:pPr>
        <w:ind w:left="4120"/>
        <w:spacing w:after="0"/>
        <w:rPr>
          <w:sz w:val="20"/>
          <w:szCs w:val="20"/>
          <w:color w:val="auto"/>
        </w:rPr>
      </w:pPr>
      <w:r>
        <w:rPr>
          <w:rFonts w:ascii="Courier New" w:cs="Courier New" w:eastAsia="Courier New" w:hAnsi="Courier New"/>
          <w:sz w:val="17"/>
          <w:szCs w:val="17"/>
          <w:color w:val="auto"/>
        </w:rPr>
        <w:t>0</w:t>
      </w:r>
    </w:p>
    <w:p>
      <w:pPr>
        <w:ind w:left="3420"/>
        <w:spacing w:after="0"/>
        <w:rPr>
          <w:sz w:val="20"/>
          <w:szCs w:val="20"/>
          <w:color w:val="auto"/>
        </w:rPr>
      </w:pPr>
      <w:r>
        <w:rPr>
          <w:rFonts w:ascii="Courier New" w:cs="Courier New" w:eastAsia="Courier New" w:hAnsi="Courier New"/>
          <w:sz w:val="17"/>
          <w:szCs w:val="17"/>
          <w:color w:val="auto"/>
        </w:rPr>
        <w:t>343,344</w:t>
      </w:r>
    </w:p>
    <w:p>
      <w:pPr>
        <w:ind w:left="4120"/>
        <w:spacing w:after="0"/>
        <w:rPr>
          <w:sz w:val="20"/>
          <w:szCs w:val="20"/>
          <w:color w:val="auto"/>
        </w:rPr>
      </w:pPr>
      <w:r>
        <w:rPr>
          <w:rFonts w:ascii="Courier New" w:cs="Courier New" w:eastAsia="Courier New" w:hAnsi="Courier New"/>
          <w:sz w:val="17"/>
          <w:szCs w:val="17"/>
          <w:color w:val="auto"/>
        </w:rPr>
        <w:t>0</w:t>
      </w:r>
    </w:p>
    <w:p>
      <w:pPr>
        <w:ind w:left="3620"/>
        <w:spacing w:after="0"/>
        <w:rPr>
          <w:sz w:val="20"/>
          <w:szCs w:val="20"/>
          <w:color w:val="auto"/>
        </w:rPr>
      </w:pPr>
      <w:r>
        <w:rPr>
          <w:rFonts w:ascii="Courier New" w:cs="Courier New" w:eastAsia="Courier New" w:hAnsi="Courier New"/>
          <w:sz w:val="17"/>
          <w:szCs w:val="17"/>
          <w:color w:val="auto"/>
        </w:rPr>
        <w:t>158,841</w:t>
      </w:r>
    </w:p>
    <w:p>
      <w:pPr>
        <w:ind w:left="3100"/>
        <w:spacing w:after="0"/>
        <w:rPr>
          <w:sz w:val="20"/>
          <w:szCs w:val="20"/>
          <w:color w:val="auto"/>
        </w:rPr>
      </w:pPr>
      <w:r>
        <w:rPr>
          <w:rFonts w:ascii="Courier New" w:cs="Courier New" w:eastAsia="Courier New" w:hAnsi="Courier New"/>
          <w:sz w:val="17"/>
          <w:szCs w:val="17"/>
          <w:color w:val="auto"/>
        </w:rPr>
        <w:t>538,693</w:t>
      </w:r>
    </w:p>
    <w:p>
      <w:pPr>
        <w:ind w:left="4120"/>
        <w:spacing w:after="0"/>
        <w:rPr>
          <w:sz w:val="20"/>
          <w:szCs w:val="20"/>
          <w:color w:val="auto"/>
        </w:rPr>
      </w:pPr>
      <w:r>
        <w:rPr>
          <w:rFonts w:ascii="Courier New" w:cs="Courier New" w:eastAsia="Courier New" w:hAnsi="Courier New"/>
          <w:sz w:val="17"/>
          <w:szCs w:val="17"/>
          <w:color w:val="auto"/>
        </w:rPr>
        <w:t>216,806</w:t>
      </w:r>
    </w:p>
    <w:p>
      <w:pPr>
        <w:ind w:left="3320"/>
        <w:spacing w:after="0"/>
        <w:rPr>
          <w:sz w:val="20"/>
          <w:szCs w:val="20"/>
          <w:color w:val="auto"/>
        </w:rPr>
      </w:pPr>
      <w:r>
        <w:rPr>
          <w:rFonts w:ascii="Courier New" w:cs="Courier New" w:eastAsia="Courier New" w:hAnsi="Courier New"/>
          <w:sz w:val="17"/>
          <w:szCs w:val="17"/>
          <w:color w:val="auto"/>
        </w:rPr>
        <w:t>148,100</w:t>
      </w:r>
    </w:p>
    <w:p>
      <w:pPr>
        <w:ind w:left="3320"/>
        <w:spacing w:after="0"/>
        <w:rPr>
          <w:sz w:val="20"/>
          <w:szCs w:val="20"/>
          <w:color w:val="auto"/>
        </w:rPr>
      </w:pPr>
      <w:r>
        <w:rPr>
          <w:rFonts w:ascii="Courier New" w:cs="Courier New" w:eastAsia="Courier New" w:hAnsi="Courier New"/>
          <w:sz w:val="17"/>
          <w:szCs w:val="17"/>
          <w:color w:val="auto"/>
        </w:rPr>
        <w:t>625,075</w:t>
      </w:r>
    </w:p>
    <w:p>
      <w:pPr>
        <w:ind w:left="2600"/>
        <w:spacing w:after="0"/>
        <w:rPr>
          <w:sz w:val="20"/>
          <w:szCs w:val="20"/>
          <w:color w:val="auto"/>
        </w:rPr>
      </w:pPr>
      <w:r>
        <w:rPr>
          <w:rFonts w:ascii="Courier New" w:cs="Courier New" w:eastAsia="Courier New" w:hAnsi="Courier New"/>
          <w:sz w:val="17"/>
          <w:szCs w:val="17"/>
          <w:color w:val="auto"/>
        </w:rPr>
        <w:t>341,356</w:t>
      </w:r>
    </w:p>
    <w:p>
      <w:pPr>
        <w:ind w:left="4120"/>
        <w:spacing w:after="0"/>
        <w:rPr>
          <w:sz w:val="20"/>
          <w:szCs w:val="20"/>
          <w:color w:val="auto"/>
        </w:rPr>
      </w:pPr>
      <w:r>
        <w:rPr>
          <w:rFonts w:ascii="Courier New" w:cs="Courier New" w:eastAsia="Courier New" w:hAnsi="Courier New"/>
          <w:sz w:val="17"/>
          <w:szCs w:val="17"/>
          <w:color w:val="auto"/>
        </w:rPr>
        <w:t>63,692</w:t>
      </w:r>
    </w:p>
    <w:p>
      <w:pPr>
        <w:ind w:left="3200"/>
        <w:spacing w:after="0"/>
        <w:rPr>
          <w:sz w:val="20"/>
          <w:szCs w:val="20"/>
          <w:color w:val="auto"/>
        </w:rPr>
      </w:pPr>
      <w:r>
        <w:rPr>
          <w:rFonts w:ascii="Courier New" w:cs="Courier New" w:eastAsia="Courier New" w:hAnsi="Courier New"/>
          <w:sz w:val="17"/>
          <w:szCs w:val="17"/>
          <w:color w:val="auto"/>
        </w:rPr>
        <w:t>0</w:t>
      </w:r>
    </w:p>
    <w:p>
      <w:pPr>
        <w:ind w:left="4220"/>
        <w:spacing w:after="0"/>
        <w:rPr>
          <w:sz w:val="20"/>
          <w:szCs w:val="20"/>
          <w:color w:val="auto"/>
        </w:rPr>
      </w:pPr>
      <w:r>
        <w:rPr>
          <w:rFonts w:ascii="Courier New" w:cs="Courier New" w:eastAsia="Courier New" w:hAnsi="Courier New"/>
          <w:sz w:val="17"/>
          <w:szCs w:val="17"/>
          <w:color w:val="auto"/>
        </w:rPr>
        <w:t>0</w:t>
      </w:r>
    </w:p>
    <w:p>
      <w:pPr>
        <w:ind w:left="4020"/>
        <w:spacing w:after="0"/>
        <w:rPr>
          <w:sz w:val="20"/>
          <w:szCs w:val="20"/>
          <w:color w:val="auto"/>
        </w:rPr>
      </w:pPr>
      <w:r>
        <w:rPr>
          <w:rFonts w:ascii="Courier New" w:cs="Courier New" w:eastAsia="Courier New" w:hAnsi="Courier New"/>
          <w:sz w:val="17"/>
          <w:szCs w:val="17"/>
          <w:color w:val="auto"/>
        </w:rPr>
        <w:t>12,099</w:t>
      </w:r>
    </w:p>
    <w:p>
      <w:pPr>
        <w:ind w:left="3720"/>
        <w:spacing w:after="0"/>
        <w:rPr>
          <w:sz w:val="20"/>
          <w:szCs w:val="20"/>
          <w:color w:val="auto"/>
        </w:rPr>
      </w:pPr>
      <w:r>
        <w:rPr>
          <w:rFonts w:ascii="Courier New" w:cs="Courier New" w:eastAsia="Courier New" w:hAnsi="Courier New"/>
          <w:sz w:val="17"/>
          <w:szCs w:val="17"/>
          <w:color w:val="auto"/>
        </w:rPr>
        <w:t>198,080</w:t>
      </w:r>
    </w:p>
    <w:p>
      <w:pPr>
        <w:ind w:left="1900"/>
        <w:spacing w:after="0"/>
        <w:rPr>
          <w:sz w:val="20"/>
          <w:szCs w:val="20"/>
          <w:color w:val="auto"/>
        </w:rPr>
      </w:pPr>
      <w:r>
        <w:rPr>
          <w:rFonts w:ascii="Courier New" w:cs="Courier New" w:eastAsia="Courier New" w:hAnsi="Courier New"/>
          <w:sz w:val="17"/>
          <w:szCs w:val="17"/>
          <w:color w:val="auto"/>
        </w:rPr>
        <w:t>625,075</w:t>
      </w:r>
    </w:p>
    <w:p>
      <w:pPr>
        <w:ind w:left="4020"/>
        <w:spacing w:after="0"/>
        <w:rPr>
          <w:sz w:val="20"/>
          <w:szCs w:val="20"/>
          <w:color w:val="auto"/>
        </w:rPr>
      </w:pPr>
      <w:r>
        <w:rPr>
          <w:rFonts w:ascii="Courier New" w:cs="Courier New" w:eastAsia="Courier New" w:hAnsi="Courier New"/>
          <w:sz w:val="17"/>
          <w:szCs w:val="17"/>
          <w:color w:val="auto"/>
        </w:rPr>
        <w:t>288,646</w:t>
      </w:r>
    </w:p>
    <w:p>
      <w:pPr>
        <w:ind w:left="3100"/>
        <w:spacing w:after="0"/>
        <w:rPr>
          <w:sz w:val="20"/>
          <w:szCs w:val="20"/>
          <w:color w:val="auto"/>
        </w:rPr>
      </w:pPr>
      <w:r>
        <w:rPr>
          <w:rFonts w:ascii="Courier New" w:cs="Courier New" w:eastAsia="Courier New" w:hAnsi="Courier New"/>
          <w:sz w:val="17"/>
          <w:szCs w:val="17"/>
          <w:color w:val="auto"/>
        </w:rPr>
        <w:t>288,646</w:t>
      </w:r>
    </w:p>
    <w:p>
      <w:pPr>
        <w:ind w:left="4220"/>
        <w:spacing w:after="0"/>
        <w:rPr>
          <w:sz w:val="20"/>
          <w:szCs w:val="20"/>
          <w:color w:val="auto"/>
        </w:rPr>
      </w:pPr>
      <w:r>
        <w:rPr>
          <w:rFonts w:ascii="Courier New" w:cs="Courier New" w:eastAsia="Courier New" w:hAnsi="Courier New"/>
          <w:sz w:val="17"/>
          <w:szCs w:val="17"/>
          <w:color w:val="auto"/>
        </w:rPr>
        <w:t>184,836</w:t>
      </w:r>
    </w:p>
    <w:p>
      <w:pPr>
        <w:ind w:left="3520"/>
        <w:spacing w:after="0"/>
        <w:rPr>
          <w:sz w:val="20"/>
          <w:szCs w:val="20"/>
          <w:color w:val="auto"/>
        </w:rPr>
      </w:pPr>
      <w:r>
        <w:rPr>
          <w:rFonts w:ascii="Courier New" w:cs="Courier New" w:eastAsia="Courier New" w:hAnsi="Courier New"/>
          <w:sz w:val="17"/>
          <w:szCs w:val="17"/>
          <w:color w:val="auto"/>
        </w:rPr>
        <w:t>73,540</w:t>
      </w:r>
    </w:p>
    <w:p>
      <w:pPr>
        <w:ind w:left="3100"/>
        <w:spacing w:after="0"/>
        <w:rPr>
          <w:sz w:val="20"/>
          <w:szCs w:val="20"/>
          <w:color w:val="auto"/>
        </w:rPr>
      </w:pPr>
      <w:r>
        <w:rPr>
          <w:rFonts w:ascii="Courier New" w:cs="Courier New" w:eastAsia="Courier New" w:hAnsi="Courier New"/>
          <w:sz w:val="17"/>
          <w:szCs w:val="17"/>
          <w:color w:val="auto"/>
        </w:rPr>
        <w:t>(1,640)</w:t>
      </w:r>
    </w:p>
    <w:p>
      <w:pPr>
        <w:ind w:left="3720"/>
        <w:spacing w:after="0"/>
        <w:rPr>
          <w:sz w:val="20"/>
          <w:szCs w:val="20"/>
          <w:color w:val="auto"/>
        </w:rPr>
      </w:pPr>
      <w:r>
        <w:rPr>
          <w:rFonts w:ascii="Courier New" w:cs="Courier New" w:eastAsia="Courier New" w:hAnsi="Courier New"/>
          <w:sz w:val="17"/>
          <w:szCs w:val="17"/>
          <w:color w:val="auto"/>
        </w:rPr>
        <w:t>0</w:t>
      </w:r>
    </w:p>
    <w:p>
      <w:pPr>
        <w:ind w:left="3100"/>
        <w:spacing w:after="0"/>
        <w:rPr>
          <w:sz w:val="20"/>
          <w:szCs w:val="20"/>
          <w:color w:val="auto"/>
        </w:rPr>
      </w:pPr>
      <w:r>
        <w:rPr>
          <w:rFonts w:ascii="Courier New" w:cs="Courier New" w:eastAsia="Courier New" w:hAnsi="Courier New"/>
          <w:sz w:val="17"/>
          <w:szCs w:val="17"/>
          <w:color w:val="auto"/>
        </w:rPr>
        <w:t>4,134</w:t>
      </w:r>
    </w:p>
    <w:p>
      <w:pPr>
        <w:ind w:left="3320"/>
        <w:spacing w:after="0"/>
        <w:rPr>
          <w:sz w:val="20"/>
          <w:szCs w:val="20"/>
          <w:color w:val="auto"/>
        </w:rPr>
      </w:pPr>
      <w:r>
        <w:rPr>
          <w:rFonts w:ascii="Courier New" w:cs="Courier New" w:eastAsia="Courier New" w:hAnsi="Courier New"/>
          <w:sz w:val="17"/>
          <w:szCs w:val="17"/>
          <w:color w:val="auto"/>
        </w:rPr>
        <w:t>27,776</w:t>
      </w:r>
    </w:p>
    <w:p>
      <w:pPr>
        <w:ind w:left="3620"/>
        <w:spacing w:after="0"/>
        <w:rPr>
          <w:sz w:val="20"/>
          <w:szCs w:val="20"/>
          <w:color w:val="auto"/>
        </w:rPr>
      </w:pPr>
      <w:r>
        <w:rPr>
          <w:rFonts w:ascii="Courier New" w:cs="Courier New" w:eastAsia="Courier New" w:hAnsi="Courier New"/>
          <w:sz w:val="17"/>
          <w:szCs w:val="17"/>
          <w:color w:val="auto"/>
        </w:rPr>
        <w:t>10,956</w:t>
      </w:r>
    </w:p>
    <w:p>
      <w:pPr>
        <w:ind w:left="2900"/>
        <w:spacing w:after="0"/>
        <w:rPr>
          <w:sz w:val="20"/>
          <w:szCs w:val="20"/>
          <w:color w:val="auto"/>
        </w:rPr>
      </w:pPr>
      <w:r>
        <w:rPr>
          <w:rFonts w:ascii="Courier New" w:cs="Courier New" w:eastAsia="Courier New" w:hAnsi="Courier New"/>
          <w:sz w:val="17"/>
          <w:szCs w:val="17"/>
          <w:color w:val="auto"/>
        </w:rPr>
        <w:t>16,820</w:t>
      </w:r>
    </w:p>
    <w:p>
      <w:pPr>
        <w:ind w:left="3920"/>
        <w:spacing w:after="0"/>
        <w:rPr>
          <w:sz w:val="20"/>
          <w:szCs w:val="20"/>
          <w:color w:val="auto"/>
        </w:rPr>
      </w:pPr>
      <w:r>
        <w:rPr>
          <w:rFonts w:ascii="Courier New" w:cs="Courier New" w:eastAsia="Courier New" w:hAnsi="Courier New"/>
          <w:sz w:val="17"/>
          <w:szCs w:val="17"/>
          <w:color w:val="auto"/>
        </w:rPr>
        <w:t>0</w:t>
      </w:r>
    </w:p>
    <w:p>
      <w:pPr>
        <w:ind w:left="3820"/>
        <w:spacing w:after="0"/>
        <w:rPr>
          <w:sz w:val="20"/>
          <w:szCs w:val="20"/>
          <w:color w:val="auto"/>
        </w:rPr>
      </w:pPr>
      <w:r>
        <w:rPr>
          <w:rFonts w:ascii="Courier New" w:cs="Courier New" w:eastAsia="Courier New" w:hAnsi="Courier New"/>
          <w:sz w:val="17"/>
          <w:szCs w:val="17"/>
          <w:color w:val="auto"/>
        </w:rPr>
        <w:t>0</w:t>
      </w:r>
    </w:p>
    <w:p>
      <w:pPr>
        <w:ind w:left="4420"/>
        <w:spacing w:after="0"/>
        <w:rPr>
          <w:sz w:val="20"/>
          <w:szCs w:val="20"/>
          <w:color w:val="auto"/>
        </w:rPr>
      </w:pPr>
      <w:r>
        <w:rPr>
          <w:rFonts w:ascii="Courier New" w:cs="Courier New" w:eastAsia="Courier New" w:hAnsi="Courier New"/>
          <w:sz w:val="17"/>
          <w:szCs w:val="17"/>
          <w:color w:val="auto"/>
        </w:rPr>
        <w:t>0</w:t>
      </w:r>
    </w:p>
    <w:p>
      <w:pPr>
        <w:jc w:val="center"/>
        <w:ind w:right="2399"/>
        <w:spacing w:after="0"/>
        <w:rPr>
          <w:sz w:val="20"/>
          <w:szCs w:val="20"/>
          <w:color w:val="auto"/>
        </w:rPr>
      </w:pPr>
      <w:r>
        <w:rPr>
          <w:rFonts w:ascii="Courier New" w:cs="Courier New" w:eastAsia="Courier New" w:hAnsi="Courier New"/>
          <w:sz w:val="17"/>
          <w:szCs w:val="17"/>
          <w:color w:val="auto"/>
        </w:rPr>
        <w:t>16,820</w:t>
      </w:r>
    </w:p>
    <w:p>
      <w:pPr>
        <w:jc w:val="center"/>
        <w:ind w:right="2399"/>
        <w:spacing w:after="0"/>
        <w:rPr>
          <w:sz w:val="20"/>
          <w:szCs w:val="20"/>
          <w:color w:val="auto"/>
        </w:rPr>
      </w:pPr>
      <w:r>
        <w:rPr>
          <w:rFonts w:ascii="Courier New" w:cs="Courier New" w:eastAsia="Courier New" w:hAnsi="Courier New"/>
          <w:sz w:val="17"/>
          <w:szCs w:val="17"/>
          <w:color w:val="auto"/>
        </w:rPr>
        <w:t>1.33</w:t>
      </w:r>
    </w:p>
    <w:p>
      <w:pPr>
        <w:jc w:val="center"/>
        <w:ind w:right="2399"/>
        <w:spacing w:after="0"/>
        <w:rPr>
          <w:sz w:val="20"/>
          <w:szCs w:val="20"/>
          <w:color w:val="auto"/>
        </w:rPr>
      </w:pPr>
      <w:r>
        <w:rPr>
          <w:rFonts w:ascii="Courier New" w:cs="Courier New" w:eastAsia="Courier New" w:hAnsi="Courier New"/>
          <w:sz w:val="17"/>
          <w:szCs w:val="17"/>
          <w:color w:val="auto"/>
        </w:rPr>
        <w:t>1.33</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TOTAL LONG-TERM DEBT</w:t>
      </w:r>
    </w:p>
    <w:p>
      <w:pPr>
        <w:spacing w:after="0"/>
        <w:rPr>
          <w:sz w:val="20"/>
          <w:szCs w:val="20"/>
          <w:color w:val="auto"/>
        </w:rPr>
      </w:pPr>
      <w:r>
        <w:rPr>
          <w:rFonts w:ascii="Courier New" w:cs="Courier New" w:eastAsia="Courier New" w:hAnsi="Courier New"/>
          <w:sz w:val="17"/>
          <w:szCs w:val="17"/>
          <w:color w:val="auto"/>
        </w:rPr>
        <w:t>DOES NOT INCLUDE ADDITIONAL PAID-IN-CAPITAL</w:t>
      </w:r>
    </w:p>
    <w:p>
      <w:pPr>
        <w:spacing w:after="0"/>
        <w:rPr>
          <w:sz w:val="20"/>
          <w:szCs w:val="20"/>
          <w:color w:val="auto"/>
        </w:rPr>
      </w:pPr>
      <w:r>
        <w:rPr>
          <w:rFonts w:ascii="Courier New" w:cs="Courier New" w:eastAsia="Courier New" w:hAnsi="Courier New"/>
          <w:sz w:val="17"/>
          <w:szCs w:val="17"/>
          <w:color w:val="auto"/>
        </w:rPr>
        <w:t>OTHER INCOME-NET</w:t>
      </w:r>
    </w:p>
    <w:p>
      <w:pPr>
        <w:spacing w:after="0"/>
        <w:rPr>
          <w:sz w:val="20"/>
          <w:szCs w:val="20"/>
          <w:color w:val="auto"/>
        </w:rPr>
      </w:pPr>
      <w:r>
        <w:rPr>
          <w:rFonts w:ascii="Courier New" w:cs="Courier New" w:eastAsia="Courier New" w:hAnsi="Courier New"/>
          <w:sz w:val="17"/>
          <w:szCs w:val="17"/>
          <w:color w:val="auto"/>
        </w:rPr>
        <w:t>NOT INCLUDED IN QUARTERLY FINANCIAL INFORMATION</w:t>
      </w:r>
    </w:p>
    <w:p>
      <w:pPr>
        <w:spacing w:after="0"/>
        <w:rPr>
          <w:sz w:val="20"/>
          <w:szCs w:val="20"/>
          <w:color w:val="auto"/>
        </w:rPr>
      </w:pPr>
      <w:r>
        <w:rPr>
          <w:rFonts w:ascii="Courier New" w:cs="Courier New" w:eastAsia="Courier New" w:hAnsi="Courier New"/>
          <w:sz w:val="17"/>
          <w:szCs w:val="17"/>
          <w:color w:val="auto"/>
        </w:rPr>
        <w:t>TOTAL NET RECEIVABLES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2019-12-13T14:05:25Z</dcterms:created>
  <dcterms:modified xsi:type="dcterms:W3CDTF">2019-12-13T14:05:25Z</dcterms:modified>
</cp:coreProperties>
</file>