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60"/>
        <w:spacing w:after="0"/>
        <w:rPr>
          <w:sz w:val="20"/>
          <w:szCs w:val="20"/>
          <w:color w:val="auto"/>
        </w:rPr>
      </w:pPr>
      <w:r>
        <w:rPr>
          <w:rFonts w:ascii="Courier New" w:cs="Courier New" w:eastAsia="Courier New" w:hAnsi="Courier New"/>
          <w:sz w:val="18"/>
          <w:szCs w:val="18"/>
          <w:color w:val="auto"/>
        </w:rPr>
        <w:t>SECURITIES AND EXCHANGE COMMISSION</w:t>
      </w:r>
    </w:p>
    <w:p>
      <w:pPr>
        <w:ind w:left="86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Under the Securities Exchange Act of 1934</w:t>
      </w:r>
    </w:p>
    <w:p>
      <w:pPr>
        <w:ind w:left="860"/>
        <w:spacing w:after="0"/>
        <w:tabs>
          <w:tab w:leader="none" w:pos="252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Toro Co.</w:t>
      </w:r>
    </w:p>
    <w:p>
      <w:pPr>
        <w:ind w:left="8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Common Stock</w:t>
      </w:r>
    </w:p>
    <w:p>
      <w:pPr>
        <w:ind w:left="86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891092108</w:t>
      </w:r>
    </w:p>
    <w:p>
      <w:pPr>
        <w:ind w:left="8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7" w:lineRule="exact"/>
        <w:rPr>
          <w:sz w:val="24"/>
          <w:szCs w:val="24"/>
          <w:color w:val="auto"/>
        </w:rPr>
      </w:pPr>
    </w:p>
    <w:p>
      <w:pPr>
        <w:ind w:right="283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w:t>
      </w:r>
    </w:p>
    <w:p>
      <w:pPr>
        <w:ind w:right="2199"/>
        <w:spacing w:after="0" w:line="235" w:lineRule="auto"/>
        <w:rPr>
          <w:sz w:val="20"/>
          <w:szCs w:val="20"/>
          <w:color w:val="auto"/>
        </w:rPr>
      </w:pPr>
      <w:r>
        <w:rPr>
          <w:rFonts w:ascii="Courier New" w:cs="Courier New" w:eastAsia="Courier New" w:hAnsi="Courier New"/>
          <w:sz w:val="18"/>
          <w:szCs w:val="18"/>
          <w:color w:val="auto"/>
        </w:rPr>
        <w:t>of securities, and for any subsequent amendment containing information which would alter the disclosures provided in a prior page.</w:t>
      </w:r>
    </w:p>
    <w:p>
      <w:pPr>
        <w:spacing w:after="0" w:line="208" w:lineRule="exact"/>
        <w:rPr>
          <w:sz w:val="24"/>
          <w:szCs w:val="24"/>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891092108</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4"/>
          <w:szCs w:val="24"/>
          <w:color w:val="auto"/>
        </w:rPr>
      </w:pPr>
    </w:p>
    <w:p>
      <w:pPr>
        <w:ind w:left="860"/>
        <w:spacing w:after="0"/>
        <w:tabs>
          <w:tab w:leader="none" w:pos="4420" w:val="left"/>
        </w:tabs>
        <w:rPr>
          <w:sz w:val="20"/>
          <w:szCs w:val="20"/>
          <w:color w:val="auto"/>
        </w:rPr>
      </w:pPr>
      <w:r>
        <w:rPr>
          <w:rFonts w:ascii="Courier New" w:cs="Courier New" w:eastAsia="Courier New" w:hAnsi="Courier New"/>
          <w:sz w:val="18"/>
          <w:szCs w:val="18"/>
          <w:color w:val="auto"/>
        </w:rPr>
        <w:t>Barclays Global Investors. N.A.,</w:t>
      </w:r>
      <w:r>
        <w:rPr>
          <w:sz w:val="20"/>
          <w:szCs w:val="20"/>
          <w:color w:val="auto"/>
        </w:rPr>
        <w:tab/>
      </w:r>
      <w:r>
        <w:rPr>
          <w:rFonts w:ascii="Courier New" w:cs="Courier New" w:eastAsia="Courier New" w:hAnsi="Courier New"/>
          <w:sz w:val="16"/>
          <w:szCs w:val="16"/>
          <w:color w:val="auto"/>
        </w:rPr>
        <w:t>943112180</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683,039</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683,039</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4"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683,039</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5.43 %</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891092108</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Fund Advisors</w:t>
      </w:r>
    </w:p>
    <w:p>
      <w:pPr>
        <w:spacing w:after="0" w:line="4"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107,905</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107,905</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107,905</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0.86%</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2540"/>
        <w:spacing w:after="0" w:line="238" w:lineRule="auto"/>
        <w:rPr>
          <w:sz w:val="20"/>
          <w:szCs w:val="20"/>
          <w:color w:val="auto"/>
        </w:rPr>
      </w:pPr>
      <w:r>
        <w:rPr>
          <w:rFonts w:ascii="Courier New" w:cs="Courier New" w:eastAsia="Courier New" w:hAnsi="Courier New"/>
          <w:sz w:val="18"/>
          <w:szCs w:val="18"/>
          <w:color w:val="auto"/>
        </w:rPr>
        <w:t>Toro Co.</w:t>
      </w:r>
    </w:p>
    <w:p>
      <w:pPr>
        <w:spacing w:after="0" w:line="5"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891092108</w:t>
      </w:r>
    </w:p>
    <w:p>
      <w:pPr>
        <w:spacing w:after="0" w:line="5"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savings association as defined in section 3(b) of the Federal Deposit</w:t>
      </w:r>
    </w:p>
    <w:p>
      <w:pPr>
        <w:sectPr>
          <w:pgSz w:w="11900" w:h="16838" w:orient="portrait"/>
          <w:cols w:equalWidth="0" w:num="1">
            <w:col w:w="10219"/>
          </w:cols>
          <w:pgMar w:left="240" w:top="136" w:right="1440" w:bottom="0" w:gutter="0" w:footer="0" w:header="0"/>
        </w:sectPr>
      </w:pPr>
    </w:p>
    <w:bookmarkStart w:id="2" w:name="page3"/>
    <w:bookmarkEnd w:id="2"/>
    <w:p>
      <w:pPr>
        <w:ind w:left="860"/>
        <w:spacing w:after="0"/>
        <w:rPr>
          <w:sz w:val="20"/>
          <w:szCs w:val="20"/>
          <w:color w:val="auto"/>
        </w:rPr>
      </w:pPr>
      <w:r>
        <w:rPr>
          <w:rFonts w:ascii="Courier New" w:cs="Courier New" w:eastAsia="Courier New" w:hAnsi="Courier New"/>
          <w:sz w:val="18"/>
          <w:szCs w:val="18"/>
          <w:color w:val="auto"/>
        </w:rPr>
        <w:t>Insurance Act (12 U.S.C. 1813).</w:t>
      </w:r>
    </w:p>
    <w:p>
      <w:pPr>
        <w:spacing w:after="0" w:line="4" w:lineRule="exact"/>
        <w:rPr>
          <w:sz w:val="20"/>
          <w:szCs w:val="20"/>
          <w:color w:val="auto"/>
        </w:rPr>
      </w:pPr>
    </w:p>
    <w:p>
      <w:pPr>
        <w:ind w:left="860" w:right="2199" w:hanging="852"/>
        <w:spacing w:after="0" w:line="236" w:lineRule="auto"/>
        <w:tabs>
          <w:tab w:leader="none" w:pos="438"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2540"/>
        <w:spacing w:after="0" w:line="237" w:lineRule="auto"/>
        <w:rPr>
          <w:sz w:val="20"/>
          <w:szCs w:val="20"/>
          <w:color w:val="auto"/>
        </w:rPr>
      </w:pPr>
      <w:r>
        <w:rPr>
          <w:rFonts w:ascii="Courier New" w:cs="Courier New" w:eastAsia="Courier New" w:hAnsi="Courier New"/>
          <w:sz w:val="18"/>
          <w:szCs w:val="18"/>
          <w:color w:val="auto"/>
        </w:rPr>
        <w:t>Toro Co.</w:t>
      </w:r>
    </w:p>
    <w:p>
      <w:pPr>
        <w:spacing w:after="0" w:line="5"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891092108</w:t>
      </w:r>
    </w:p>
    <w:p>
      <w:pPr>
        <w:spacing w:after="0" w:line="5" w:lineRule="exact"/>
        <w:rPr>
          <w:sz w:val="20"/>
          <w:szCs w:val="20"/>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rPr>
          <w:sz w:val="20"/>
          <w:szCs w:val="20"/>
          <w:color w:val="auto"/>
        </w:rPr>
      </w:pPr>
      <w:r>
        <w:rPr>
          <w:rFonts w:ascii="Courier New" w:cs="Courier New" w:eastAsia="Courier New" w:hAnsi="Courier New"/>
          <w:sz w:val="18"/>
          <w:szCs w:val="18"/>
          <w:color w:val="auto"/>
        </w:rPr>
        <w:t>ITEM 4. OWNERSHIP</w:t>
      </w:r>
    </w:p>
    <w:p>
      <w:pPr>
        <w:spacing w:after="0" w:line="206" w:lineRule="exact"/>
        <w:rPr>
          <w:sz w:val="20"/>
          <w:szCs w:val="20"/>
          <w:color w:val="auto"/>
        </w:rPr>
      </w:pPr>
    </w:p>
    <w:p>
      <w:pPr>
        <w:ind w:right="2519"/>
        <w:spacing w:after="0" w:line="290" w:lineRule="auto"/>
        <w:rPr>
          <w:sz w:val="20"/>
          <w:szCs w:val="20"/>
          <w:color w:val="auto"/>
        </w:rPr>
      </w:pPr>
      <w:r>
        <w:rPr>
          <w:rFonts w:ascii="Courier New" w:cs="Courier New" w:eastAsia="Courier New" w:hAnsi="Courier New"/>
          <w:sz w:val="16"/>
          <w:szCs w:val="16"/>
          <w:color w:val="auto"/>
        </w:rPr>
        <w:t>Provide the following information regarding the aggregate number and percentage of the class of securities of the issuer identified in Item 1.</w:t>
      </w:r>
    </w:p>
    <w:p>
      <w:pPr>
        <w:spacing w:after="0" w:line="164" w:lineRule="exact"/>
        <w:rPr>
          <w:sz w:val="20"/>
          <w:szCs w:val="20"/>
          <w:color w:val="auto"/>
        </w:rPr>
      </w:pPr>
    </w:p>
    <w:p>
      <w:pPr>
        <w:ind w:left="540" w:hanging="532"/>
        <w:spacing w:after="0"/>
        <w:tabs>
          <w:tab w:leader="none" w:pos="5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700"/>
        <w:spacing w:after="0" w:line="238" w:lineRule="auto"/>
        <w:rPr>
          <w:sz w:val="20"/>
          <w:szCs w:val="20"/>
          <w:color w:val="auto"/>
        </w:rPr>
      </w:pPr>
      <w:r>
        <w:rPr>
          <w:rFonts w:ascii="Courier New" w:cs="Courier New" w:eastAsia="Courier New" w:hAnsi="Courier New"/>
          <w:sz w:val="18"/>
          <w:szCs w:val="18"/>
          <w:color w:val="auto"/>
        </w:rPr>
        <w:t>790,944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540" w:hanging="532"/>
        <w:spacing w:after="0"/>
        <w:tabs>
          <w:tab w:leader="none" w:pos="5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700"/>
        <w:spacing w:after="0" w:line="238" w:lineRule="auto"/>
        <w:rPr>
          <w:sz w:val="20"/>
          <w:szCs w:val="20"/>
          <w:color w:val="auto"/>
        </w:rPr>
      </w:pPr>
      <w:r>
        <w:rPr>
          <w:rFonts w:ascii="Courier New" w:cs="Courier New" w:eastAsia="Courier New" w:hAnsi="Courier New"/>
          <w:sz w:val="18"/>
          <w:szCs w:val="18"/>
          <w:color w:val="auto"/>
        </w:rPr>
        <w:t>6.29%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540" w:hanging="532"/>
        <w:spacing w:after="0"/>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ind w:left="1480" w:hanging="629"/>
        <w:spacing w:after="0" w:line="238" w:lineRule="auto"/>
        <w:tabs>
          <w:tab w:leader="none" w:pos="1480"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700"/>
        <w:spacing w:after="0"/>
        <w:rPr>
          <w:sz w:val="20"/>
          <w:szCs w:val="20"/>
          <w:color w:val="auto"/>
        </w:rPr>
      </w:pPr>
      <w:r>
        <w:rPr>
          <w:rFonts w:ascii="Courier New" w:cs="Courier New" w:eastAsia="Courier New" w:hAnsi="Courier New"/>
          <w:sz w:val="18"/>
          <w:szCs w:val="18"/>
          <w:color w:val="auto"/>
        </w:rPr>
        <w:t>790,944</w:t>
      </w:r>
    </w:p>
    <w:p>
      <w:pPr>
        <w:ind w:left="148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1700" w:right="4319" w:hanging="849"/>
        <w:spacing w:after="0" w:line="235" w:lineRule="auto"/>
        <w:tabs>
          <w:tab w:leader="none" w:pos="1489"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ind w:left="14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1700" w:right="3159" w:hanging="849"/>
        <w:spacing w:after="0" w:line="235" w:lineRule="auto"/>
        <w:tabs>
          <w:tab w:leader="none" w:pos="1489"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790,944</w:t>
      </w:r>
    </w:p>
    <w:p>
      <w:pPr>
        <w:ind w:left="64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1700" w:right="3039" w:hanging="842"/>
        <w:spacing w:after="0" w:line="235" w:lineRule="auto"/>
        <w:rPr>
          <w:sz w:val="20"/>
          <w:szCs w:val="20"/>
          <w:color w:val="auto"/>
        </w:rPr>
      </w:pPr>
      <w:r>
        <w:rPr>
          <w:rFonts w:ascii="Courier New" w:cs="Courier New" w:eastAsia="Courier New" w:hAnsi="Courier New"/>
          <w:sz w:val="18"/>
          <w:szCs w:val="18"/>
          <w:color w:val="auto"/>
        </w:rPr>
        <w:t>(iv) shared power to dispose or to direct the disposition of 0</w:t>
      </w:r>
    </w:p>
    <w:p>
      <w:pPr>
        <w:ind w:left="1480"/>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5"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ind w:left="860"/>
        <w:spacing w:after="0" w:line="238" w:lineRule="auto"/>
        <w:rPr>
          <w:sz w:val="20"/>
          <w:szCs w:val="20"/>
          <w:color w:val="auto"/>
        </w:rPr>
      </w:pPr>
      <w:r>
        <w:rPr>
          <w:rFonts w:ascii="Courier New" w:cs="Courier New" w:eastAsia="Courier New" w:hAnsi="Courier New"/>
          <w:sz w:val="18"/>
          <w:szCs w:val="18"/>
          <w:color w:val="auto"/>
        </w:rPr>
        <w:t>The shares reported are held by the company in trust accounts for the</w:t>
      </w:r>
    </w:p>
    <w:p>
      <w:pPr>
        <w:sectPr>
          <w:pgSz w:w="11900" w:h="16838" w:orient="portrait"/>
          <w:cols w:equalWidth="0" w:num="1">
            <w:col w:w="10219"/>
          </w:cols>
          <w:pgMar w:left="240" w:top="136" w:right="1440" w:bottom="0" w:gutter="0" w:footer="0" w:header="0"/>
        </w:sectPr>
      </w:pPr>
    </w:p>
    <w:bookmarkStart w:id="3" w:name="page4"/>
    <w:bookmarkEnd w:id="3"/>
    <w:p>
      <w:pPr>
        <w:ind w:left="860" w:right="2419"/>
        <w:spacing w:after="0" w:line="235" w:lineRule="auto"/>
        <w:rPr>
          <w:sz w:val="20"/>
          <w:szCs w:val="20"/>
          <w:color w:val="auto"/>
        </w:rPr>
      </w:pPr>
      <w:r>
        <w:rPr>
          <w:rFonts w:ascii="Courier New" w:cs="Courier New" w:eastAsia="Courier New" w:hAnsi="Courier New"/>
          <w:sz w:val="18"/>
          <w:szCs w:val="18"/>
          <w:color w:val="auto"/>
        </w:rPr>
        <w:t>economic benefit of the beneficiaries of those accounts. See also Items 2(a) above.</w:t>
      </w:r>
    </w:p>
    <w:p>
      <w:pPr>
        <w:spacing w:after="0" w:line="6" w:lineRule="exact"/>
        <w:rPr>
          <w:sz w:val="20"/>
          <w:szCs w:val="20"/>
          <w:color w:val="auto"/>
        </w:rPr>
      </w:pPr>
    </w:p>
    <w:p>
      <w:pPr>
        <w:ind w:left="860" w:right="2419" w:hanging="842"/>
        <w:spacing w:after="0" w:line="268"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ind w:left="1700"/>
        <w:spacing w:after="0" w:line="233" w:lineRule="auto"/>
        <w:rPr>
          <w:sz w:val="20"/>
          <w:szCs w:val="20"/>
          <w:color w:val="auto"/>
        </w:rPr>
      </w:pPr>
      <w:r>
        <w:rPr>
          <w:rFonts w:ascii="Courier New" w:cs="Courier New" w:eastAsia="Courier New" w:hAnsi="Courier New"/>
          <w:sz w:val="18"/>
          <w:szCs w:val="18"/>
          <w:color w:val="auto"/>
        </w:rPr>
        <w:t>Not applicable</w:t>
      </w:r>
    </w:p>
    <w:p>
      <w:pPr>
        <w:spacing w:after="0" w:line="5" w:lineRule="exact"/>
        <w:rPr>
          <w:sz w:val="20"/>
          <w:szCs w:val="20"/>
          <w:color w:val="auto"/>
        </w:rPr>
      </w:pPr>
    </w:p>
    <w:p>
      <w:pPr>
        <w:ind w:left="1700" w:right="3359" w:hanging="1685"/>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rPr>
          <w:sz w:val="20"/>
          <w:szCs w:val="20"/>
          <w:color w:val="auto"/>
        </w:rPr>
      </w:pPr>
      <w:r>
        <w:rPr>
          <w:rFonts w:ascii="Courier New" w:cs="Courier New" w:eastAsia="Courier New" w:hAnsi="Courier New"/>
          <w:sz w:val="18"/>
          <w:szCs w:val="18"/>
          <w:color w:val="auto"/>
        </w:rPr>
        <w:t>ITEM 9. NOTICE OF DISSOLUTION OF GROUP</w:t>
      </w:r>
    </w:p>
    <w:p>
      <w:pPr>
        <w:ind w:left="170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0" w:lineRule="exact"/>
        <w:rPr>
          <w:sz w:val="20"/>
          <w:szCs w:val="20"/>
          <w:color w:val="auto"/>
        </w:rPr>
      </w:pPr>
    </w:p>
    <w:p>
      <w:pPr>
        <w:spacing w:after="0" w:line="209" w:lineRule="exact"/>
        <w:rPr>
          <w:sz w:val="20"/>
          <w:szCs w:val="20"/>
          <w:color w:val="auto"/>
        </w:rPr>
      </w:pPr>
    </w:p>
    <w:p>
      <w:pPr>
        <w:ind w:left="960" w:right="1999" w:hanging="109"/>
        <w:spacing w:after="0" w:line="235" w:lineRule="auto"/>
        <w:tabs>
          <w:tab w:leader="none" w:pos="1276"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not be included if the statement is filed pursuant to section 240.13d-1(b):</w:t>
      </w:r>
    </w:p>
    <w:p>
      <w:pPr>
        <w:spacing w:after="0" w:line="208" w:lineRule="exact"/>
        <w:rPr>
          <w:sz w:val="20"/>
          <w:szCs w:val="20"/>
          <w:color w:val="auto"/>
        </w:rPr>
      </w:pPr>
    </w:p>
    <w:p>
      <w:pPr>
        <w:ind w:left="170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12" w:lineRule="exact"/>
        <w:rPr>
          <w:sz w:val="20"/>
          <w:szCs w:val="20"/>
          <w:color w:val="auto"/>
        </w:rPr>
      </w:pPr>
    </w:p>
    <w:p>
      <w:pPr>
        <w:ind w:left="960" w:right="2419" w:hanging="109"/>
        <w:spacing w:after="0" w:line="235" w:lineRule="auto"/>
        <w:tabs>
          <w:tab w:leader="none" w:pos="1276"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section 240.13d-1(c):</w:t>
      </w:r>
    </w:p>
    <w:p>
      <w:pPr>
        <w:spacing w:after="0" w:line="208" w:lineRule="exact"/>
        <w:rPr>
          <w:sz w:val="20"/>
          <w:szCs w:val="20"/>
          <w:color w:val="auto"/>
        </w:rPr>
      </w:pPr>
    </w:p>
    <w:p>
      <w:pPr>
        <w:ind w:left="170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8"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367"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February 12, 2002</w:t>
      </w:r>
    </w:p>
    <w:p>
      <w:pPr>
        <w:ind w:left="4020"/>
        <w:spacing w:after="0" w:line="238" w:lineRule="auto"/>
        <w:rPr>
          <w:sz w:val="20"/>
          <w:szCs w:val="20"/>
          <w:color w:val="auto"/>
        </w:rPr>
      </w:pPr>
      <w:r>
        <w:rPr>
          <w:rFonts w:ascii="Courier New" w:cs="Courier New" w:eastAsia="Courier New" w:hAnsi="Courier New"/>
          <w:sz w:val="18"/>
          <w:szCs w:val="18"/>
          <w:color w:val="auto"/>
        </w:rPr>
        <w:t>---------------------------------------</w:t>
      </w:r>
    </w:p>
    <w:p>
      <w:pPr>
        <w:jc w:val="center"/>
        <w:ind w:right="-340"/>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w:t>
      </w:r>
    </w:p>
    <w:p>
      <w:pPr>
        <w:ind w:left="50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Rebecca Brubaker</w:t>
      </w:r>
    </w:p>
    <w:p>
      <w:pPr>
        <w:ind w:left="5060"/>
        <w:spacing w:after="0" w:line="238" w:lineRule="auto"/>
        <w:rPr>
          <w:sz w:val="20"/>
          <w:szCs w:val="20"/>
          <w:color w:val="auto"/>
        </w:rPr>
      </w:pPr>
      <w:r>
        <w:rPr>
          <w:rFonts w:ascii="Courier New" w:cs="Courier New" w:eastAsia="Courier New" w:hAnsi="Courier New"/>
          <w:sz w:val="18"/>
          <w:szCs w:val="18"/>
          <w:color w:val="auto"/>
        </w:rPr>
        <w:t>Manager of Compliance</w:t>
      </w:r>
    </w:p>
    <w:p>
      <w:pPr>
        <w:ind w:left="4020"/>
        <w:spacing w:after="0"/>
        <w:rPr>
          <w:sz w:val="20"/>
          <w:szCs w:val="20"/>
          <w:color w:val="auto"/>
        </w:rPr>
      </w:pPr>
      <w:r>
        <w:rPr>
          <w:rFonts w:ascii="Courier New" w:cs="Courier New" w:eastAsia="Courier New" w:hAnsi="Courier New"/>
          <w:sz w:val="18"/>
          <w:szCs w:val="18"/>
          <w:color w:val="auto"/>
        </w:rPr>
        <w:t>---------------------------------------</w:t>
      </w:r>
    </w:p>
    <w:p>
      <w:pPr>
        <w:ind w:left="5060"/>
        <w:spacing w:after="0" w:line="237" w:lineRule="auto"/>
        <w:rPr>
          <w:sz w:val="20"/>
          <w:szCs w:val="20"/>
          <w:color w:val="auto"/>
        </w:rPr>
      </w:pPr>
      <w:r>
        <w:rPr>
          <w:rFonts w:ascii="Courier New" w:cs="Courier New" w:eastAsia="Courier New" w:hAnsi="Courier New"/>
          <w:sz w:val="18"/>
          <w:szCs w:val="18"/>
          <w:color w:val="auto"/>
        </w:rPr>
        <w:t>Name/Title</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lvl w:ilvl="1">
      <w:lvlJc w:val="left"/>
      <w:lvlText w:val="(%2)"/>
      <w:numFmt w:val="decimal"/>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lowerLetter"/>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1)"/>
      <w:numFmt w:val="lowerLetter"/>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1)"/>
      <w:numFmt w:val="lowerLetter"/>
      <w:start w:val="1"/>
    </w:lvl>
  </w:abstractNum>
  <w:abstractNum w:abstractNumId="16">
    <w:nsid w:val="75A2A8D4"/>
    <w:multiLevelType w:val="hybridMultilevel"/>
    <w:lvl w:ilvl="0">
      <w:lvlJc w:val="left"/>
      <w:lvlText w:val="(%1)"/>
      <w:numFmt w:val="lowerLetter"/>
      <w:start w:val="9"/>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1)"/>
      <w:numFmt w:val="lowerLetter"/>
      <w:start w:val="1"/>
    </w:lvl>
  </w:abstractNum>
  <w:abstractNum w:abstractNumId="24">
    <w:nsid w:val="2CA88611"/>
    <w:multiLevelType w:val="hybridMultilevel"/>
    <w:lvl w:ilvl="0">
      <w:lvlJc w:val="left"/>
      <w:lvlText w:val="(%1)"/>
      <w:numFmt w:val="lowerLetter"/>
      <w:start w:val="1"/>
    </w:lvl>
  </w:abstractNum>
  <w:abstractNum w:abstractNumId="25">
    <w:nsid w:val="836C40E"/>
    <w:multiLevelType w:val="hybridMultilevel"/>
    <w:lvl w:ilvl="0">
      <w:lvlJc w:val="left"/>
      <w:lvlText w:val="(%1)"/>
      <w:numFmt w:val="lowerLetter"/>
      <w:start w:val="2"/>
    </w:lvl>
  </w:abstractNum>
  <w:abstractNum w:abstractNumId="26">
    <w:nsid w:val="2901D82"/>
    <w:multiLevelType w:val="hybridMultilevel"/>
    <w:lvl w:ilvl="0">
      <w:lvlJc w:val="left"/>
      <w:lvlText w:val="(%1)"/>
      <w:numFmt w:val="lowerLetter"/>
      <w:start w:val="3"/>
    </w:lvl>
    <w:lvl w:ilvl="1">
      <w:lvlJc w:val="left"/>
      <w:lvlText w:val="(%2)"/>
      <w:numFmt w:val="lowerLetter"/>
      <w:start w:val="9"/>
    </w:lvl>
  </w:abstractNum>
  <w:abstractNum w:abstractNumId="27">
    <w:nsid w:val="3A95F874"/>
    <w:multiLevelType w:val="hybridMultilevel"/>
    <w:lvl w:ilvl="0">
      <w:lvlJc w:val="left"/>
      <w:lvlText w:val="(%1)"/>
      <w:numFmt w:val="lowerRoman"/>
      <w:start w:val="2"/>
    </w:lvl>
  </w:abstractNum>
  <w:abstractNum w:abstractNumId="28">
    <w:nsid w:val="8138641"/>
    <w:multiLevelType w:val="hybridMultilevel"/>
    <w:lvl w:ilvl="0">
      <w:lvlJc w:val="left"/>
      <w:lvlText w:val="(%1)"/>
      <w:numFmt w:val="lowerRoman"/>
      <w:start w:val="3"/>
    </w:lvl>
  </w:abstractNum>
  <w:abstractNum w:abstractNumId="29">
    <w:nsid w:val="1E7FF521"/>
    <w:multiLevelType w:val="hybridMultilevel"/>
    <w:lvl w:ilvl="0">
      <w:lvlJc w:val="left"/>
      <w:lvlText w:val="(%1)"/>
      <w:numFmt w:val="lowerLetter"/>
      <w:start w:val="1"/>
    </w:lvl>
  </w:abstractNum>
  <w:abstractNum w:abstractNumId="30">
    <w:nsid w:val="7C3DBD3D"/>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2019-12-13T13:37:57Z</dcterms:created>
  <dcterms:modified xsi:type="dcterms:W3CDTF">2019-12-13T13:37:57Z</dcterms:modified>
</cp:coreProperties>
</file>