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4,115.616</w:t>
            </w:r>
            <w:r>
              <w:rPr>
                <w:rFonts w:ascii="Arial" w:cs="Arial" w:eastAsia="Arial" w:hAnsi="Arial"/>
                <w:sz w:val="22"/>
                <w:szCs w:val="22"/>
                <w:color w:val="008000"/>
                <w:w w:val="83"/>
                <w:vertAlign w:val="superscript"/>
              </w:rPr>
              <w:t>(1)</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The Toro</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Company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3,017.387</w:t>
            </w:r>
            <w:r>
              <w:rPr>
                <w:rFonts w:ascii="Arial" w:cs="Arial" w:eastAsia="Arial" w:hAnsi="Arial"/>
                <w:sz w:val="22"/>
                <w:szCs w:val="22"/>
                <w:color w:val="008000"/>
                <w:w w:val="85"/>
                <w:vertAlign w:val="superscript"/>
              </w:rPr>
              <w:t>(2)</w:t>
            </w:r>
          </w:p>
        </w:tc>
        <w:tc>
          <w:tcPr>
            <w:tcW w:w="360" w:type="dxa"/>
            <w:vAlign w:val="bottom"/>
          </w:tcPr>
          <w:p>
            <w:pPr>
              <w:spacing w:after="0"/>
              <w:rPr>
                <w:sz w:val="18"/>
                <w:szCs w:val="18"/>
                <w:color w:val="auto"/>
              </w:rPr>
            </w:pPr>
          </w:p>
        </w:tc>
        <w:tc>
          <w:tcPr>
            <w:tcW w:w="56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w w:val="96"/>
              </w:rPr>
              <w:t>Investment,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Savings &amp;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ESOP</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10,317.087</w:t>
            </w:r>
            <w:r>
              <w:rPr>
                <w:rFonts w:ascii="Arial" w:cs="Arial" w:eastAsia="Arial" w:hAnsi="Arial"/>
                <w:sz w:val="22"/>
                <w:szCs w:val="22"/>
                <w:color w:val="008000"/>
                <w:w w:val="85"/>
                <w:vertAlign w:val="superscript"/>
              </w:rPr>
              <w:t>(3)</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07/16/2013</w:t>
            </w:r>
          </w:p>
        </w:tc>
        <w:tc>
          <w:tcPr>
            <w:tcW w:w="114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rPr>
              <w:t>750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750</w:t>
            </w:r>
          </w:p>
        </w:tc>
        <w:tc>
          <w:tcPr>
            <w:tcW w:w="40" w:type="dxa"/>
            <w:vAlign w:val="bottom"/>
          </w:tcPr>
          <w:p>
            <w:pPr>
              <w:spacing w:after="0"/>
              <w:rPr>
                <w:sz w:val="16"/>
                <w:szCs w:val="16"/>
                <w:color w:val="auto"/>
              </w:rPr>
            </w:pPr>
          </w:p>
        </w:tc>
        <w:tc>
          <w:tcPr>
            <w:tcW w:w="7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320"/>
              <w:spacing w:after="0"/>
              <w:rPr>
                <w:sz w:val="20"/>
                <w:szCs w:val="20"/>
                <w:color w:val="auto"/>
              </w:rPr>
            </w:pPr>
            <w:r>
              <w:rPr>
                <w:rFonts w:ascii="Arial" w:cs="Arial" w:eastAsia="Arial" w:hAnsi="Arial"/>
                <w:sz w:val="14"/>
                <w:szCs w:val="14"/>
                <w:color w:val="0000FF"/>
              </w:rPr>
              <w:t>750</w:t>
            </w:r>
          </w:p>
        </w:tc>
        <w:tc>
          <w:tcPr>
            <w:tcW w:w="560" w:type="dxa"/>
            <w:vAlign w:val="bottom"/>
            <w:vMerge w:val="restart"/>
          </w:tcPr>
          <w:p>
            <w:pPr>
              <w:ind w:left="400"/>
              <w:spacing w:after="0"/>
              <w:rPr>
                <w:sz w:val="20"/>
                <w:szCs w:val="20"/>
                <w:color w:val="auto"/>
              </w:rPr>
            </w:pPr>
            <w:r>
              <w:rPr>
                <w:rFonts w:ascii="Arial" w:cs="Arial" w:eastAsia="Arial" w:hAnsi="Arial"/>
                <w:sz w:val="14"/>
                <w:szCs w:val="14"/>
                <w:color w:val="0000FF"/>
              </w:rPr>
              <w:t>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24.045 shares of common stock acquired by the reporting person since the date of his last report under The Toro Company Dividend Reinvestment Plan (the "DRIP") on 4,091.571 shares of restricted stock and related DRIP shares. The restricted stock and all related DRIP shares vest in full on the third anniversary of the date of grant, which was March 30, 2011.</w:t>
      </w:r>
    </w:p>
    <w:p>
      <w:pPr>
        <w:ind w:left="40" w:right="5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17.602 shares acquired under the dividend reinvestment feature of The Toro Company Investment, Savings &amp; ESOP (IS&amp;ESOP); and 78.571 shares acquired through issuer annual investment fund contributions to and revenue credit allocations in the IS&amp;ESOP.</w:t>
      </w: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60.08 performance share units acquired by the reporting person under the dividend reinvestment feature of the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Toro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and become non-forfeitable in full on July 16, 2016, which is the third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2019-12-17T02:28:33Z</dcterms:created>
  <dcterms:modified xsi:type="dcterms:W3CDTF">2019-12-17T02:28:33Z</dcterms:modified>
</cp:coreProperties>
</file>